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before="0" w:line="300" w:lineRule="auto"/>
        <w:rPr>
          <w:rFonts w:ascii="Helvetica Neue" w:cs="Helvetica Neue" w:eastAsia="Helvetica Neue" w:hAnsi="Helvetica Neue"/>
          <w:color w:val="666666"/>
          <w:sz w:val="32"/>
          <w:szCs w:val="32"/>
        </w:rPr>
      </w:pPr>
      <w:r w:rsidDel="00000000" w:rsidR="00000000" w:rsidRPr="00000000">
        <w:rPr>
          <w:rFonts w:ascii="Helvetica Neue" w:cs="Helvetica Neue" w:eastAsia="Helvetica Neue" w:hAnsi="Helvetica Neue"/>
          <w:b w:val="1"/>
          <w:sz w:val="52"/>
          <w:szCs w:val="52"/>
          <w:rtl w:val="0"/>
        </w:rPr>
        <w:t xml:space="preserve">Walmart Customer Analysis (2024)</w:t>
      </w:r>
      <w:r w:rsidDel="00000000" w:rsidR="00000000" w:rsidRPr="00000000">
        <w:rPr>
          <w:rtl w:val="0"/>
        </w:rPr>
      </w:r>
    </w:p>
    <w:p w:rsidR="00000000" w:rsidDel="00000000" w:rsidP="00000000" w:rsidRDefault="00000000" w:rsidRPr="00000000" w14:paraId="00000002">
      <w:pPr>
        <w:widowControl w:val="0"/>
        <w:spacing w:after="0" w:before="0" w:line="30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666666"/>
          <w:rtl w:val="0"/>
        </w:rPr>
        <w:t xml:space="preserve">A detailed analysis of Walmart's customer transactions with a focus on understanding Customer Lifetime Value (CLV), identifying product preferences, and examining regional spending patterns and demographic impacts. This analysis aims to address stakeholder inquiries on optimizing targeted marketing strategies based on customer value insights.</w:t>
      </w:r>
      <w:r w:rsidDel="00000000" w:rsidR="00000000" w:rsidRPr="00000000">
        <w:rPr>
          <w:rFonts w:ascii="Helvetica Neue" w:cs="Helvetica Neue" w:eastAsia="Helvetica Neue" w:hAnsi="Helvetica Neue"/>
          <w:color w:val="666666"/>
          <w:rtl w:val="0"/>
        </w:rPr>
        <w:t xml:space="preserve"> </w:t>
      </w:r>
      <w:r w:rsidDel="00000000" w:rsidR="00000000" w:rsidRPr="00000000">
        <w:rPr>
          <w:rFonts w:ascii="Helvetica Neue" w:cs="Helvetica Neue" w:eastAsia="Helvetica Neue" w:hAnsi="Helvetica Neue"/>
          <w:color w:val="666666"/>
          <w:rtl w:val="0"/>
        </w:rPr>
        <w:t xml:space="preserve">Interactive Tableau dashboard can be found </w:t>
      </w:r>
      <w:hyperlink r:id="rId6">
        <w:r w:rsidDel="00000000" w:rsidR="00000000" w:rsidRPr="00000000">
          <w:rPr>
            <w:rFonts w:ascii="Helvetica Neue" w:cs="Helvetica Neue" w:eastAsia="Helvetica Neue" w:hAnsi="Helvetica Neue"/>
            <w:color w:val="1155cc"/>
            <w:u w:val="single"/>
            <w:rtl w:val="0"/>
          </w:rPr>
          <w:t xml:space="preserve">here</w:t>
        </w:r>
      </w:hyperlink>
      <w:r w:rsidDel="00000000" w:rsidR="00000000" w:rsidRPr="00000000">
        <w:rPr>
          <w:rtl w:val="0"/>
        </w:rPr>
      </w:r>
    </w:p>
    <w:p w:rsidR="00000000" w:rsidDel="00000000" w:rsidP="00000000" w:rsidRDefault="00000000" w:rsidRPr="00000000" w14:paraId="00000003">
      <w:pPr>
        <w:widowControl w:val="0"/>
        <w:spacing w:after="240" w:before="0" w:line="30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32"/>
          <w:szCs w:val="32"/>
          <w:rtl w:val="0"/>
        </w:rPr>
        <w:t xml:space="preserve">Northstar Metrics and Dimensions</w:t>
      </w:r>
    </w:p>
    <w:p w:rsidR="00000000" w:rsidDel="00000000" w:rsidP="00000000" w:rsidRDefault="00000000" w:rsidRPr="00000000" w14:paraId="00000004">
      <w:pPr>
        <w:widowControl w:val="0"/>
        <w:numPr>
          <w:ilvl w:val="0"/>
          <w:numId w:val="1"/>
        </w:numPr>
        <w:spacing w:after="200" w:before="0" w:line="300" w:lineRule="auto"/>
        <w:ind w:left="720" w:hanging="360"/>
        <w:rPr>
          <w:rFonts w:ascii="Sarabun" w:cs="Sarabun" w:eastAsia="Sarabun" w:hAnsi="Sarabun"/>
          <w:u w:val="none"/>
        </w:rPr>
      </w:pPr>
      <w:r w:rsidDel="00000000" w:rsidR="00000000" w:rsidRPr="00000000">
        <w:rPr>
          <w:rFonts w:ascii="Helvetica Neue" w:cs="Helvetica Neue" w:eastAsia="Helvetica Neue" w:hAnsi="Helvetica Neue"/>
          <w:b w:val="1"/>
          <w:rtl w:val="0"/>
        </w:rPr>
        <w:t xml:space="preserve">Customer Lifetime Value (CLV):</w:t>
      </w:r>
      <w:r w:rsidDel="00000000" w:rsidR="00000000" w:rsidRPr="00000000">
        <w:rPr>
          <w:rFonts w:ascii="Helvetica Neue" w:cs="Helvetica Neue" w:eastAsia="Helvetica Neue" w:hAnsi="Helvetica Neue"/>
          <w:rtl w:val="0"/>
        </w:rPr>
        <w:t xml:space="preserve"> Estimated average purchase per customer.</w:t>
      </w:r>
    </w:p>
    <w:p w:rsidR="00000000" w:rsidDel="00000000" w:rsidP="00000000" w:rsidRDefault="00000000" w:rsidRPr="00000000" w14:paraId="00000005">
      <w:pPr>
        <w:widowControl w:val="0"/>
        <w:numPr>
          <w:ilvl w:val="0"/>
          <w:numId w:val="1"/>
        </w:numPr>
        <w:spacing w:after="200" w:before="0" w:line="300" w:lineRule="auto"/>
        <w:ind w:left="720" w:hanging="360"/>
        <w:rPr>
          <w:rFonts w:ascii="Sarabun" w:cs="Sarabun" w:eastAsia="Sarabun" w:hAnsi="Sarabun"/>
          <w:u w:val="none"/>
        </w:rPr>
      </w:pPr>
      <w:r w:rsidDel="00000000" w:rsidR="00000000" w:rsidRPr="00000000">
        <w:rPr>
          <w:rFonts w:ascii="Helvetica Neue" w:cs="Helvetica Neue" w:eastAsia="Helvetica Neue" w:hAnsi="Helvetica Neue"/>
          <w:b w:val="1"/>
          <w:rtl w:val="0"/>
        </w:rPr>
        <w:t xml:space="preserve">Regional Distribution:</w:t>
      </w:r>
      <w:r w:rsidDel="00000000" w:rsidR="00000000" w:rsidRPr="00000000">
        <w:rPr>
          <w:rFonts w:ascii="Helvetica Neue" w:cs="Helvetica Neue" w:eastAsia="Helvetica Neue" w:hAnsi="Helvetica Neue"/>
          <w:rtl w:val="0"/>
        </w:rPr>
        <w:t xml:space="preserve"> Total purchase amount by city category.</w:t>
      </w:r>
    </w:p>
    <w:p w:rsidR="00000000" w:rsidDel="00000000" w:rsidP="00000000" w:rsidRDefault="00000000" w:rsidRPr="00000000" w14:paraId="00000006">
      <w:pPr>
        <w:widowControl w:val="0"/>
        <w:numPr>
          <w:ilvl w:val="0"/>
          <w:numId w:val="1"/>
        </w:numPr>
        <w:spacing w:after="200" w:before="0" w:line="300" w:lineRule="auto"/>
        <w:ind w:left="720" w:hanging="360"/>
        <w:rPr>
          <w:rFonts w:ascii="Sarabun" w:cs="Sarabun" w:eastAsia="Sarabun" w:hAnsi="Sarabun"/>
          <w:u w:val="none"/>
        </w:rPr>
      </w:pPr>
      <w:r w:rsidDel="00000000" w:rsidR="00000000" w:rsidRPr="00000000">
        <w:rPr>
          <w:rFonts w:ascii="Helvetica Neue" w:cs="Helvetica Neue" w:eastAsia="Helvetica Neue" w:hAnsi="Helvetica Neue"/>
          <w:b w:val="1"/>
          <w:rtl w:val="0"/>
        </w:rPr>
        <w:t xml:space="preserve">Product Preferences:</w:t>
      </w:r>
      <w:r w:rsidDel="00000000" w:rsidR="00000000" w:rsidRPr="00000000">
        <w:rPr>
          <w:rFonts w:ascii="Helvetica Neue" w:cs="Helvetica Neue" w:eastAsia="Helvetica Neue" w:hAnsi="Helvetica Neue"/>
          <w:rtl w:val="0"/>
        </w:rPr>
        <w:t xml:space="preserve"> Average purchase amount by product category.</w:t>
      </w:r>
    </w:p>
    <w:p w:rsidR="00000000" w:rsidDel="00000000" w:rsidP="00000000" w:rsidRDefault="00000000" w:rsidRPr="00000000" w14:paraId="00000007">
      <w:pPr>
        <w:widowControl w:val="0"/>
        <w:numPr>
          <w:ilvl w:val="0"/>
          <w:numId w:val="1"/>
        </w:numPr>
        <w:spacing w:after="200" w:before="0" w:line="300" w:lineRule="auto"/>
        <w:ind w:left="720" w:hanging="360"/>
        <w:rPr>
          <w:rFonts w:ascii="Sarabun" w:cs="Sarabun" w:eastAsia="Sarabun" w:hAnsi="Sarabun"/>
          <w:u w:val="none"/>
        </w:rPr>
      </w:pPr>
      <w:r w:rsidDel="00000000" w:rsidR="00000000" w:rsidRPr="00000000">
        <w:rPr>
          <w:rFonts w:ascii="Helvetica Neue" w:cs="Helvetica Neue" w:eastAsia="Helvetica Neue" w:hAnsi="Helvetica Neue"/>
          <w:b w:val="1"/>
          <w:rtl w:val="0"/>
        </w:rPr>
        <w:t xml:space="preserve">Spending Patterns:</w:t>
      </w:r>
      <w:r w:rsidDel="00000000" w:rsidR="00000000" w:rsidRPr="00000000">
        <w:rPr>
          <w:rFonts w:ascii="Helvetica Neue" w:cs="Helvetica Neue" w:eastAsia="Helvetica Neue" w:hAnsi="Helvetica Neue"/>
          <w:rtl w:val="0"/>
        </w:rPr>
        <w:t xml:space="preserve"> Distribution of purchase amounts by defined ranges and occupation.</w:t>
      </w:r>
      <w:r w:rsidDel="00000000" w:rsidR="00000000" w:rsidRPr="00000000">
        <w:rPr>
          <w:rtl w:val="0"/>
        </w:rPr>
      </w:r>
    </w:p>
    <w:p w:rsidR="00000000" w:rsidDel="00000000" w:rsidP="00000000" w:rsidRDefault="00000000" w:rsidRPr="00000000" w14:paraId="00000008">
      <w:pPr>
        <w:widowControl w:val="0"/>
        <w:spacing w:after="240" w:before="0" w:line="30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rtl w:val="0"/>
        </w:rPr>
        <w:br w:type="textWrapping"/>
      </w:r>
      <w:r w:rsidDel="00000000" w:rsidR="00000000" w:rsidRPr="00000000">
        <w:rPr>
          <w:rFonts w:ascii="Helvetica Neue" w:cs="Helvetica Neue" w:eastAsia="Helvetica Neue" w:hAnsi="Helvetica Neue"/>
          <w:b w:val="1"/>
          <w:sz w:val="32"/>
          <w:szCs w:val="32"/>
          <w:rtl w:val="0"/>
        </w:rPr>
        <w:t xml:space="preserve">Summary of Insights</w:t>
      </w:r>
    </w:p>
    <w:p w:rsidR="00000000" w:rsidDel="00000000" w:rsidP="00000000" w:rsidRDefault="00000000" w:rsidRPr="00000000" w14:paraId="00000009">
      <w:pPr>
        <w:widowControl w:val="0"/>
        <w:spacing w:after="0" w:before="0" w:line="300" w:lineRule="auto"/>
        <w:rPr>
          <w:rFonts w:ascii="Helvetica Neue" w:cs="Helvetica Neue" w:eastAsia="Helvetica Neue" w:hAnsi="Helvetica Neue"/>
          <w:color w:val="666666"/>
          <w:sz w:val="28"/>
          <w:szCs w:val="28"/>
        </w:rPr>
      </w:pPr>
      <w:r w:rsidDel="00000000" w:rsidR="00000000" w:rsidRPr="00000000">
        <w:rPr>
          <w:rFonts w:ascii="Helvetica Neue" w:cs="Helvetica Neue" w:eastAsia="Helvetica Neue" w:hAnsi="Helvetica Neue"/>
          <w:color w:val="666666"/>
          <w:sz w:val="28"/>
          <w:szCs w:val="28"/>
          <w:rtl w:val="0"/>
        </w:rPr>
        <w:t xml:space="preserve">Customer Lifetime Value (CLV)</w:t>
      </w:r>
    </w:p>
    <w:p w:rsidR="00000000" w:rsidDel="00000000" w:rsidP="00000000" w:rsidRDefault="00000000" w:rsidRPr="00000000" w14:paraId="0000000A">
      <w:pPr>
        <w:widowControl w:val="0"/>
        <w:spacing w:after="0" w:before="0" w:line="30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Estimated Customer Lifetime Value: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The average purchase amount serves as an estimate for CLV, indicating that Walmart's typical customer provides a steady revenue stream, with specific demographics and regions contributing significantly to overall CLV.</w:t>
      </w:r>
    </w:p>
    <w:p w:rsidR="00000000" w:rsidDel="00000000" w:rsidP="00000000" w:rsidRDefault="00000000" w:rsidRPr="00000000" w14:paraId="0000000B">
      <w:pPr>
        <w:widowControl w:val="0"/>
        <w:spacing w:after="0" w:before="0" w:line="30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widowControl w:val="0"/>
        <w:spacing w:after="0" w:before="0" w:line="300" w:lineRule="auto"/>
        <w:rPr>
          <w:rFonts w:ascii="Helvetica Neue" w:cs="Helvetica Neue" w:eastAsia="Helvetica Neue" w:hAnsi="Helvetica Neue"/>
          <w:color w:val="666666"/>
          <w:sz w:val="28"/>
          <w:szCs w:val="28"/>
        </w:rPr>
      </w:pPr>
      <w:r w:rsidDel="00000000" w:rsidR="00000000" w:rsidRPr="00000000">
        <w:rPr>
          <w:rFonts w:ascii="Helvetica Neue" w:cs="Helvetica Neue" w:eastAsia="Helvetica Neue" w:hAnsi="Helvetica Neue"/>
          <w:color w:val="666666"/>
          <w:sz w:val="28"/>
          <w:szCs w:val="28"/>
          <w:rtl w:val="0"/>
        </w:rPr>
        <w:t xml:space="preserve">Regional Distribution</w:t>
      </w:r>
    </w:p>
    <w:p w:rsidR="00000000" w:rsidDel="00000000" w:rsidP="00000000" w:rsidRDefault="00000000" w:rsidRPr="00000000" w14:paraId="0000000D">
      <w:pPr>
        <w:widowControl w:val="0"/>
        <w:spacing w:after="0" w:before="0" w:line="30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Total Purchase by City Category: </w:t>
      </w:r>
      <w:r w:rsidDel="00000000" w:rsidR="00000000" w:rsidRPr="00000000">
        <w:rPr>
          <w:rFonts w:ascii="Helvetica Neue" w:cs="Helvetica Neue" w:eastAsia="Helvetica Neue" w:hAnsi="Helvetica Neue"/>
          <w:rtl w:val="0"/>
        </w:rPr>
        <w:t xml:space="preserve">City Category B leads with the highest total purchases, followed by Categories C and A, suggesting a stronger market presence in Category B areas. Urban regions (Categories A and B) demonstrate substantial purchasing power, with Category B showing the highest overall engagement, making it a key area for targeted marketing and inventory management.</w:t>
      </w:r>
    </w:p>
    <w:p w:rsidR="00000000" w:rsidDel="00000000" w:rsidP="00000000" w:rsidRDefault="00000000" w:rsidRPr="00000000" w14:paraId="0000000E">
      <w:pPr>
        <w:widowControl w:val="0"/>
        <w:spacing w:after="0" w:before="0" w:line="30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widowControl w:val="0"/>
        <w:spacing w:after="0" w:before="0" w:line="300" w:lineRule="auto"/>
        <w:rPr>
          <w:rFonts w:ascii="Helvetica Neue" w:cs="Helvetica Neue" w:eastAsia="Helvetica Neue" w:hAnsi="Helvetica Neue"/>
          <w:color w:val="66666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widowControl w:val="0"/>
        <w:spacing w:after="0" w:before="0" w:line="300" w:lineRule="auto"/>
        <w:rPr>
          <w:rFonts w:ascii="Helvetica Neue" w:cs="Helvetica Neue" w:eastAsia="Helvetica Neue" w:hAnsi="Helvetica Neue"/>
          <w:color w:val="666666"/>
          <w:sz w:val="28"/>
          <w:szCs w:val="28"/>
        </w:rPr>
      </w:pPr>
      <w:r w:rsidDel="00000000" w:rsidR="00000000" w:rsidRPr="00000000">
        <w:rPr>
          <w:rFonts w:ascii="Helvetica Neue" w:cs="Helvetica Neue" w:eastAsia="Helvetica Neue" w:hAnsi="Helvetica Neue"/>
          <w:color w:val="666666"/>
          <w:sz w:val="28"/>
          <w:szCs w:val="28"/>
          <w:rtl w:val="0"/>
        </w:rPr>
        <w:t xml:space="preserve">Product Preferences</w:t>
      </w:r>
    </w:p>
    <w:p w:rsidR="00000000" w:rsidDel="00000000" w:rsidP="00000000" w:rsidRDefault="00000000" w:rsidRPr="00000000" w14:paraId="00000011">
      <w:pPr>
        <w:widowControl w:val="0"/>
        <w:spacing w:after="0" w:before="0" w:line="30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Average Purchase Amount by Product Category: </w:t>
      </w:r>
      <w:r w:rsidDel="00000000" w:rsidR="00000000" w:rsidRPr="00000000">
        <w:rPr>
          <w:rFonts w:ascii="Helvetica Neue" w:cs="Helvetica Neue" w:eastAsia="Helvetica Neue" w:hAnsi="Helvetica Neue"/>
          <w:rtl w:val="0"/>
        </w:rPr>
        <w:t xml:space="preserve">Product Categories 8, 10, and 7 exhibit the highest average purchases, highlighting these categories as top-performing in Walmart's product range. Specific product categories significantly drive sales, indicating areas where Walmart could enhance its marketing efforts or focus inventory investments.</w:t>
      </w:r>
    </w:p>
    <w:p w:rsidR="00000000" w:rsidDel="00000000" w:rsidP="00000000" w:rsidRDefault="00000000" w:rsidRPr="00000000" w14:paraId="00000012">
      <w:pPr>
        <w:widowControl w:val="0"/>
        <w:spacing w:after="0" w:before="0" w:line="30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widowControl w:val="0"/>
        <w:spacing w:after="0" w:before="0" w:line="300" w:lineRule="auto"/>
        <w:rPr>
          <w:rFonts w:ascii="Helvetica Neue" w:cs="Helvetica Neue" w:eastAsia="Helvetica Neue" w:hAnsi="Helvetica Neue"/>
          <w:color w:val="666666"/>
          <w:sz w:val="28"/>
          <w:szCs w:val="28"/>
        </w:rPr>
      </w:pPr>
      <w:r w:rsidDel="00000000" w:rsidR="00000000" w:rsidRPr="00000000">
        <w:rPr>
          <w:rFonts w:ascii="Helvetica Neue" w:cs="Helvetica Neue" w:eastAsia="Helvetica Neue" w:hAnsi="Helvetica Neue"/>
          <w:color w:val="666666"/>
          <w:sz w:val="28"/>
          <w:szCs w:val="28"/>
          <w:rtl w:val="0"/>
        </w:rPr>
        <w:t xml:space="preserve">Spending Patterns</w:t>
      </w:r>
    </w:p>
    <w:p w:rsidR="00000000" w:rsidDel="00000000" w:rsidP="00000000" w:rsidRDefault="00000000" w:rsidRPr="00000000" w14:paraId="00000014">
      <w:pPr>
        <w:widowControl w:val="0"/>
        <w:spacing w:after="0" w:before="0" w:line="30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Distribution of Purchase Amounts by Range: </w:t>
      </w:r>
      <w:r w:rsidDel="00000000" w:rsidR="00000000" w:rsidRPr="00000000">
        <w:rPr>
          <w:rFonts w:ascii="Helvetica Neue" w:cs="Helvetica Neue" w:eastAsia="Helvetica Neue" w:hAnsi="Helvetica Neue"/>
          <w:rtl w:val="0"/>
        </w:rPr>
        <w:t xml:space="preserve">The majority of purchases fall within the $50-$100 range, indicating a mid-level spending behavior among Walmart’s customers. There is also notable activity in the $100-$200 range. This data emphasizes the importance of mid-tier priced items and suggests a potential to push higher-value purchases through strategic pricing and promotions.</w:t>
      </w:r>
    </w:p>
    <w:p w:rsidR="00000000" w:rsidDel="00000000" w:rsidP="00000000" w:rsidRDefault="00000000" w:rsidRPr="00000000" w14:paraId="00000015">
      <w:pPr>
        <w:widowControl w:val="0"/>
        <w:spacing w:after="0" w:before="0" w:line="30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widowControl w:val="0"/>
        <w:spacing w:after="0" w:before="0" w:line="30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Purchase Amount by Occupation: </w:t>
      </w:r>
      <w:r w:rsidDel="00000000" w:rsidR="00000000" w:rsidRPr="00000000">
        <w:rPr>
          <w:rFonts w:ascii="Helvetica Neue" w:cs="Helvetica Neue" w:eastAsia="Helvetica Neue" w:hAnsi="Helvetica Neue"/>
          <w:rtl w:val="0"/>
        </w:rPr>
        <w:t xml:space="preserve">Occupation 4,  0, 7 and 17 exhibit the highest total and average purchase amounts, suggesting these groups hold the most spending power among all occupations. Identifying key occupational groups allows Walmart to refine its marketing strategies and tailor promotions to the highest value customers.</w:t>
      </w:r>
    </w:p>
    <w:p w:rsidR="00000000" w:rsidDel="00000000" w:rsidP="00000000" w:rsidRDefault="00000000" w:rsidRPr="00000000" w14:paraId="00000017">
      <w:pPr>
        <w:widowControl w:val="0"/>
        <w:spacing w:after="0" w:before="0" w:line="30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widowControl w:val="0"/>
        <w:spacing w:after="0" w:before="0" w:line="30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widowControl w:val="0"/>
        <w:spacing w:after="240" w:before="0" w:line="30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Recommendations/Next Steps</w:t>
      </w:r>
    </w:p>
    <w:p w:rsidR="00000000" w:rsidDel="00000000" w:rsidP="00000000" w:rsidRDefault="00000000" w:rsidRPr="00000000" w14:paraId="0000001A">
      <w:pPr>
        <w:widowControl w:val="0"/>
        <w:spacing w:after="0" w:before="0" w:line="30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Enhance Targeting of High-Value Customer Segments: </w:t>
      </w:r>
      <w:r w:rsidDel="00000000" w:rsidR="00000000" w:rsidRPr="00000000">
        <w:rPr>
          <w:rFonts w:ascii="Helvetica Neue" w:cs="Helvetica Neue" w:eastAsia="Helvetica Neue" w:hAnsi="Helvetica Neue"/>
          <w:rtl w:val="0"/>
        </w:rPr>
        <w:t xml:space="preserve">Prioritize marketing initiatives toward urban areas (City Category B) and occupations with the highest average purchases (e.g., Occupation 4, 0, 7 and 17).</w:t>
      </w:r>
    </w:p>
    <w:p w:rsidR="00000000" w:rsidDel="00000000" w:rsidP="00000000" w:rsidRDefault="00000000" w:rsidRPr="00000000" w14:paraId="0000001B">
      <w:pPr>
        <w:widowControl w:val="0"/>
        <w:spacing w:after="0" w:before="0" w:line="30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widowControl w:val="0"/>
        <w:spacing w:after="0" w:before="0" w:line="30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Optimize Product Category Promotions: </w:t>
      </w:r>
      <w:r w:rsidDel="00000000" w:rsidR="00000000" w:rsidRPr="00000000">
        <w:rPr>
          <w:rFonts w:ascii="Helvetica Neue" w:cs="Helvetica Neue" w:eastAsia="Helvetica Neue" w:hAnsi="Helvetica Neue"/>
          <w:rtl w:val="0"/>
        </w:rPr>
        <w:t xml:space="preserve">Leverage insights from top-performing product categories to tailor promotional strategies, particularly for Categories 8, 10 and 7.</w:t>
      </w:r>
    </w:p>
    <w:p w:rsidR="00000000" w:rsidDel="00000000" w:rsidP="00000000" w:rsidRDefault="00000000" w:rsidRPr="00000000" w14:paraId="0000001D">
      <w:pPr>
        <w:widowControl w:val="0"/>
        <w:spacing w:after="0" w:before="0" w:line="30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widowControl w:val="0"/>
        <w:spacing w:after="0" w:before="0" w:line="30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Expand Offerings in High-Spending Ranges: </w:t>
      </w:r>
      <w:r w:rsidDel="00000000" w:rsidR="00000000" w:rsidRPr="00000000">
        <w:rPr>
          <w:rFonts w:ascii="Helvetica Neue" w:cs="Helvetica Neue" w:eastAsia="Helvetica Neue" w:hAnsi="Helvetica Neue"/>
          <w:rtl w:val="0"/>
        </w:rPr>
        <w:t xml:space="preserve">Introduce promotional campaigns and upsell strategies within the $50-$100 and $100-$200 purchase ranges.</w:t>
        <w:br w:type="textWrapping"/>
        <w:br w:type="textWrapping"/>
      </w:r>
      <w:r w:rsidDel="00000000" w:rsidR="00000000" w:rsidRPr="00000000">
        <w:rPr>
          <w:rFonts w:ascii="Helvetica Neue" w:cs="Helvetica Neue" w:eastAsia="Helvetica Neue" w:hAnsi="Helvetica Neue"/>
          <w:b w:val="1"/>
          <w:rtl w:val="0"/>
        </w:rPr>
        <w:t xml:space="preserve">Develop Loyalty Programs in Key Regions: </w:t>
      </w:r>
      <w:r w:rsidDel="00000000" w:rsidR="00000000" w:rsidRPr="00000000">
        <w:rPr>
          <w:rFonts w:ascii="Helvetica Neue" w:cs="Helvetica Neue" w:eastAsia="Helvetica Neue" w:hAnsi="Helvetica Neue"/>
          <w:rtl w:val="0"/>
        </w:rPr>
        <w:t xml:space="preserve">Establish loyalty initiatives specifically aimed at customers in City Category B and those with a long duration of stay in urban areas.</w:t>
      </w:r>
    </w:p>
    <w:p w:rsidR="00000000" w:rsidDel="00000000" w:rsidP="00000000" w:rsidRDefault="00000000" w:rsidRPr="00000000" w14:paraId="0000001F">
      <w:pPr>
        <w:widowControl w:val="0"/>
        <w:spacing w:after="0" w:before="0" w:line="30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widowControl w:val="0"/>
        <w:spacing w:after="0" w:before="0" w:line="30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rtl w:val="0"/>
        </w:rPr>
        <w:t xml:space="preserve">Data Collection:</w:t>
      </w:r>
      <w:r w:rsidDel="00000000" w:rsidR="00000000" w:rsidRPr="00000000">
        <w:rPr>
          <w:rFonts w:ascii="Helvetica Neue" w:cs="Helvetica Neue" w:eastAsia="Helvetica Neue" w:hAnsi="Helvetica Neue"/>
          <w:rtl w:val="0"/>
        </w:rPr>
        <w:t xml:space="preserve"> Integrate additional demographic and time series data to refine CLV calculations further.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tableau.com/views/WalmartCustomerAnalysisDashboard/Dashboard1?:language=en-GB&amp;:sid=&amp;:redirect=auth&amp;:display_count=n&amp;:origin=viz_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