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Rule="auto"/>
        <w:jc w:val="both"/>
        <w:rPr>
          <w:rFonts w:ascii="Calibri" w:cs="Calibri" w:eastAsia="Calibri" w:hAnsi="Calibri"/>
          <w:b w:val="1"/>
          <w:bCs w:val="1"/>
          <w:color w:val="6d9eeb"/>
          <w:sz w:val="32"/>
          <w:szCs w:val="32"/>
        </w:rPr>
      </w:pPr>
      <w:r w:rsidDel="00000000" w:rsidR="00000000" w:rsidRPr="00000000">
        <w:rPr>
          <w:rFonts w:ascii="Calibri" w:cs="Calibri" w:eastAsia="Calibri" w:hAnsi="Calibri"/>
          <w:b w:val="1"/>
          <w:bCs w:val="1"/>
          <w:color w:val="6d9eeb"/>
          <w:sz w:val="32"/>
          <w:szCs w:val="32"/>
          <w:rtl w:val="0"/>
        </w:rPr>
        <w:t xml:space="preserve">METIS WEBSITE USE CASES, VERSION 2</w:t>
      </w:r>
    </w:p>
    <w:p w:rsidR="00000000" w:rsidDel="00000000" w:rsidP="00000000" w:rsidRDefault="00000000" w:rsidRPr="00000000" w14:paraId="00000002">
      <w:pPr>
        <w:spacing w:after="16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One Digital Decisioning Platform For All Your Lending Decisions</w:t>
      </w:r>
    </w:p>
    <w:p w:rsidR="00000000" w:rsidDel="00000000" w:rsidP="00000000" w:rsidRDefault="00000000" w:rsidRPr="00000000" w14:paraId="00000003">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Move beyond navigating multiple apps, documents, and portals with a SINGLE PLATFORM that brings together intelligent workflow automation, configurable decisioning, and real-time borrower intelligence. </w:t>
      </w:r>
    </w:p>
    <w:p w:rsidR="00000000" w:rsidDel="00000000" w:rsidP="00000000" w:rsidRDefault="00000000" w:rsidRPr="00000000" w14:paraId="00000004">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Who We Serve</w:t>
      </w:r>
    </w:p>
    <w:p w:rsidR="00000000" w:rsidDel="00000000" w:rsidP="00000000" w:rsidRDefault="00000000" w:rsidRPr="00000000" w14:paraId="00000005">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icon grids - Banks, NBFCs, Fintechs, MFIs, Government Lenders</w:t>
      </w:r>
    </w:p>
    <w:p w:rsidR="00000000" w:rsidDel="00000000" w:rsidP="00000000" w:rsidRDefault="00000000" w:rsidRPr="00000000" w14:paraId="00000006">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7">
      <w:pPr>
        <w:shd w:fill="ffffff" w:val="clea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Organizations need to have their brain and central nervous system networked to operationalize data-driven decisions. </w:t>
      </w:r>
    </w:p>
    <w:p w:rsidR="00000000" w:rsidDel="00000000" w:rsidP="00000000" w:rsidRDefault="00000000" w:rsidRPr="00000000" w14:paraId="00000008">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Digital Decisioning Platform (DDP) is an interplay of insight and automation.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helps you automate all decisions by running all possible data through a central decision logic supported by augmented insights</w:t>
      </w:r>
    </w:p>
    <w:p w:rsidR="00000000" w:rsidDel="00000000" w:rsidP="00000000" w:rsidRDefault="00000000" w:rsidRPr="00000000" w14:paraId="0000000A">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0B">
      <w:pPr>
        <w:spacing w:after="160" w:before="240" w:lineRule="auto"/>
        <w:jc w:val="both"/>
        <w:rPr>
          <w:rFonts w:ascii="Calibri" w:cs="Calibri" w:eastAsia="Calibri" w:hAnsi="Calibri"/>
          <w:b w:val="1"/>
          <w:bCs w:val="1"/>
          <w:sz w:val="24"/>
          <w:szCs w:val="24"/>
          <w:highlight w:val="cyan"/>
        </w:rPr>
      </w:pPr>
      <w:r w:rsidDel="00000000" w:rsidR="00000000" w:rsidRPr="00000000">
        <w:rPr>
          <w:rFonts w:ascii="Calibri" w:cs="Calibri" w:eastAsia="Calibri" w:hAnsi="Calibri"/>
          <w:b w:val="1"/>
          <w:bCs w:val="1"/>
          <w:sz w:val="24"/>
          <w:szCs w:val="24"/>
          <w:highlight w:val="cyan"/>
          <w:rtl w:val="0"/>
        </w:rPr>
        <w:t xml:space="preserve">Keep titles of the following on the current page (followed by the last section on this page on MSMEs) and create sub-pages</w:t>
      </w:r>
    </w:p>
    <w:p w:rsidR="00000000" w:rsidDel="00000000" w:rsidP="00000000" w:rsidRDefault="00000000" w:rsidRPr="00000000" w14:paraId="0000000C">
      <w:pPr>
        <w:spacing w:after="160" w:before="240" w:lineRule="auto"/>
        <w:jc w:val="both"/>
        <w:rPr>
          <w:rFonts w:ascii="Calibri" w:cs="Calibri" w:eastAsia="Calibri" w:hAnsi="Calibri"/>
          <w:b w:val="1"/>
          <w:bCs w:val="1"/>
          <w:sz w:val="24"/>
          <w:szCs w:val="24"/>
          <w:highlight w:val="cyan"/>
        </w:rPr>
      </w:pPr>
      <w:r w:rsidDel="00000000" w:rsidR="00000000" w:rsidRPr="00000000">
        <w:rPr>
          <w:rFonts w:ascii="Calibri" w:cs="Calibri" w:eastAsia="Calibri" w:hAnsi="Calibri"/>
          <w:b w:val="1"/>
          <w:bCs w:val="1"/>
          <w:sz w:val="24"/>
          <w:szCs w:val="24"/>
          <w:highlight w:val="cyan"/>
          <w:rtl w:val="0"/>
        </w:rPr>
        <w:t xml:space="preserve">Sub- Pages for Use-Cases</w:t>
      </w:r>
    </w:p>
    <w:p w:rsidR="00000000" w:rsidDel="00000000" w:rsidP="00000000" w:rsidRDefault="00000000" w:rsidRPr="00000000" w14:paraId="0000000D">
      <w:pPr>
        <w:spacing w:after="100" w:before="100" w:lineRule="auto"/>
        <w:rPr>
          <w:rFonts w:ascii="Calibri" w:cs="Calibri" w:eastAsia="Calibri" w:hAnsi="Calibri"/>
          <w:b w:val="1"/>
          <w:bCs w:val="1"/>
          <w:color w:val="6aa84f"/>
          <w:sz w:val="32"/>
          <w:szCs w:val="32"/>
        </w:rPr>
      </w:pPr>
      <w:r w:rsidDel="00000000" w:rsidR="00000000" w:rsidRPr="00000000">
        <w:rPr>
          <w:rFonts w:ascii="Calibri" w:cs="Calibri" w:eastAsia="Calibri" w:hAnsi="Calibri"/>
          <w:b w:val="1"/>
          <w:bCs w:val="1"/>
          <w:color w:val="6aa84f"/>
          <w:sz w:val="32"/>
          <w:szCs w:val="32"/>
          <w:rtl w:val="0"/>
        </w:rPr>
        <w:t xml:space="preserve">1. Borrower Data Intelligence (Data Gathering) &amp; Lead Generation </w:t>
      </w:r>
    </w:p>
    <w:p w:rsidR="00000000" w:rsidDel="00000000" w:rsidP="00000000" w:rsidRDefault="00000000" w:rsidRPr="00000000" w14:paraId="0000000E">
      <w:pPr>
        <w:pStyle w:val="Heading3"/>
        <w:keepNext w:val="0"/>
        <w:keepLines w:val="0"/>
        <w:spacing w:after="100" w:before="220" w:lineRule="auto"/>
        <w:rPr>
          <w:rFonts w:ascii="Calibri" w:cs="Calibri" w:eastAsia="Calibri" w:hAnsi="Calibri"/>
          <w:b w:val="1"/>
          <w:bCs w:val="1"/>
          <w:i w:val="1"/>
          <w:iCs w:val="1"/>
          <w:color w:val="000000"/>
        </w:rPr>
      </w:pPr>
      <w:bookmarkStart w:colFirst="0" w:colLast="0" w:name="_a65jwxpqchvg" w:id="0"/>
      <w:bookmarkEnd w:id="0"/>
      <w:r w:rsidDel="00000000" w:rsidR="00000000" w:rsidRPr="00000000">
        <w:rPr>
          <w:rFonts w:ascii="Calibri" w:cs="Calibri" w:eastAsia="Calibri" w:hAnsi="Calibri"/>
          <w:b w:val="1"/>
          <w:bCs w:val="1"/>
          <w:i w:val="1"/>
          <w:iCs w:val="1"/>
          <w:color w:val="000000"/>
          <w:rtl w:val="0"/>
        </w:rPr>
        <w:t xml:space="preserve">Structuring of fragmented data for all your credit decisions &amp; putting focus on leads that matter</w:t>
      </w:r>
    </w:p>
    <w:p w:rsidR="00000000" w:rsidDel="00000000" w:rsidP="00000000" w:rsidRDefault="00000000" w:rsidRPr="00000000" w14:paraId="0000000F">
      <w:pPr>
        <w:pStyle w:val="Heading3"/>
        <w:keepNext w:val="0"/>
        <w:keepLines w:val="0"/>
        <w:spacing w:after="100" w:before="100" w:lineRule="auto"/>
        <w:rPr>
          <w:rFonts w:ascii="Calibri" w:cs="Calibri" w:eastAsia="Calibri" w:hAnsi="Calibri"/>
          <w:b w:val="1"/>
          <w:bCs w:val="1"/>
          <w:color w:val="000000"/>
          <w:sz w:val="24"/>
          <w:szCs w:val="24"/>
        </w:rPr>
      </w:pPr>
      <w:bookmarkStart w:colFirst="0" w:colLast="0" w:name="_9xphsxb7kb09" w:id="1"/>
      <w:bookmarkEnd w:id="1"/>
      <w:r w:rsidDel="00000000" w:rsidR="00000000" w:rsidRPr="00000000">
        <w:rPr>
          <w:rFonts w:ascii="Calibri" w:cs="Calibri" w:eastAsia="Calibri" w:hAnsi="Calibri"/>
          <w:b w:val="1"/>
          <w:bCs w:val="1"/>
          <w:color w:val="000000"/>
          <w:sz w:val="24"/>
          <w:szCs w:val="24"/>
          <w:rtl w:val="0"/>
        </w:rPr>
        <w:t xml:space="preserve">Every credit decision is as good as the data behind it. Metis provides you with a vast amount of structured data and filtered leads to help your lending be more efficient.</w:t>
      </w:r>
    </w:p>
    <w:p w:rsidR="00000000" w:rsidDel="00000000" w:rsidP="00000000" w:rsidRDefault="00000000" w:rsidRPr="00000000" w14:paraId="00000010">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Consumer data today exists across multiple source points—banking systems, digital transactions, e-commerce platforms, business records, UPI payments, and many other source points—changing in real time.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Metis provides you with an infrastructure that gathers, structures, and presents financial and alternative data from 500+ sources into a single intelligence platform that feeds into every single decision down the life cycle. From the structured data, our system helps in producing leads that hold the credentials and potential for conversion.</w:t>
      </w:r>
    </w:p>
    <w:p w:rsidR="00000000" w:rsidDel="00000000" w:rsidP="00000000" w:rsidRDefault="00000000" w:rsidRPr="00000000" w14:paraId="00000011">
      <w:pPr>
        <w:spacing w:after="16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16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Data Intelligence Made Seamless (To be made in infogfx)</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20"/>
        <w:gridCol w:w="2220"/>
        <w:gridCol w:w="2325"/>
        <w:tblGridChange w:id="0">
          <w:tblGrid>
            <w:gridCol w:w="2115"/>
            <w:gridCol w:w="2220"/>
            <w:gridCol w:w="2220"/>
            <w:gridCol w:w="2325"/>
          </w:tblGrid>
        </w:tblGridChange>
      </w:tblGrid>
      <w:tr>
        <w:trPr>
          <w:cantSplit w:val="0"/>
          <w:trHeight w:val="1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MULTIPLE SOURCE POINTS &amp; DATA STRUCTURING</w:t>
            </w:r>
          </w:p>
          <w:p w:rsidR="00000000" w:rsidDel="00000000" w:rsidP="00000000" w:rsidRDefault="00000000" w:rsidRPr="00000000" w14:paraId="00000014">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BUILT FOR VOLUME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UNMATCHED DATA PROTECTION</w:t>
            </w:r>
          </w:p>
          <w:p w:rsidR="00000000" w:rsidDel="00000000" w:rsidP="00000000" w:rsidRDefault="00000000" w:rsidRPr="00000000" w14:paraId="00000017">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LEAD GENERATION</w:t>
            </w:r>
            <w:r w:rsidDel="00000000" w:rsidR="00000000" w:rsidRPr="00000000">
              <w:rPr>
                <w:rtl w:val="0"/>
              </w:rPr>
            </w:r>
          </w:p>
        </w:tc>
      </w:tr>
      <w:tr>
        <w:trPr>
          <w:cantSplit w:val="0"/>
          <w:trHeight w:val="3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procures and structures data from 500+ sources, including financial and behavioral data, in multiple formats, to provide a complete view of the borrower profile.</w:t>
            </w:r>
          </w:p>
          <w:p w:rsidR="00000000" w:rsidDel="00000000" w:rsidP="00000000" w:rsidRDefault="00000000" w:rsidRPr="00000000" w14:paraId="0000001A">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you’re handling hundreds of applications or thousands, Metis infrastructure is equipped to handle a vast amount of data for any scale of organization.</w:t>
            </w:r>
          </w:p>
          <w:p w:rsidR="00000000" w:rsidDel="00000000" w:rsidP="00000000" w:rsidRDefault="00000000" w:rsidRPr="00000000" w14:paraId="0000001C">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implement top-notch security measures to ensure that borrower data is secure and procured in compliance with regulations.</w:t>
            </w:r>
          </w:p>
          <w:p w:rsidR="00000000" w:rsidDel="00000000" w:rsidP="00000000" w:rsidRDefault="00000000" w:rsidRPr="00000000" w14:paraId="0000001E">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lead generation through propensity- based targeting and automated customer engagement. Re-engage incomplete journeys with personalized outreach across WhatsApp, SMS, mobile, email, and voice channels.</w:t>
            </w:r>
          </w:p>
        </w:tc>
      </w:tr>
    </w:tbl>
    <w:p w:rsidR="00000000" w:rsidDel="00000000" w:rsidP="00000000" w:rsidRDefault="00000000" w:rsidRPr="00000000" w14:paraId="00000020">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pStyle w:val="Heading3"/>
        <w:keepNext w:val="0"/>
        <w:keepLines w:val="0"/>
        <w:spacing w:after="100" w:before="100" w:lineRule="auto"/>
        <w:rPr>
          <w:rFonts w:ascii="Calibri" w:cs="Calibri" w:eastAsia="Calibri" w:hAnsi="Calibri"/>
          <w:b w:val="1"/>
          <w:bCs w:val="1"/>
          <w:color w:val="93c47d"/>
          <w:sz w:val="32"/>
          <w:szCs w:val="32"/>
        </w:rPr>
      </w:pPr>
      <w:bookmarkStart w:colFirst="0" w:colLast="0" w:name="_3cegsbrjy0o3" w:id="2"/>
      <w:bookmarkEnd w:id="2"/>
      <w:r w:rsidDel="00000000" w:rsidR="00000000" w:rsidRPr="00000000">
        <w:rPr>
          <w:rFonts w:ascii="Calibri" w:cs="Calibri" w:eastAsia="Calibri" w:hAnsi="Calibri"/>
          <w:b w:val="1"/>
          <w:bCs w:val="1"/>
          <w:color w:val="93c47d"/>
          <w:sz w:val="32"/>
          <w:szCs w:val="32"/>
          <w:rtl w:val="0"/>
        </w:rPr>
        <w:t xml:space="preserve">2. Smarter Onboarding and Verification Workflows</w:t>
      </w:r>
    </w:p>
    <w:p w:rsidR="00000000" w:rsidDel="00000000" w:rsidP="00000000" w:rsidRDefault="00000000" w:rsidRPr="00000000" w14:paraId="00000022">
      <w:pPr>
        <w:pStyle w:val="Heading3"/>
        <w:keepNext w:val="0"/>
        <w:keepLines w:val="0"/>
        <w:spacing w:after="100" w:before="100" w:lineRule="auto"/>
        <w:rPr>
          <w:rFonts w:ascii="Calibri" w:cs="Calibri" w:eastAsia="Calibri" w:hAnsi="Calibri"/>
          <w:b w:val="1"/>
          <w:bCs w:val="1"/>
          <w:i w:val="1"/>
          <w:iCs w:val="1"/>
          <w:color w:val="000000"/>
        </w:rPr>
      </w:pPr>
      <w:bookmarkStart w:colFirst="0" w:colLast="0" w:name="_s6pocy9f5fnk" w:id="3"/>
      <w:bookmarkEnd w:id="3"/>
      <w:r w:rsidDel="00000000" w:rsidR="00000000" w:rsidRPr="00000000">
        <w:rPr>
          <w:rFonts w:ascii="Calibri" w:cs="Calibri" w:eastAsia="Calibri" w:hAnsi="Calibri"/>
          <w:b w:val="1"/>
          <w:bCs w:val="1"/>
          <w:i w:val="1"/>
          <w:iCs w:val="1"/>
          <w:color w:val="000000"/>
          <w:rtl w:val="0"/>
        </w:rPr>
        <w:t xml:space="preserve">Deliver a smooth, frictionless onboarding and verification experience to your customers with Metis’ automated infrastructure.</w:t>
      </w:r>
    </w:p>
    <w:p w:rsidR="00000000" w:rsidDel="00000000" w:rsidP="00000000" w:rsidRDefault="00000000" w:rsidRPr="00000000" w14:paraId="00000023">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helps financial institutions streamline the onboarding and verification process with </w:t>
      </w:r>
      <w:r w:rsidDel="00000000" w:rsidR="00000000" w:rsidRPr="00000000">
        <w:rPr>
          <w:rFonts w:ascii="Calibri" w:cs="Calibri" w:eastAsia="Calibri" w:hAnsi="Calibri"/>
          <w:b w:val="1"/>
          <w:bCs w:val="1"/>
          <w:sz w:val="24"/>
          <w:szCs w:val="24"/>
          <w:rtl w:val="0"/>
        </w:rPr>
        <w:t xml:space="preserve">custom/ready-to-use</w:t>
      </w:r>
      <w:r w:rsidDel="00000000" w:rsidR="00000000" w:rsidRPr="00000000">
        <w:rPr>
          <w:rFonts w:ascii="Calibri" w:cs="Calibri" w:eastAsia="Calibri" w:hAnsi="Calibri"/>
          <w:sz w:val="24"/>
          <w:szCs w:val="24"/>
          <w:rtl w:val="0"/>
        </w:rPr>
        <w:t xml:space="preserve"> APIs and automated workflows. These digital processes reduce manual effort while remaining compliant with regulations, thereby improving operational efficiency and accelerating the customer acquisition journey.</w:t>
      </w:r>
    </w:p>
    <w:p w:rsidR="00000000" w:rsidDel="00000000" w:rsidP="00000000" w:rsidRDefault="00000000" w:rsidRPr="00000000" w14:paraId="00000024">
      <w:pPr>
        <w:spacing w:after="16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Achieve Operational Excellence with Digital Onboarding &amp; KYC Processes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1832884097034"/>
        <w:gridCol w:w="1879.5687331536387"/>
        <w:gridCol w:w="1879.5687331536387"/>
        <w:gridCol w:w="1816.4959568733152"/>
        <w:gridCol w:w="1892.1832884097034"/>
        <w:tblGridChange w:id="0">
          <w:tblGrid>
            <w:gridCol w:w="1892.1832884097034"/>
            <w:gridCol w:w="1879.5687331536387"/>
            <w:gridCol w:w="1879.5687331536387"/>
            <w:gridCol w:w="1816.4959568733152"/>
            <w:gridCol w:w="1892.1832884097034"/>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SEAMLESS INTEGRATION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ORIGINATION AND SMART ONBOARDING OF CUSTOMERS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OF ADVANCED VERFICATION TOOLS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KEEPING THE DATA SECURE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COMPLIANT AND AUDITABLE</w:t>
            </w:r>
          </w:p>
        </w:tc>
      </w:tr>
      <w:tr>
        <w:trPr>
          <w:cantSplit w:val="0"/>
          <w:trHeight w:val="3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customized APIs integrate with your tech stacks, reducing the time and effort required for manual uploads or re-entering data points into your systems.</w:t>
            </w:r>
          </w:p>
          <w:p w:rsidR="00000000" w:rsidDel="00000000" w:rsidP="00000000" w:rsidRDefault="00000000" w:rsidRPr="00000000" w14:paraId="0000002B">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Extracting data from multiple sources and applying analytics to present an accurate and complete picture of the borrower’s profile.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deploys advanced verification tools to deliver a smooth customer experience with built-in fraud-check systems.</w:t>
            </w:r>
          </w:p>
          <w:p w:rsidR="00000000" w:rsidDel="00000000" w:rsidP="00000000" w:rsidRDefault="00000000" w:rsidRPr="00000000" w14:paraId="0000002E">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employs top-tier data security measures to protect data throughout the onboarding process.</w:t>
            </w:r>
          </w:p>
          <w:p w:rsidR="00000000" w:rsidDel="00000000" w:rsidP="00000000" w:rsidRDefault="00000000" w:rsidRPr="00000000" w14:paraId="00000030">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Financial data is accessed through Account Aggregator and consent frameworks, with a complete built-in audit trail that meets the regulatory requirements.  </w:t>
            </w:r>
          </w:p>
          <w:p w:rsidR="00000000" w:rsidDel="00000000" w:rsidP="00000000" w:rsidRDefault="00000000" w:rsidRPr="00000000" w14:paraId="00000032">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33">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34">
      <w:pPr>
        <w:pStyle w:val="Heading3"/>
        <w:keepNext w:val="0"/>
        <w:keepLines w:val="0"/>
        <w:spacing w:after="100" w:before="100" w:lineRule="auto"/>
        <w:rPr>
          <w:rFonts w:ascii="Calibri" w:cs="Calibri" w:eastAsia="Calibri" w:hAnsi="Calibri"/>
          <w:b w:val="1"/>
          <w:bCs w:val="1"/>
          <w:color w:val="6aa84f"/>
          <w:sz w:val="32"/>
          <w:szCs w:val="32"/>
        </w:rPr>
      </w:pPr>
      <w:bookmarkStart w:colFirst="0" w:colLast="0" w:name="_8s1lqll2hp4z" w:id="4"/>
      <w:bookmarkEnd w:id="4"/>
      <w:r w:rsidDel="00000000" w:rsidR="00000000" w:rsidRPr="00000000">
        <w:rPr>
          <w:rFonts w:ascii="Calibri" w:cs="Calibri" w:eastAsia="Calibri" w:hAnsi="Calibri"/>
          <w:b w:val="1"/>
          <w:bCs w:val="1"/>
          <w:color w:val="6aa84f"/>
          <w:sz w:val="32"/>
          <w:szCs w:val="32"/>
          <w:rtl w:val="0"/>
        </w:rPr>
        <w:t xml:space="preserve">3. Underwriting &amp; Propensity Intelligence</w:t>
      </w:r>
    </w:p>
    <w:p w:rsidR="00000000" w:rsidDel="00000000" w:rsidP="00000000" w:rsidRDefault="00000000" w:rsidRPr="00000000" w14:paraId="00000035">
      <w:pPr>
        <w:pStyle w:val="Heading3"/>
        <w:keepNext w:val="0"/>
        <w:keepLines w:val="0"/>
        <w:spacing w:after="100" w:before="100" w:lineRule="auto"/>
        <w:rPr>
          <w:rFonts w:ascii="Calibri" w:cs="Calibri" w:eastAsia="Calibri" w:hAnsi="Calibri"/>
          <w:b w:val="1"/>
          <w:bCs w:val="1"/>
          <w:i w:val="1"/>
          <w:iCs w:val="1"/>
          <w:color w:val="000000"/>
        </w:rPr>
      </w:pPr>
      <w:bookmarkStart w:colFirst="0" w:colLast="0" w:name="_fuu9u62i81k3" w:id="5"/>
      <w:bookmarkEnd w:id="5"/>
      <w:r w:rsidDel="00000000" w:rsidR="00000000" w:rsidRPr="00000000">
        <w:rPr>
          <w:rFonts w:ascii="Calibri" w:cs="Calibri" w:eastAsia="Calibri" w:hAnsi="Calibri"/>
          <w:b w:val="1"/>
          <w:bCs w:val="1"/>
          <w:i w:val="1"/>
          <w:iCs w:val="1"/>
          <w:color w:val="000000"/>
          <w:rtl w:val="0"/>
        </w:rPr>
        <w:t xml:space="preserve">Leverage AI-driven underwriting and propensity models to make faster credit decisions and identify high-intent customers with greater accuracy.</w:t>
      </w:r>
    </w:p>
    <w:p w:rsidR="00000000" w:rsidDel="00000000" w:rsidP="00000000" w:rsidRDefault="00000000" w:rsidRPr="00000000" w14:paraId="00000036">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helps financial institutions move past traditional credit scoring methodology. Metis’ underwriting models assess creditworthiness on a dynamic basis across the full credit cycle by weighing in a vast array of data. This digital approach helps make decisions faster, more consistently, and more defensibly.</w:t>
      </w:r>
    </w:p>
    <w:p w:rsidR="00000000" w:rsidDel="00000000" w:rsidP="00000000" w:rsidRDefault="00000000" w:rsidRPr="00000000" w14:paraId="00000037">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propensity tools use AI/ML to predict borrower behaviour and future intent - which are likely to convert, repay, and respond to a product offer, giving lenders the intelligence to act at the right time with an appropriate offer. </w:t>
      </w:r>
    </w:p>
    <w:p w:rsidR="00000000" w:rsidDel="00000000" w:rsidP="00000000" w:rsidRDefault="00000000" w:rsidRPr="00000000" w14:paraId="00000038">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Experience the Power Of AI &amp; ML in Underwriting &amp; Propensity Scoring</w:t>
      </w:r>
      <w:r w:rsidDel="00000000" w:rsidR="00000000" w:rsidRPr="00000000">
        <w:rPr>
          <w:rFonts w:ascii="Calibri" w:cs="Calibri" w:eastAsia="Calibri" w:hAnsi="Calibri"/>
          <w:b w:val="1"/>
          <w:bCs w:val="1"/>
          <w:sz w:val="24"/>
          <w:szCs w:val="24"/>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20"/>
        <w:gridCol w:w="2190"/>
        <w:gridCol w:w="2250"/>
        <w:tblGridChange w:id="0">
          <w:tblGrid>
            <w:gridCol w:w="2235"/>
            <w:gridCol w:w="2220"/>
            <w:gridCol w:w="2190"/>
            <w:gridCol w:w="225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AI-Powered Underwriting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Real-Time Risk Assessment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Propensity &amp; Behavioural Models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Explainable &amp; Compliant Decisioning</w:t>
            </w:r>
          </w:p>
        </w:tc>
      </w:tr>
      <w:tr>
        <w:trPr>
          <w:cantSplit w:val="0"/>
          <w:trHeight w:val="3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AI-driven underwriting models evaluate borrowers using banking, bureau, GST, financial, and alternative data, </w:t>
            </w:r>
            <w:r w:rsidDel="00000000" w:rsidR="00000000" w:rsidRPr="00000000">
              <w:rPr>
                <w:rFonts w:ascii="Calibri" w:cs="Calibri" w:eastAsia="Calibri" w:hAnsi="Calibri"/>
                <w:sz w:val="24"/>
                <w:szCs w:val="24"/>
                <w:rtl w:val="0"/>
              </w:rPr>
              <w:t xml:space="preserve">consent and non-consent</w:t>
            </w:r>
            <w:r w:rsidDel="00000000" w:rsidR="00000000" w:rsidRPr="00000000">
              <w:rPr>
                <w:rFonts w:ascii="Calibri" w:cs="Calibri" w:eastAsia="Calibri" w:hAnsi="Calibri"/>
                <w:sz w:val="24"/>
                <w:szCs w:val="24"/>
                <w:rtl w:val="0"/>
              </w:rPr>
              <w:t xml:space="preserve">, to deliver faster, more accurate credit decisions.</w:t>
            </w:r>
          </w:p>
          <w:p w:rsidR="00000000" w:rsidDel="00000000" w:rsidP="00000000" w:rsidRDefault="00000000" w:rsidRPr="00000000" w14:paraId="0000003E">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Proving a dynamic score by assessing borrower risk in real time through automated analysis of financial behaviour, cash flows, repayment patterns, behavioral, and transactional intelligence.</w:t>
            </w:r>
          </w:p>
          <w:p w:rsidR="00000000" w:rsidDel="00000000" w:rsidP="00000000" w:rsidRDefault="00000000" w:rsidRPr="00000000" w14:paraId="00000040">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Predictive propensity models help estimate better cash flow estimations (for SMEs and non-salaried individuals), identify delinquency risk, repayment intent, </w:t>
            </w:r>
            <w:r w:rsidDel="00000000" w:rsidR="00000000" w:rsidRPr="00000000">
              <w:rPr>
                <w:rFonts w:ascii="Calibri" w:cs="Calibri" w:eastAsia="Calibri" w:hAnsi="Calibri"/>
                <w:sz w:val="24"/>
                <w:szCs w:val="24"/>
                <w:rtl w:val="0"/>
              </w:rPr>
              <w:t xml:space="preserve">recovery likelihood,</w:t>
            </w:r>
            <w:r w:rsidDel="00000000" w:rsidR="00000000" w:rsidRPr="00000000">
              <w:rPr>
                <w:rFonts w:ascii="Calibri" w:cs="Calibri" w:eastAsia="Calibri" w:hAnsi="Calibri"/>
                <w:sz w:val="24"/>
                <w:szCs w:val="24"/>
                <w:rtl w:val="0"/>
              </w:rPr>
              <w:t xml:space="preserve"> and customer behavior across the credit lifecycle.</w:t>
            </w:r>
          </w:p>
          <w:p w:rsidR="00000000" w:rsidDel="00000000" w:rsidP="00000000" w:rsidRDefault="00000000" w:rsidRPr="00000000" w14:paraId="00000042">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delivers transparent and auditable scoring frameworks with configurable policies and explainable AI aligned with regulatory requirements. We produce AI-based reports that mimic human style and provide a clear decision, not just data points and scores.</w:t>
            </w:r>
          </w:p>
          <w:p w:rsidR="00000000" w:rsidDel="00000000" w:rsidP="00000000" w:rsidRDefault="00000000" w:rsidRPr="00000000" w14:paraId="00000044">
            <w:pPr>
              <w:spacing w:after="160" w:before="240" w:lineRule="auto"/>
              <w:jc w:val="both"/>
              <w:rPr>
                <w:rFonts w:ascii="Calibri" w:cs="Calibri" w:eastAsia="Calibri" w:hAnsi="Calibri"/>
                <w:color w:val="ff9900"/>
                <w:sz w:val="24"/>
                <w:szCs w:val="24"/>
              </w:rPr>
            </w:pPr>
            <w:r w:rsidDel="00000000" w:rsidR="00000000" w:rsidRPr="00000000">
              <w:rPr>
                <w:rFonts w:ascii="Calibri" w:cs="Calibri" w:eastAsia="Calibri" w:hAnsi="Calibri"/>
                <w:color w:val="ff9900"/>
                <w:sz w:val="24"/>
                <w:szCs w:val="24"/>
                <w:rtl w:val="0"/>
              </w:rPr>
              <w:t xml:space="preserve"> </w:t>
            </w:r>
          </w:p>
        </w:tc>
      </w:tr>
    </w:tbl>
    <w:p w:rsidR="00000000" w:rsidDel="00000000" w:rsidP="00000000" w:rsidRDefault="00000000" w:rsidRPr="00000000" w14:paraId="00000045">
      <w:pPr>
        <w:spacing w:after="160" w:before="240" w:lineRule="auto"/>
        <w:jc w:val="both"/>
        <w:rPr>
          <w:rFonts w:ascii="Calibri" w:cs="Calibri" w:eastAsia="Calibri" w:hAnsi="Calibri"/>
          <w:b w:val="1"/>
          <w:bCs w:val="1"/>
          <w:color w:val="6aa84f"/>
          <w:sz w:val="32"/>
          <w:szCs w:val="32"/>
        </w:rPr>
      </w:pPr>
      <w:r w:rsidDel="00000000" w:rsidR="00000000" w:rsidRPr="00000000">
        <w:rPr>
          <w:rFonts w:ascii="Calibri" w:cs="Calibri" w:eastAsia="Calibri" w:hAnsi="Calibri"/>
          <w:b w:val="1"/>
          <w:bCs w:val="1"/>
          <w:color w:val="6aa84f"/>
          <w:sz w:val="32"/>
          <w:szCs w:val="32"/>
          <w:rtl w:val="0"/>
        </w:rPr>
        <w:t xml:space="preserve">4. Early Warning Signs to Improve Portfolio Health</w:t>
      </w:r>
    </w:p>
    <w:p w:rsidR="00000000" w:rsidDel="00000000" w:rsidP="00000000" w:rsidRDefault="00000000" w:rsidRPr="00000000" w14:paraId="00000046">
      <w:pPr>
        <w:pStyle w:val="Heading3"/>
        <w:keepNext w:val="0"/>
        <w:keepLines w:val="0"/>
        <w:spacing w:after="100" w:before="100" w:lineRule="auto"/>
        <w:rPr>
          <w:rFonts w:ascii="Calibri" w:cs="Calibri" w:eastAsia="Calibri" w:hAnsi="Calibri"/>
          <w:b w:val="1"/>
          <w:bCs w:val="1"/>
          <w:i w:val="1"/>
          <w:iCs w:val="1"/>
          <w:color w:val="000000"/>
        </w:rPr>
      </w:pPr>
      <w:bookmarkStart w:colFirst="0" w:colLast="0" w:name="_dqim5o7pvcms" w:id="6"/>
      <w:bookmarkEnd w:id="6"/>
      <w:r w:rsidDel="00000000" w:rsidR="00000000" w:rsidRPr="00000000">
        <w:rPr>
          <w:rFonts w:ascii="Calibri" w:cs="Calibri" w:eastAsia="Calibri" w:hAnsi="Calibri"/>
          <w:b w:val="1"/>
          <w:bCs w:val="1"/>
          <w:i w:val="1"/>
          <w:iCs w:val="1"/>
          <w:color w:val="000000"/>
          <w:rtl w:val="0"/>
        </w:rPr>
        <w:t xml:space="preserve">Identify emerging risks and deteriorating financial patterns before they affect portfolio quality.</w:t>
      </w:r>
    </w:p>
    <w:p w:rsidR="00000000" w:rsidDel="00000000" w:rsidP="00000000" w:rsidRDefault="00000000" w:rsidRPr="00000000" w14:paraId="00000047">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Delinquencies are never sudden; the signals are prevalent much before a payment is missed. Metis platforms are built to catch them early. A customer’s profile is continuously monitored, and any anomalies or changing patterns are notified to the lender. With advanced intelligence in place, lenders can take proactive measures to prevent delinquency rather than reactive ones after it occurs.</w:t>
      </w:r>
    </w:p>
    <w:p w:rsidR="00000000" w:rsidDel="00000000" w:rsidP="00000000" w:rsidRDefault="00000000" w:rsidRPr="00000000" w14:paraId="00000048">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PREVENTING DELINQUENCIES IN TIME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75"/>
        <w:gridCol w:w="2205"/>
        <w:gridCol w:w="2205"/>
        <w:tblGridChange w:id="0">
          <w:tblGrid>
            <w:gridCol w:w="2310"/>
            <w:gridCol w:w="2175"/>
            <w:gridCol w:w="2205"/>
            <w:gridCol w:w="220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Continuous Risk Monitoring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AI-DRIVEN ALERT SYSTEMS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PORTFOLIO HEALTH MONITORING &amp; VISIBILITY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COLLECTIONS OPTIMIZATION</w:t>
            </w:r>
          </w:p>
        </w:tc>
      </w:tr>
      <w:tr>
        <w:trPr>
          <w:cantSplit w:val="0"/>
          <w:trHeight w:val="46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continuously monitors loans after disbursals on data points, both consent and non-consent,  to identify emerging risk patterns and early warning signs in real time. There are customized solutions for the proprietary and partnership segments.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100" w:before="1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Intelligent alert frameworks and predictive risk models help lenders proactively prioritize high-risk accounts and initiate timely interventions.</w:t>
            </w:r>
          </w:p>
          <w:p w:rsidR="00000000" w:rsidDel="00000000" w:rsidP="00000000" w:rsidRDefault="00000000" w:rsidRPr="00000000" w14:paraId="00000050">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16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Gain centralized visibility into portfolio health, exposure trends, delinquency movements, and concentration risks through real-time monitoring dashboards, automated reporting, DPD analysis, roll-over analysis, and Probability of Default (PD) models. </w:t>
            </w:r>
            <w:r w:rsidDel="00000000" w:rsidR="00000000" w:rsidRPr="00000000">
              <w:rPr>
                <w:rFonts w:ascii="Calibri" w:cs="Calibri" w:eastAsia="Calibri" w:hAnsi="Calibri"/>
                <w:b w:val="1"/>
                <w:bCs w:val="1"/>
                <w:sz w:val="24"/>
                <w:szCs w:val="24"/>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16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Elevate your collections and recovery mechanisms by leveraging automation and predictive analytics. Automate collection calls and prioritize accounts based on their probability of repayment to maximize recovery rates.</w:t>
            </w:r>
          </w:p>
        </w:tc>
      </w:tr>
    </w:tbl>
    <w:p w:rsidR="00000000" w:rsidDel="00000000" w:rsidP="00000000" w:rsidRDefault="00000000" w:rsidRPr="00000000" w14:paraId="00000053">
      <w:pPr>
        <w:spacing w:after="16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54">
      <w:pPr>
        <w:spacing w:after="16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w:t>
      </w:r>
    </w:p>
    <w:p w:rsidR="00000000" w:rsidDel="00000000" w:rsidP="00000000" w:rsidRDefault="00000000" w:rsidRPr="00000000" w14:paraId="00000055">
      <w:pPr>
        <w:spacing w:after="160" w:before="240" w:lineRule="auto"/>
        <w:jc w:val="both"/>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16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(This to appear after title grids/tabs for sub-pages)</w:t>
      </w:r>
    </w:p>
    <w:p w:rsidR="00000000" w:rsidDel="00000000" w:rsidP="00000000" w:rsidRDefault="00000000" w:rsidRPr="00000000" w14:paraId="00000057">
      <w:pPr>
        <w:spacing w:after="160" w:before="240" w:lineRule="auto"/>
        <w:jc w:val="both"/>
        <w:rPr>
          <w:rFonts w:ascii="Calibri" w:cs="Calibri" w:eastAsia="Calibri" w:hAnsi="Calibri"/>
          <w:b w:val="1"/>
          <w:bCs w:val="1"/>
          <w:color w:val="6aa84f"/>
          <w:sz w:val="32"/>
          <w:szCs w:val="32"/>
        </w:rPr>
      </w:pPr>
      <w:r w:rsidDel="00000000" w:rsidR="00000000" w:rsidRPr="00000000">
        <w:rPr>
          <w:rFonts w:ascii="Calibri" w:cs="Calibri" w:eastAsia="Calibri" w:hAnsi="Calibri"/>
          <w:b w:val="1"/>
          <w:bCs w:val="1"/>
          <w:color w:val="6aa84f"/>
          <w:sz w:val="32"/>
          <w:szCs w:val="32"/>
          <w:rtl w:val="0"/>
        </w:rPr>
        <w:t xml:space="preserve">BUILDING USE- CASES TO OPTIMIZE YOUR MSME &amp; RETAIL LENDING AUTOMATION</w:t>
      </w:r>
    </w:p>
    <w:p w:rsidR="00000000" w:rsidDel="00000000" w:rsidP="00000000" w:rsidRDefault="00000000" w:rsidRPr="00000000" w14:paraId="00000058">
      <w:pPr>
        <w:spacing w:after="160" w:before="240" w:line="276" w:lineRule="auto"/>
        <w:jc w:val="both"/>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Empowering MSMEs by enabling financial entities to assess better with digital decisioning tools</w:t>
      </w:r>
    </w:p>
    <w:p w:rsidR="00000000" w:rsidDel="00000000" w:rsidP="00000000" w:rsidRDefault="00000000" w:rsidRPr="00000000" w14:paraId="00000059">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Traditional MSME underwriting is often slowed by scattered data and limited business insights. Metis’ focus is on empowering financial institutions with expertise tailored for MSMEs and individuals, categories that remain underserved in India. Metis brings together data, analytics, and AI to help lenders reduce turnaround times, work with alternative data, improve credit accuracy, and enable faster access to capital for MSMEs and individuals. We customize lending cycles for personal loans, business loans, loans against shares, and loans against property.</w:t>
      </w:r>
    </w:p>
    <w:p w:rsidR="00000000" w:rsidDel="00000000" w:rsidP="00000000" w:rsidRDefault="00000000" w:rsidRPr="00000000" w14:paraId="0000005A">
      <w:pPr>
        <w:spacing w:after="16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Reimagining MSME Lending with Intelligent Automation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190"/>
        <w:gridCol w:w="2280"/>
        <w:tblGridChange w:id="0">
          <w:tblGrid>
            <w:gridCol w:w="2235"/>
            <w:gridCol w:w="2190"/>
            <w:gridCol w:w="2190"/>
            <w:gridCol w:w="228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16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End-to-End Lending Automation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16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Beyond Credit History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16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MSME-Specific Risk Models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16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GST and Bank Statement Reconciliation</w:t>
            </w:r>
          </w:p>
        </w:tc>
      </w:tr>
      <w:tr>
        <w:trPr>
          <w:cantSplit w:val="0"/>
          <w:trHeight w:val="4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document ingestion to credit decision to continuous risk monitoring to collections, Metis automates the entire lending workflow — reducing manual intervention, compressing turnaround time, and scaling without additional hiring or workload.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MSMEs and the retail public, our tech stack works beyond static credit scores. We assess cash flows, GST filings, vendor invoices, personal assets and ITR filings for individuals, among others.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Metis deploys risk models purpose-trained on MSME data - accounting for seasonality, sectoral patterns, and cash-heavy business behaviour that generic credit models are not built to handle.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gap between GST filings and actual bank statements data is one of the biggest health indicators of MSMEs. Metis provides trained infrastructure for identifying gaps.</w:t>
            </w:r>
          </w:p>
        </w:tc>
      </w:tr>
    </w:tbl>
    <w:p w:rsidR="00000000" w:rsidDel="00000000" w:rsidP="00000000" w:rsidRDefault="00000000" w:rsidRPr="00000000" w14:paraId="00000063">
      <w:pPr>
        <w:spacing w:after="160" w:befor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