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color w:val="000000"/>
        </w:rPr>
        <w:t>SiteFlow Product Requirements Document</w:t>
      </w:r>
    </w:p>
    <w:p>
      <w:r>
        <w:t>Workflow automation for independent clinical research sites</w:t>
      </w:r>
    </w:p>
    <w:p>
      <w:pPr>
        <w:spacing w:after="280"/>
      </w:pPr>
      <w:r>
        <w:t>Anish Gudipaati  |  Version 2  |  September 2026</w:t>
      </w:r>
    </w:p>
    <w:p>
      <w:pPr>
        <w:pStyle w:val="Heading1"/>
      </w:pPr>
      <w:r>
        <w:rPr>
          <w:color w:val="000000"/>
        </w:rPr>
        <w:t xml:space="preserve">Product scope</w:t>
      </w:r>
    </w:p>
    <w:p>
      <w:r>
        <w:t xml:space="preserve">SiteFlow is a proposed mobile tool for clinical research coordinators at small independent sites. I scoped it around visit intake, documentation preparation, and principal investigator review. The first test is whether it saves enough reconciliation work to justify a paid subscription alongside existing site software.</w:t>
      </w:r>
    </w:p>
    <w:p>
      <w:r>
        <w:t xml:space="preserve">The first release would support one approved workflow in one study at each pilot site. A coordinator completes the visit checklist, reviews a prepared documentation packet, and sends that version to an authorized reviewer. Sponsor EDC entry remains a separate step until an integration is approved. The pilot must include that work when measuring time saved.</w:t>
      </w:r>
    </w:p>
    <w:p>
      <w:pPr>
        <w:pStyle w:val="Heading2"/>
      </w:pPr>
      <w:r>
        <w:rPr>
          <w:color w:val="000000"/>
        </w:rPr>
        <w:t xml:space="preserve">Existing alternatives</w:t>
      </w:r>
    </w:p>
    <w:p>
      <w:r>
        <w:t xml:space="preserve">Veeva offers site-focused eISF and CTMS, while Florence offers eRegulatory, eSource, and eConsent. SiteFlow would need to make a specific workflow easier at an acceptable cost. Veeva’s free eISF tier is a substantial alternative to the proposed $199 monthly subscription. [S1–S3]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128"/>
      </w:tblGrid>
      <w:tr>
        <w:trPr>
          <w:cantSplit/>
          <w:tblHeader/>
        </w:trPr>
        <w:tc>
          <w:tcPr>
            <w:tcW w:type="dxa" w:w="1944"/>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Decision</w:t>
            </w:r>
          </w:p>
        </w:tc>
        <w:tc>
          <w:tcPr>
            <w:tcW w:type="dxa" w:w="7128"/>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Reason</w:t>
            </w:r>
          </w:p>
        </w:tc>
      </w:tr>
      <w:tr>
        <w:trPr>
          <w:cantSplit/>
        </w:trPr>
        <w:tc>
          <w:tcPr>
            <w:tcW w:type="dxa" w:w="194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Initial customer</w:t>
            </w:r>
          </w:p>
        </w:tc>
        <w:tc>
          <w:tcPr>
            <w:tcW w:type="dxa" w:w="712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Independent site with 1–10 active trials, a coordinator champion, and an identified investigator or director who can approve a pilot.</w:t>
            </w:r>
          </w:p>
        </w:tc>
      </w:tr>
      <w:tr>
        <w:trPr>
          <w:cantSplit/>
        </w:trPr>
        <w:tc>
          <w:tcPr>
            <w:tcW w:type="dxa" w:w="194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Initial workflow</w:t>
            </w:r>
          </w:p>
        </w:tc>
        <w:tc>
          <w:tcPr>
            <w:tcW w:type="dxa" w:w="712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Visit completion → documentation review → authorized investigator sign-off.</w:t>
            </w:r>
          </w:p>
        </w:tc>
      </w:tr>
      <w:tr>
        <w:trPr>
          <w:cantSplit/>
        </w:trPr>
        <w:tc>
          <w:tcPr>
            <w:tcW w:type="dxa" w:w="194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Primary outcome</w:t>
            </w:r>
          </w:p>
        </w:tc>
        <w:tc>
          <w:tcPr>
            <w:tcW w:type="dxa" w:w="712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Less total coordinator administration per completed visit, without higher correction or exception rates.</w:t>
            </w:r>
          </w:p>
        </w:tc>
      </w:tr>
      <w:tr>
        <w:trPr>
          <w:cantSplit/>
        </w:trPr>
        <w:tc>
          <w:tcPr>
            <w:tcW w:type="dxa" w:w="194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 xml:space="preserve">Expansion criteria</w:t>
            </w:r>
          </w:p>
        </w:tc>
        <w:tc>
          <w:tcPr>
            <w:tcW w:type="dxa" w:w="712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Demonstrate repeat use and paid demand before adding integrations or multi-site administration.</w:t>
            </w:r>
          </w:p>
        </w:tc>
      </w:tr>
    </w:tbl>
    <w:p>
      <w:pPr>
        <w:spacing w:after="0"/>
      </w:pPr>
    </w:p>
    <w:p>
      <w:r>
        <w:t xml:space="preserve">Status: product concept, not launched or validated. This PRD separates public-source observations, planning assumptions, and proposed tests.</w:t>
      </w:r>
    </w:p>
    <w:p>
      <w:r>
        <w:br w:type="page"/>
      </w:r>
    </w:p>
    <w:p>
      <w:pPr>
        <w:pStyle w:val="Heading1"/>
      </w:pPr>
      <w:r>
        <w:rPr>
          <w:color w:val="000000"/>
        </w:rPr>
        <w:t xml:space="preserve">Discovery and target users</w:t>
      </w:r>
    </w:p>
    <w:p>
      <w:r>
        <w:t xml:space="preserve">I reviewed 53 public sources, including coordinator forums, software and job reviews, and day-in-the-life videos. Common concerns were administrative work, fragmented systems, delayed signatures, and coordinator overload. These observations informed the concept; they do not establish how common or severe each problem is across sites.</w:t>
      </w:r>
    </w:p>
    <w:p>
      <w:pPr>
        <w:pStyle w:val="Heading2"/>
      </w:pPr>
      <w:r>
        <w:rPr>
          <w:color w:val="000000"/>
        </w:rPr>
        <w:t>User and buying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6984"/>
      </w:tblGrid>
      <w:tr>
        <w:trPr>
          <w:cantSplit/>
          <w:tblHeader/>
        </w:trPr>
        <w:tc>
          <w:tcPr>
            <w:tcW w:type="dxa" w:w="2088"/>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Role</w:t>
            </w:r>
          </w:p>
        </w:tc>
        <w:tc>
          <w:tcPr>
            <w:tcW w:type="dxa" w:w="6984"/>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Job and constraint</w:t>
            </w:r>
          </w:p>
        </w:tc>
      </w:tr>
      <w:tr>
        <w:trPr>
          <w:cantSplit/>
        </w:trPr>
        <w:tc>
          <w:tcPr>
            <w:tcW w:type="dxa" w:w="208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Coordinator</w:t>
            </w:r>
          </w:p>
        </w:tc>
        <w:tc>
          <w:tcPr>
            <w:tcW w:type="dxa" w:w="698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Complete protocol-specific visit work and reconcile records while moving between clinical and administrative tasks. Needs visible task status and reliable recovery from interruptions.</w:t>
            </w:r>
          </w:p>
        </w:tc>
      </w:tr>
      <w:tr>
        <w:trPr>
          <w:cantSplit/>
        </w:trPr>
        <w:tc>
          <w:tcPr>
            <w:tcW w:type="dxa" w:w="208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Investigator or site director</w:t>
            </w:r>
          </w:p>
        </w:tc>
        <w:tc>
          <w:tcPr>
            <w:tcW w:type="dxa" w:w="698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Review work within delegated authority, oversee study conduct, approve spend, and assess adoption risk. May need institutional or sponsor approval.</w:t>
            </w:r>
          </w:p>
        </w:tc>
      </w:tr>
      <w:tr>
        <w:trPr>
          <w:cantSplit/>
        </w:trPr>
        <w:tc>
          <w:tcPr>
            <w:tcW w:type="dxa" w:w="208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Regulatory coordinator</w:t>
            </w:r>
          </w:p>
        </w:tc>
        <w:tc>
          <w:tcPr>
            <w:tcW w:type="dxa" w:w="698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Verify document versions and study requirements; prevent unreviewed material entering the authoritative binder.</w:t>
            </w:r>
          </w:p>
        </w:tc>
      </w:tr>
      <w:tr>
        <w:trPr>
          <w:cantSplit/>
        </w:trPr>
        <w:tc>
          <w:tcPr>
            <w:tcW w:type="dxa" w:w="208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Sponsor or monitor</w:t>
            </w:r>
          </w:p>
        </w:tc>
        <w:tc>
          <w:tcPr>
            <w:tcW w:type="dxa" w:w="698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Inspect authorized study records and resolve queries. Does not receive broad default access across the site.</w:t>
            </w:r>
          </w:p>
        </w:tc>
      </w:tr>
    </w:tbl>
    <w:p>
      <w:pPr>
        <w:spacing w:after="0"/>
      </w:pPr>
    </w:p>
    <w:p>
      <w:pPr>
        <w:pStyle w:val="Heading2"/>
      </w:pPr>
      <w:r>
        <w:rPr>
          <w:color w:val="000000"/>
        </w:rPr>
        <w:t xml:space="preserve">Planned workflow research</w:t>
      </w:r>
    </w:p>
    <w:p>
      <w:r>
        <w:t xml:space="preserve">Recruit six sites, including paper-heavy practices and those using eISF software. Interview a coordinator and the buyer separately at each site. With permission, observe an eligible visit workflow without collecting unnecessary patient information. Record task times, system changes, interruptions, and which documents are authoritative.</w:t>
      </w:r>
    </w:p>
    <w:p>
      <w:pPr>
        <w:ind w:left="187" w:hanging="187"/>
      </w:pPr>
      <w:r>
        <w:rPr>
          <w:b/>
        </w:rPr>
        <w:t xml:space="preserve">• </w:t>
      </w:r>
      <w:r>
        <w:t>Ask the coordinator to demonstrate the last delayed visit packet, including every workaround, rather than asking whether an app sounds useful.</w:t>
      </w:r>
    </w:p>
    <w:p>
      <w:pPr>
        <w:ind w:left="187" w:hanging="187"/>
      </w:pPr>
      <w:r>
        <w:rPr>
          <w:b/>
        </w:rPr>
        <w:t xml:space="preserve">• </w:t>
      </w:r>
      <w:r>
        <w:t>Ask the buyer what purchase, privacy, sponsor, and security approvals a $199 monthly tool would actually require.</w:t>
      </w:r>
    </w:p>
    <w:p>
      <w:pPr>
        <w:ind w:left="187" w:hanging="187"/>
      </w:pPr>
      <w:r>
        <w:rPr>
          <w:b/>
        </w:rPr>
        <w:t xml:space="preserve">• </w:t>
      </w:r>
      <w:r>
        <w:t>Test whether sites will run a paid pilot while keeping their existing eISF. If value depends on replacing the whole stack, reconsider the initial scope.</w:t>
      </w:r>
    </w:p>
    <w:p>
      <w:r>
        <w:t xml:space="preserve">For each observation, record the source, date, workflow, and requirement it informs. Complaints about delayed signatures, for example, justify testing a review queue; the queue’s effect on regulatory risk would still need evaluation. Vendor and regulatory sources appear in the references.</w:t>
      </w:r>
    </w:p>
    <w:p>
      <w:r>
        <w:br w:type="page"/>
      </w:r>
    </w:p>
    <w:p>
      <w:pPr>
        <w:pStyle w:val="Heading1"/>
      </w:pPr>
      <w:r>
        <w:rPr>
          <w:color w:val="000000"/>
        </w:rPr>
        <w:t xml:space="preserve">Workflow requirements</w:t>
      </w:r>
    </w:p>
    <w:p>
      <w:r>
        <w:t xml:space="preserve">Users must be able to distinguish a saved draft, a synchronized record, a reviewed packet, and a signed record. A disappearing spinner or a sent reminder must not indicate completion.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880"/>
        <w:gridCol w:w="5256"/>
      </w:tblGrid>
      <w:tr>
        <w:trPr>
          <w:cantSplit/>
          <w:tblHeader/>
        </w:trPr>
        <w:tc>
          <w:tcPr>
            <w:tcW w:type="dxa" w:w="936"/>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Step</w:t>
            </w:r>
          </w:p>
        </w:tc>
        <w:tc>
          <w:tcPr>
            <w:tcW w:type="dxa" w:w="2880"/>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User action</w:t>
            </w:r>
          </w:p>
        </w:tc>
        <w:tc>
          <w:tcPr>
            <w:tcW w:type="dxa" w:w="5256"/>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Required behavior</w:t>
            </w:r>
          </w:p>
        </w:tc>
      </w:tr>
      <w:tr>
        <w:trPr>
          <w:cantSplit/>
        </w:trPr>
        <w:tc>
          <w:tcPr>
            <w:tcW w:type="dxa" w:w="93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Prepare</w:t>
            </w:r>
          </w:p>
        </w:tc>
        <w:tc>
          <w:tcPr>
            <w:tcW w:type="dxa" w:w="288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Choose study, visit, and approved checklist.</w:t>
            </w:r>
          </w:p>
        </w:tc>
        <w:tc>
          <w:tcPr>
            <w:tcW w:type="dxa" w:w="525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Display study identifier, template version, required fields, and authorized role.</w:t>
            </w:r>
          </w:p>
        </w:tc>
      </w:tr>
      <w:tr>
        <w:trPr>
          <w:cantSplit/>
        </w:trPr>
        <w:tc>
          <w:tcPr>
            <w:tcW w:type="dxa" w:w="93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Capture</w:t>
            </w:r>
          </w:p>
        </w:tc>
        <w:tc>
          <w:tcPr>
            <w:tcW w:type="dxa" w:w="288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Enter permitted observations and checklist items.</w:t>
            </w:r>
          </w:p>
        </w:tc>
        <w:tc>
          <w:tcPr>
            <w:tcW w:type="dxa" w:w="525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Save field-level progress; distinguish required, missing, and not-applicable values.</w:t>
            </w:r>
          </w:p>
        </w:tc>
      </w:tr>
      <w:tr>
        <w:trPr>
          <w:cantSplit/>
        </w:trPr>
        <w:tc>
          <w:tcPr>
            <w:tcW w:type="dxa" w:w="93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Resolve</w:t>
            </w:r>
          </w:p>
        </w:tc>
        <w:tc>
          <w:tcPr>
            <w:tcW w:type="dxa" w:w="288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Review the prepared packet.</w:t>
            </w:r>
          </w:p>
        </w:tc>
        <w:tc>
          <w:tcPr>
            <w:tcW w:type="dxa" w:w="525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Expose source links, changed fields, missing documents, and unresolved exceptions.</w:t>
            </w:r>
          </w:p>
        </w:tc>
      </w:tr>
      <w:tr>
        <w:trPr>
          <w:cantSplit/>
        </w:trPr>
        <w:tc>
          <w:tcPr>
            <w:tcW w:type="dxa" w:w="93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Route</w:t>
            </w:r>
          </w:p>
        </w:tc>
        <w:tc>
          <w:tcPr>
            <w:tcW w:type="dxa" w:w="288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Request investigator review.</w:t>
            </w:r>
          </w:p>
        </w:tc>
        <w:tc>
          <w:tcPr>
            <w:tcW w:type="dxa" w:w="525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Choose an authorized reviewer; record routing time and the exact submitted version.</w:t>
            </w:r>
          </w:p>
        </w:tc>
      </w:tr>
      <w:tr>
        <w:trPr>
          <w:cantSplit/>
        </w:trPr>
        <w:tc>
          <w:tcPr>
            <w:tcW w:type="dxa" w:w="93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Review</w:t>
            </w:r>
          </w:p>
        </w:tc>
        <w:tc>
          <w:tcPr>
            <w:tcW w:type="dxa" w:w="288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Approve or return with a reason.</w:t>
            </w:r>
          </w:p>
        </w:tc>
        <w:tc>
          <w:tcPr>
            <w:tcW w:type="dxa" w:w="525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Preserve the submitted version; any later material edit requires renewed review.</w:t>
            </w:r>
          </w:p>
        </w:tc>
      </w:tr>
      <w:tr>
        <w:trPr>
          <w:cantSplit/>
        </w:trPr>
        <w:tc>
          <w:tcPr>
            <w:tcW w:type="dxa" w:w="93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Close</w:t>
            </w:r>
          </w:p>
        </w:tc>
        <w:tc>
          <w:tcPr>
            <w:tcW w:type="dxa" w:w="288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Export and reconcile external obligations.</w:t>
            </w:r>
          </w:p>
        </w:tc>
        <w:tc>
          <w:tcPr>
            <w:tcW w:type="dxa" w:w="525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Show export status and outstanding EDC or binder tasks separately from internal completion.</w:t>
            </w:r>
          </w:p>
        </w:tc>
      </w:tr>
    </w:tbl>
    <w:p>
      <w:pPr>
        <w:spacing w:after="0"/>
      </w:pPr>
    </w:p>
    <w:p>
      <w:pPr>
        <w:pStyle w:val="Heading2"/>
      </w:pPr>
      <w:r>
        <w:rPr>
          <w:color w:val="000000"/>
        </w:rPr>
        <w:t xml:space="preserve">Proposed screens</w:t>
      </w:r>
    </w:p>
    <w:p>
      <w:r>
        <w:t xml:space="preserve">The Today view lists assigned visits, overdue reviews, and sync status. The visit workspace shows the checklist, document version, and save status. The review packet places sources beside prepared fields and unresolved items above the approval button. The investigator queue shows the study, due date, changes, and reason for review. These are screen specifications for the proposed product.</w:t>
      </w:r>
    </w:p>
    <w:p>
      <w:pPr>
        <w:pStyle w:val="Heading2"/>
      </w:pPr>
      <w:r>
        <w:rPr>
          <w:color w:val="000000"/>
        </w:rPr>
        <w:t>Critical edge cases</w:t>
      </w:r>
    </w:p>
    <w:p>
      <w:pPr>
        <w:ind w:left="187" w:hanging="187"/>
      </w:pPr>
      <w:r>
        <w:rPr>
          <w:b/>
        </w:rPr>
        <w:t xml:space="preserve">• </w:t>
      </w:r>
      <w:r>
        <w:t>Offline device: label changes as pending; allow draft capture only on approved encrypted devices; block signing until the server has the final version.</w:t>
      </w:r>
    </w:p>
    <w:p>
      <w:pPr>
        <w:ind w:left="187" w:hanging="187"/>
      </w:pPr>
      <w:r>
        <w:rPr>
          <w:b/>
        </w:rPr>
        <w:t xml:space="preserve">• </w:t>
      </w:r>
      <w:r>
        <w:t>Concurrent edits: preserve both versions, identify the conflicting fields, and require explicit reconciliation. Never silently apply last-write-wins to regulated data.</w:t>
      </w:r>
    </w:p>
    <w:p>
      <w:pPr>
        <w:ind w:left="187" w:hanging="187"/>
      </w:pPr>
      <w:r>
        <w:rPr>
          <w:b/>
        </w:rPr>
        <w:t xml:space="preserve">• </w:t>
      </w:r>
      <w:r>
        <w:t>Wrong participant or study: require explicit context confirmation before capture; restrict moving records across studies and retain the correction trail.</w:t>
      </w:r>
    </w:p>
    <w:p>
      <w:pPr>
        <w:ind w:left="187" w:hanging="187"/>
      </w:pPr>
      <w:r>
        <w:rPr>
          <w:b/>
        </w:rPr>
        <w:t xml:space="preserve">• </w:t>
      </w:r>
      <w:r>
        <w:t>Urgent clinical issue: direct users to the site’s established safety and reporting procedures. SiteFlow reminders are not a substitute for adverse-event reporting.</w:t>
      </w:r>
    </w:p>
    <w:p>
      <w:r>
        <w:br w:type="page"/>
      </w:r>
    </w:p>
    <w:p>
      <w:pPr>
        <w:pStyle w:val="Heading1"/>
      </w:pPr>
      <w:r>
        <w:rPr>
          <w:color w:val="000000"/>
        </w:rPr>
        <w:t>Scope and acceptance criteria</w:t>
      </w:r>
    </w:p>
    <w:p>
      <w:r>
        <w:t xml:space="preserve">P0 requirements must pass before release. P1 features follow a successful pilot. The initial scope retains mobile intake, documentation preparation, and investigator review.</w:t>
      </w:r>
    </w:p>
    <w:p>
      <w:pPr>
        <w:pStyle w:val="Heading2"/>
      </w:pPr>
      <w:r>
        <w:rPr>
          <w:color w:val="000000"/>
        </w:rPr>
        <w:t>P0 Mobile intake</w:t>
      </w:r>
    </w:p>
    <w:p>
      <w:r>
        <w:t>SF01: Given an authorized coordinator and an active study template, the system accepts only permitted field types and units, records the template version, and preserves entered values after an interrupted session. Required omissions remain visibly unresolved. Repeated save requests with the same operation identifier create one logical update.</w:t>
      </w:r>
    </w:p>
    <w:p>
      <w:r>
        <w:t>SF02: Given a lost connection, the device identifies pending changes and the last successful sync. Reconnection either confirms the server version or exposes a conflict for review. A test with two devices editing the same field must preserve both values and their authors. Clinical offline use is gated on device management and validation.</w:t>
      </w:r>
    </w:p>
    <w:p>
      <w:pPr>
        <w:pStyle w:val="Heading2"/>
      </w:pPr>
      <w:r>
        <w:rPr>
          <w:color w:val="000000"/>
        </w:rPr>
        <w:t>P0 Documentation preparation</w:t>
      </w:r>
    </w:p>
    <w:p>
      <w:r>
        <w:t>SF03: A configured event creates a draft entry in the designated study workflow. The entry retains the source reference, generating rule version, author, and timestamp. A coordinator can correct or reject it before filing. An unsupported event creates an exception task instead of an invented document. No claim of automatic regulatory compliance is made.</w:t>
      </w:r>
    </w:p>
    <w:p>
      <w:pPr>
        <w:pStyle w:val="Heading2"/>
      </w:pPr>
      <w:r>
        <w:rPr>
          <w:color w:val="000000"/>
        </w:rPr>
        <w:t>P0 Investigator review</w:t>
      </w:r>
    </w:p>
    <w:p>
      <w:r>
        <w:t>SF04: Only a currently authorized reviewer can sign a submitted record. The review identifies the record version and signature meaning. A material edit after signature invalidates completion for the edited version and creates a new review request while retaining the earlier signed record. SF05: exported records include their relevant metadata and change history and can be retrieved after site offboarding according to the agreed retention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312"/>
        <w:gridCol w:w="4824"/>
      </w:tblGrid>
      <w:tr>
        <w:trPr>
          <w:cantSplit/>
          <w:tblHeader/>
        </w:trPr>
        <w:tc>
          <w:tcPr>
            <w:tcW w:type="dxa" w:w="936"/>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Priority</w:t>
            </w:r>
          </w:p>
        </w:tc>
        <w:tc>
          <w:tcPr>
            <w:tcW w:type="dxa" w:w="3312"/>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Deferred scope</w:t>
            </w:r>
          </w:p>
        </w:tc>
        <w:tc>
          <w:tcPr>
            <w:tcW w:type="dxa" w:w="4824"/>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Why</w:t>
            </w:r>
          </w:p>
        </w:tc>
      </w:tr>
      <w:tr>
        <w:trPr>
          <w:cantSplit/>
        </w:trPr>
        <w:tc>
          <w:tcPr>
            <w:tcW w:type="dxa" w:w="93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P1</w:t>
            </w:r>
          </w:p>
        </w:tc>
        <w:tc>
          <w:tcPr>
            <w:tcW w:type="dxa" w:w="331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Reusable protocol setup and richer reminders</w:t>
            </w:r>
          </w:p>
        </w:tc>
        <w:tc>
          <w:tcPr>
            <w:tcW w:type="dxa" w:w="482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Reduce rollout effort after the workflow proves useful.</w:t>
            </w:r>
          </w:p>
        </w:tc>
      </w:tr>
      <w:tr>
        <w:trPr>
          <w:cantSplit/>
        </w:trPr>
        <w:tc>
          <w:tcPr>
            <w:tcW w:type="dxa" w:w="93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P2</w:t>
            </w:r>
          </w:p>
        </w:tc>
        <w:tc>
          <w:tcPr>
            <w:tcW w:type="dxa" w:w="331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Sponsor EDC integration</w:t>
            </w:r>
          </w:p>
        </w:tc>
        <w:tc>
          <w:tcPr>
            <w:tcW w:type="dxa" w:w="482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Requires system-specific access, mapping, validation, and sponsor agreement.</w:t>
            </w:r>
          </w:p>
        </w:tc>
      </w:tr>
      <w:tr>
        <w:trPr>
          <w:cantSplit/>
        </w:trPr>
        <w:tc>
          <w:tcPr>
            <w:tcW w:type="dxa" w:w="93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P2</w:t>
            </w:r>
          </w:p>
        </w:tc>
        <w:tc>
          <w:tcPr>
            <w:tcW w:type="dxa" w:w="331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Multi-site reporting and financial operations</w:t>
            </w:r>
          </w:p>
        </w:tc>
        <w:tc>
          <w:tcPr>
            <w:tcW w:type="dxa" w:w="482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Different permissions and buyer needs; expands the implementation burden.</w:t>
            </w:r>
          </w:p>
        </w:tc>
      </w:tr>
    </w:tbl>
    <w:p>
      <w:pPr>
        <w:spacing w:after="0"/>
      </w:pPr>
    </w:p>
    <w:p>
      <w:r>
        <w:br w:type="page"/>
      </w:r>
    </w:p>
    <w:p>
      <w:pPr>
        <w:pStyle w:val="Heading1"/>
      </w:pPr>
      <w:r>
        <w:rPr>
          <w:color w:val="000000"/>
        </w:rPr>
        <w:t xml:space="preserve">Architecture and operations</w:t>
      </w:r>
    </w:p>
    <w:p>
      <w:r>
        <w:t xml:space="preserve">Proposed flow: authenticated client → study-scoped workflow service → versioned record store and audit service → review queue → controlled export. Templates and rules retain version history. External integrations use separate adapters with visible failure states so an integration outage does not interrupt saving.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200"/>
      </w:tblGrid>
      <w:tr>
        <w:trPr>
          <w:cantSplit/>
          <w:tblHeader/>
        </w:trPr>
        <w:tc>
          <w:tcPr>
            <w:tcW w:type="dxa" w:w="1872"/>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Entity</w:t>
            </w:r>
          </w:p>
        </w:tc>
        <w:tc>
          <w:tcPr>
            <w:tcW w:type="dxa" w:w="7200"/>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Minimum data and invariant</w:t>
            </w:r>
          </w:p>
        </w:tc>
      </w:tr>
      <w:tr>
        <w:trPr>
          <w:cantSplit/>
        </w:trPr>
        <w:tc>
          <w:tcPr>
            <w:tcW w:type="dxa" w:w="187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Study and template</w:t>
            </w:r>
          </w:p>
        </w:tc>
        <w:tc>
          <w:tcPr>
            <w:tcW w:type="dxa" w:w="720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Study ID, site ID, protocol and template versions, active dates. A record always retains the version used to create it.</w:t>
            </w:r>
          </w:p>
        </w:tc>
      </w:tr>
      <w:tr>
        <w:trPr>
          <w:cantSplit/>
        </w:trPr>
        <w:tc>
          <w:tcPr>
            <w:tcW w:type="dxa" w:w="187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Visit record</w:t>
            </w:r>
          </w:p>
        </w:tc>
        <w:tc>
          <w:tcPr>
            <w:tcW w:type="dxa" w:w="720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Subject code, visit ID, permitted observations, author, capture time, sync state, version. Subject codes may still be identifiable and require protection.</w:t>
            </w:r>
          </w:p>
        </w:tc>
      </w:tr>
      <w:tr>
        <w:trPr>
          <w:cantSplit/>
        </w:trPr>
        <w:tc>
          <w:tcPr>
            <w:tcW w:type="dxa" w:w="187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Review and signature</w:t>
            </w:r>
          </w:p>
        </w:tc>
        <w:tc>
          <w:tcPr>
            <w:tcW w:type="dxa" w:w="720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Reviewer identity, authority, record version, meaning, timestamp, and disposition. Prior signatures are never overwritten.</w:t>
            </w:r>
          </w:p>
        </w:tc>
      </w:tr>
      <w:tr>
        <w:trPr>
          <w:cantSplit/>
        </w:trPr>
        <w:tc>
          <w:tcPr>
            <w:tcW w:type="dxa" w:w="187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Audit event</w:t>
            </w:r>
          </w:p>
        </w:tc>
        <w:tc>
          <w:tcPr>
            <w:tcW w:type="dxa" w:w="720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Actor, action, record reference, old and new values or their version references, reason, and server timestamp. End users cannot edit audit history.</w:t>
            </w:r>
          </w:p>
        </w:tc>
      </w:tr>
    </w:tbl>
    <w:p>
      <w:pPr>
        <w:spacing w:after="0"/>
      </w:pPr>
    </w:p>
    <w:p>
      <w:pPr>
        <w:pStyle w:val="Heading2"/>
      </w:pPr>
      <w:r>
        <w:rPr>
          <w:color w:val="000000"/>
        </w:rPr>
        <w:t>Validation and privacy requirements</w:t>
      </w:r>
    </w:p>
    <w:p>
      <w:r>
        <w:t xml:space="preserve">FDA guidance calls for controls and validation for the intended use of electronic records. Before release, link each regulated requirement to test evidence, including role-based access, change controls, export checks, and recovery procedures. Each site’s qualified compliance reviewers must determine which requirements apply. [S4, S5]</w:t>
      </w:r>
    </w:p>
    <w:p>
      <w:r>
        <w:t xml:space="preserve">If SiteFlow handles protected health information for a HIPAA covered entity or business associate, the applicable agreements and safeguards are required. Encryption alone is insufficient. Demonstrations can use simulated records; real clinical data requires agreements, a risk assessment, and approved operating procedures. [S6]</w:t>
      </w:r>
    </w:p>
    <w:p>
      <w:pPr>
        <w:ind w:left="187" w:hanging="187"/>
      </w:pPr>
      <w:r>
        <w:rPr>
          <w:b/>
        </w:rPr>
        <w:t xml:space="preserve">• </w:t>
      </w:r>
      <w:r>
        <w:t>Proposed service targets: 99.5% monthly availability; online save p95 under two seconds on the documented test network; alert on failed durable saves. These are acceptance targets, not contractual SLAs.</w:t>
      </w:r>
    </w:p>
    <w:p>
      <w:pPr>
        <w:ind w:left="187" w:hanging="187"/>
      </w:pPr>
      <w:r>
        <w:rPr>
          <w:b/>
        </w:rPr>
        <w:t xml:space="preserve">• </w:t>
      </w:r>
      <w:r>
        <w:t>Recovery proposal: encrypted backups, quarterly restore exercises, RPO no worse than 15 minutes and RTO within four hours for server incidents. Confirm acceptability with pilot sites.</w:t>
      </w:r>
    </w:p>
    <w:p>
      <w:pPr>
        <w:ind w:left="187" w:hanging="187"/>
      </w:pPr>
      <w:r>
        <w:rPr>
          <w:b/>
        </w:rPr>
        <w:t xml:space="preserve">• </w:t>
      </w:r>
      <w:r>
        <w:t>Define study-specific retention, legal holds, access revocation, and export ownership before onboarding. Never apply a universal deletion period to all trial records.</w:t>
      </w:r>
    </w:p>
    <w:p>
      <w:r>
        <w:br w:type="page"/>
      </w:r>
    </w:p>
    <w:p>
      <w:pPr>
        <w:pStyle w:val="Heading1"/>
      </w:pPr>
      <w:r>
        <w:rPr>
          <w:color w:val="000000"/>
        </w:rPr>
        <w:t>Measurement and validation plan</w:t>
      </w:r>
    </w:p>
    <w:p>
      <w:r>
        <w:t xml:space="preserve">Measure total administrative time per completed eligible visit, including rework and external reconciliation. This prevents an apparent saving that simply moves work to another screen.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464"/>
        <w:gridCol w:w="2880"/>
      </w:tblGrid>
      <w:tr>
        <w:trPr>
          <w:cantSplit/>
          <w:tblHeader/>
        </w:trPr>
        <w:tc>
          <w:tcPr>
            <w:tcW w:type="dxa" w:w="1728"/>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Metric</w:t>
            </w:r>
          </w:p>
        </w:tc>
        <w:tc>
          <w:tcPr>
            <w:tcW w:type="dxa" w:w="4464"/>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Definition</w:t>
            </w:r>
          </w:p>
        </w:tc>
        <w:tc>
          <w:tcPr>
            <w:tcW w:type="dxa" w:w="2880"/>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Proposed pilot gate</w:t>
            </w:r>
          </w:p>
        </w:tc>
      </w:tr>
      <w:tr>
        <w:trPr>
          <w:cantSplit/>
        </w:trPr>
        <w:tc>
          <w:tcPr>
            <w:tcW w:type="dxa" w:w="172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Administrative time</w:t>
            </w:r>
          </w:p>
        </w:tc>
        <w:tc>
          <w:tcPr>
            <w:tcW w:type="dxa" w:w="446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Active coordinator minutes from intake through reconciliation per eligible visit; report site-level medians.</w:t>
            </w:r>
          </w:p>
        </w:tc>
        <w:tc>
          <w:tcPr>
            <w:tcW w:type="dxa" w:w="288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At least 30% median reduction with no deterioration in completeness.</w:t>
            </w:r>
          </w:p>
        </w:tc>
      </w:tr>
      <w:tr>
        <w:trPr>
          <w:cantSplit/>
        </w:trPr>
        <w:tc>
          <w:tcPr>
            <w:tcW w:type="dxa" w:w="172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Record completeness</w:t>
            </w:r>
          </w:p>
        </w:tc>
        <w:tc>
          <w:tcPr>
            <w:tcW w:type="dxa" w:w="446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Visits with all required reviewed items at the agreed deadline / eligible visits.</w:t>
            </w:r>
          </w:p>
        </w:tc>
        <w:tc>
          <w:tcPr>
            <w:tcW w:type="dxa" w:w="288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No lower than the site baseline.</w:t>
            </w:r>
          </w:p>
        </w:tc>
      </w:tr>
      <w:tr>
        <w:trPr>
          <w:cantSplit/>
        </w:trPr>
        <w:tc>
          <w:tcPr>
            <w:tcW w:type="dxa" w:w="172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Review delay</w:t>
            </w:r>
          </w:p>
        </w:tc>
        <w:tc>
          <w:tcPr>
            <w:tcW w:type="dxa" w:w="446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Elapsed hours from ready-for-review to valid review; report p50 and p90.</w:t>
            </w:r>
          </w:p>
        </w:tc>
        <w:tc>
          <w:tcPr>
            <w:tcW w:type="dxa" w:w="288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Improve versus each site’s baseline; retain &lt;4 hours as an aspirational target.</w:t>
            </w:r>
          </w:p>
        </w:tc>
      </w:tr>
      <w:tr>
        <w:trPr>
          <w:cantSplit/>
        </w:trPr>
        <w:tc>
          <w:tcPr>
            <w:tcW w:type="dxa" w:w="172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Weekly active use</w:t>
            </w:r>
          </w:p>
        </w:tc>
        <w:tc>
          <w:tcPr>
            <w:tcW w:type="dxa" w:w="446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Sessions containing a meaningful CRC capture or review action, excluding login and background sync.</w:t>
            </w:r>
          </w:p>
        </w:tc>
        <w:tc>
          <w:tcPr>
            <w:tcW w:type="dxa" w:w="288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 xml:space="preserve">≥4 active CRC sessions/site/week by Day 90.</w:t>
            </w:r>
          </w:p>
        </w:tc>
      </w:tr>
      <w:tr>
        <w:trPr>
          <w:cantSplit/>
        </w:trPr>
        <w:tc>
          <w:tcPr>
            <w:tcW w:type="dxa" w:w="172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Paid continuation</w:t>
            </w:r>
          </w:p>
        </w:tc>
        <w:tc>
          <w:tcPr>
            <w:tcW w:type="dxa" w:w="446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Pilot sites that accept the proposed paid continuation / sites completing the pilot.</w:t>
            </w:r>
          </w:p>
        </w:tc>
        <w:tc>
          <w:tcPr>
            <w:tcW w:type="dxa" w:w="288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At least 3 of the initial 6 sites, with buyer objections documented.</w:t>
            </w:r>
          </w:p>
        </w:tc>
      </w:tr>
    </w:tbl>
    <w:p>
      <w:pPr>
        <w:spacing w:after="0"/>
      </w:pPr>
    </w:p>
    <w:p>
      <w:pPr>
        <w:pStyle w:val="Heading2"/>
      </w:pPr>
      <w:r>
        <w:rPr>
          <w:color w:val="000000"/>
        </w:rPr>
        <w:t>Study design</w:t>
      </w:r>
    </w:p>
    <w:p>
      <w:r>
        <w:t xml:space="preserve">Observe two baseline weeks and four pilot weeks, aiming for at least 20 comparable visits per site in each period where feasible. Keep protocol and visit types comparable and log staffing or study changes. Compare paired site medians and ranges. Visits within one site are not independent customer validations; use the pilot to decide whether to continue.</w:t>
      </w:r>
    </w:p>
    <w:p>
      <w:r>
        <w:t>Events: visit_started, intake_saved, sync_failed, conflict_resolved, packet_submitted, review_returned, review_signed, export_completed. Include pseudonymous site and study identifiers, template version, and elapsed time; exclude patient narrative from analytics. Measure active time with idle detection and corroborate a sample through observation.</w:t>
      </w:r>
    </w:p>
    <w:p>
      <w:r>
        <w:t xml:space="preserve">Additional stretch targets are 80% less clipboard transcription, 95% of supported capture events without manual binder updates, 25 paid sites in 90 days, 50% less binder time, &gt;70% investigator adoption, and CRC NPS &gt;50. Define a baseline and denominator for each before measuring it in a pilot.</w:t>
      </w:r>
    </w:p>
    <w:p>
      <w:r>
        <w:br w:type="page"/>
      </w:r>
    </w:p>
    <w:p>
      <w:pPr>
        <w:pStyle w:val="Heading1"/>
      </w:pPr>
      <w:r>
        <w:rPr>
          <w:color w:val="000000"/>
        </w:rPr>
        <w:t xml:space="preserve">Competition and economics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816"/>
        <w:gridCol w:w="3528"/>
      </w:tblGrid>
      <w:tr>
        <w:trPr>
          <w:cantSplit/>
          <w:tblHeader/>
        </w:trPr>
        <w:tc>
          <w:tcPr>
            <w:tcW w:type="dxa" w:w="1728"/>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Alternative</w:t>
            </w:r>
          </w:p>
        </w:tc>
        <w:tc>
          <w:tcPr>
            <w:tcW w:type="dxa" w:w="3816"/>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Established capability</w:t>
            </w:r>
          </w:p>
        </w:tc>
        <w:tc>
          <w:tcPr>
            <w:tcW w:type="dxa" w:w="3528"/>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 xml:space="preserve">Benefit to test</w:t>
            </w:r>
          </w:p>
        </w:tc>
      </w:tr>
      <w:tr>
        <w:trPr>
          <w:cantSplit/>
        </w:trPr>
        <w:tc>
          <w:tcPr>
            <w:tcW w:type="dxa" w:w="172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Veeva SiteVault</w:t>
            </w:r>
          </w:p>
        </w:tc>
        <w:tc>
          <w:tcPr>
            <w:tcW w:type="dxa" w:w="381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Site-focused eISF; free tier through 20 active studies; related CTMS and eConsent offerings. [S1, S2]</w:t>
            </w:r>
          </w:p>
        </w:tc>
        <w:tc>
          <w:tcPr>
            <w:tcW w:type="dxa" w:w="352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Faster visit-to-review completion in the chosen workflow, including setup and training costs.</w:t>
            </w:r>
          </w:p>
        </w:tc>
      </w:tr>
      <w:tr>
        <w:trPr>
          <w:cantSplit/>
        </w:trPr>
        <w:tc>
          <w:tcPr>
            <w:tcW w:type="dxa" w:w="172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Florence</w:t>
            </w:r>
          </w:p>
        </w:tc>
        <w:tc>
          <w:tcPr>
            <w:tcW w:type="dxa" w:w="381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eRegulatory, eSource, and eConsent capabilities. [S3]</w:t>
            </w:r>
          </w:p>
        </w:tc>
        <w:tc>
          <w:tcPr>
            <w:tcW w:type="dxa" w:w="352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Lower implementation burden for a small practice; benchmark on the same tasks.</w:t>
            </w:r>
          </w:p>
        </w:tc>
      </w:tr>
      <w:tr>
        <w:trPr>
          <w:cantSplit/>
        </w:trPr>
        <w:tc>
          <w:tcPr>
            <w:tcW w:type="dxa" w:w="172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Paper and spreadsheet</w:t>
            </w:r>
          </w:p>
        </w:tc>
        <w:tc>
          <w:tcPr>
            <w:tcW w:type="dxa" w:w="381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Familiar and customizable; low incremental subscription cost.</w:t>
            </w:r>
          </w:p>
        </w:tc>
        <w:tc>
          <w:tcPr>
            <w:tcW w:type="dxa" w:w="352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Reliable versioning and handoffs without adding reconciliation work.</w:t>
            </w:r>
          </w:p>
        </w:tc>
      </w:tr>
      <w:tr>
        <w:trPr>
          <w:cantSplit/>
        </w:trPr>
        <w:tc>
          <w:tcPr>
            <w:tcW w:type="dxa" w:w="172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Existing sponsor EDC</w:t>
            </w:r>
          </w:p>
        </w:tc>
        <w:tc>
          <w:tcPr>
            <w:tcW w:type="dxa" w:w="381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Required study-specific data collection workflow.</w:t>
            </w:r>
          </w:p>
        </w:tc>
        <w:tc>
          <w:tcPr>
            <w:tcW w:type="dxa" w:w="352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Complementary site workflow; no replacement claim before integration approval.</w:t>
            </w:r>
          </w:p>
        </w:tc>
      </w:tr>
    </w:tbl>
    <w:p>
      <w:pPr>
        <w:spacing w:after="0"/>
      </w:pPr>
    </w:p>
    <w:p>
      <w:pPr>
        <w:pStyle w:val="Heading2"/>
      </w:pPr>
      <w:r>
        <w:rPr>
          <w:color w:val="000000"/>
        </w:rPr>
        <w:t>Revenue sensitivity</w:t>
      </w:r>
    </w:p>
    <w:p>
      <w:r>
        <w:t xml:space="preserve">The 9,700-site estimate is an unverified planning input. To refine it, deduplicate operating locations and identify ownership, active trial count, geography, and software eligibility. Trial records cannot be counted as unique independent sites.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512"/>
        <w:gridCol w:w="4464"/>
      </w:tblGrid>
      <w:tr>
        <w:trPr>
          <w:cantSplit/>
          <w:tblHeader/>
        </w:trPr>
        <w:tc>
          <w:tcPr>
            <w:tcW w:type="dxa" w:w="3096"/>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Adoption of 9,700 sites</w:t>
            </w:r>
          </w:p>
        </w:tc>
        <w:tc>
          <w:tcPr>
            <w:tcW w:type="dxa" w:w="1512"/>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Paying sites</w:t>
            </w:r>
          </w:p>
        </w:tc>
        <w:tc>
          <w:tcPr>
            <w:tcW w:type="dxa" w:w="4464"/>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Annual recurring revenue at $199 monthly</w:t>
            </w:r>
          </w:p>
        </w:tc>
      </w:tr>
      <w:tr>
        <w:trPr>
          <w:cantSplit/>
        </w:trPr>
        <w:tc>
          <w:tcPr>
            <w:tcW w:type="dxa" w:w="309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1%</w:t>
            </w:r>
          </w:p>
        </w:tc>
        <w:tc>
          <w:tcPr>
            <w:tcW w:type="dxa" w:w="151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97</w:t>
            </w:r>
          </w:p>
        </w:tc>
        <w:tc>
          <w:tcPr>
            <w:tcW w:type="dxa" w:w="446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$231,636</w:t>
            </w:r>
          </w:p>
        </w:tc>
      </w:tr>
      <w:tr>
        <w:trPr>
          <w:cantSplit/>
        </w:trPr>
        <w:tc>
          <w:tcPr>
            <w:tcW w:type="dxa" w:w="309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3%</w:t>
            </w:r>
          </w:p>
        </w:tc>
        <w:tc>
          <w:tcPr>
            <w:tcW w:type="dxa" w:w="151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291</w:t>
            </w:r>
          </w:p>
        </w:tc>
        <w:tc>
          <w:tcPr>
            <w:tcW w:type="dxa" w:w="446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$694,908</w:t>
            </w:r>
          </w:p>
        </w:tc>
      </w:tr>
      <w:tr>
        <w:trPr>
          <w:cantSplit/>
        </w:trPr>
        <w:tc>
          <w:tcPr>
            <w:tcW w:type="dxa" w:w="309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5%</w:t>
            </w:r>
          </w:p>
        </w:tc>
        <w:tc>
          <w:tcPr>
            <w:tcW w:type="dxa" w:w="151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485</w:t>
            </w:r>
          </w:p>
        </w:tc>
        <w:tc>
          <w:tcPr>
            <w:tcW w:type="dxa" w:w="446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$1,158,180</w:t>
            </w:r>
          </w:p>
        </w:tc>
      </w:tr>
    </w:tbl>
    <w:p>
      <w:pPr>
        <w:spacing w:after="0"/>
      </w:pPr>
    </w:p>
    <w:p>
      <w:r>
        <w:t xml:space="preserve">At 25 paying sites, monthly recurring revenue would be $4,975 and annualized revenue $59,700. The 5% scenario above equals $1,158,180, correcting the earlier $11.6M estimate. The earlier ~20K, ~25K, and 30K coordinator estimates assume different staffing levels, so the revenue model uses sites consistently. These are scenarios, not forecasts.</w:t>
      </w:r>
    </w:p>
    <w:p>
      <w:r>
        <w:t xml:space="preserve">At an assumed $40 per coordinator hour, $199 requires about five hours of monthly savings before implementation and training costs. An assumed 80% contribution margin yields $159.20 monthly contribution. Six-month CAC payback would then require acquisition cost of no more than $955.20 before onboarding. Measure support and validation costs to check those assumptions.</w:t>
      </w:r>
    </w:p>
    <w:p>
      <w:r>
        <w:br w:type="page"/>
      </w:r>
    </w:p>
    <w:p>
      <w:pPr>
        <w:pStyle w:val="Heading1"/>
      </w:pPr>
      <w:r>
        <w:rPr>
          <w:color w:val="000000"/>
        </w:rPr>
        <w:t xml:space="preserve">Execution plan</w:t>
      </w:r>
    </w:p>
    <w:p>
      <w:r>
        <w:t xml:space="preserve">The proposed 13-week plan depends on release criteria, especially for regulated use. It would require a product lead, designer, two engineers, a clinical workflow adviser, and qualified privacy and compliance reviewers. These roles have not been staffed.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4104"/>
        <w:gridCol w:w="3600"/>
      </w:tblGrid>
      <w:tr>
        <w:trPr>
          <w:cantSplit/>
          <w:tblHeader/>
        </w:trPr>
        <w:tc>
          <w:tcPr>
            <w:tcW w:type="dxa" w:w="1368"/>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Phase</w:t>
            </w:r>
          </w:p>
        </w:tc>
        <w:tc>
          <w:tcPr>
            <w:tcW w:type="dxa" w:w="4104"/>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Work</w:t>
            </w:r>
          </w:p>
        </w:tc>
        <w:tc>
          <w:tcPr>
            <w:tcW w:type="dxa" w:w="3600"/>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Exit gate</w:t>
            </w:r>
          </w:p>
        </w:tc>
      </w:tr>
      <w:tr>
        <w:trPr>
          <w:cantSplit/>
        </w:trPr>
        <w:tc>
          <w:tcPr>
            <w:tcW w:type="dxa" w:w="136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Weeks 1–2</w:t>
            </w:r>
          </w:p>
        </w:tc>
        <w:tc>
          <w:tcPr>
            <w:tcW w:type="dxa" w:w="410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Interview and observe sites; document workflow and procurement; establish record boundaries.</w:t>
            </w:r>
          </w:p>
        </w:tc>
        <w:tc>
          <w:tcPr>
            <w:tcW w:type="dxa" w:w="360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 repeated pain point, identified buyer, approved pilot protocol, and a task benchmark.</w:t>
            </w:r>
          </w:p>
        </w:tc>
      </w:tr>
      <w:tr>
        <w:trPr>
          <w:cantSplit/>
        </w:trPr>
        <w:tc>
          <w:tcPr>
            <w:tcW w:type="dxa" w:w="136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Weeks 3–5</w:t>
            </w:r>
          </w:p>
        </w:tc>
        <w:tc>
          <w:tcPr>
            <w:tcW w:type="dxa" w:w="410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Prototype intake and review with simulated data; model permissions, versions, and conflict resolution.</w:t>
            </w:r>
          </w:p>
        </w:tc>
        <w:tc>
          <w:tcPr>
            <w:tcW w:type="dxa" w:w="360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Users complete the core sequence without moderator intervention; critical failure states exercised.</w:t>
            </w:r>
          </w:p>
        </w:tc>
      </w:tr>
      <w:tr>
        <w:trPr>
          <w:cantSplit/>
        </w:trPr>
        <w:tc>
          <w:tcPr>
            <w:tcW w:type="dxa" w:w="136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Weeks 6–9</w:t>
            </w:r>
          </w:p>
        </w:tc>
        <w:tc>
          <w:tcPr>
            <w:tcW w:type="dxa" w:w="410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Implement controlled pilot scope, audit history, export, and recovery; perform validation and privacy review.</w:t>
            </w:r>
          </w:p>
        </w:tc>
        <w:tc>
          <w:tcPr>
            <w:tcW w:type="dxa" w:w="360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Required agreements and test evidence accepted; no unresolved critical data-integrity defect.</w:t>
            </w:r>
          </w:p>
        </w:tc>
      </w:tr>
      <w:tr>
        <w:trPr>
          <w:cantSplit/>
        </w:trPr>
        <w:tc>
          <w:tcPr>
            <w:tcW w:type="dxa" w:w="136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Weeks 10–13</w:t>
            </w:r>
          </w:p>
        </w:tc>
        <w:tc>
          <w:tcPr>
            <w:tcW w:type="dxa" w:w="410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Run a limited pilot, investigate exceptions, measure total work, and test paid continuation.</w:t>
            </w:r>
          </w:p>
        </w:tc>
        <w:tc>
          <w:tcPr>
            <w:tcW w:type="dxa" w:w="360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Outcome and integrity gates met; support economics documented before expansion.</w:t>
            </w:r>
          </w:p>
        </w:tc>
      </w:tr>
    </w:tbl>
    <w:p>
      <w:pPr>
        <w:spacing w:after="0"/>
      </w:pPr>
    </w:p>
    <w:p>
      <w:pPr>
        <w:pStyle w:val="Heading2"/>
      </w:pPr>
      <w:r>
        <w:rPr>
          <w:color w:val="000000"/>
        </w:rPr>
        <w:t xml:space="preserve">Planned experiments</w:t>
      </w:r>
    </w:p>
    <w:p>
      <w:pPr>
        <w:ind w:left="187" w:hanging="187"/>
      </w:pPr>
      <w:r>
        <w:rPr>
          <w:b/>
        </w:rPr>
        <w:t xml:space="preserve">• </w:t>
      </w:r>
      <w:r>
        <w:t>Workflow usability: eight coordinators complete the same visit task in the prototype and current process. Counterbalance order and document errors as well as time.</w:t>
      </w:r>
    </w:p>
    <w:p>
      <w:pPr>
        <w:ind w:left="187" w:hanging="187"/>
      </w:pPr>
      <w:r>
        <w:rPr>
          <w:b/>
        </w:rPr>
        <w:t xml:space="preserve">• </w:t>
      </w:r>
      <w:r>
        <w:t>Buyer test: present the $199 price with explicit implementation requirements. Record paid-pilot acceptance or rejection; a positive interview is not willingness to pay.</w:t>
      </w:r>
    </w:p>
    <w:p>
      <w:pPr>
        <w:ind w:left="187" w:hanging="187"/>
      </w:pPr>
      <w:r>
        <w:rPr>
          <w:b/>
        </w:rPr>
        <w:t xml:space="preserve">• </w:t>
      </w:r>
      <w:r>
        <w:t>Reminder test: only after a baseline exists, compare timed review reminders across eligible study periods. Track nuisance alerts and inappropriate escalations alongside delay reduction.</w:t>
      </w:r>
    </w:p>
    <w:p>
      <w:pPr>
        <w:pStyle w:val="Heading2"/>
      </w:pPr>
      <w:r>
        <w:rPr>
          <w:color w:val="000000"/>
        </w:rPr>
        <w:t xml:space="preserve">When to pause or narrow scope</w:t>
      </w:r>
    </w:p>
    <w:p>
      <w:r>
        <w:t xml:space="preserve">Pause clinical use after any lost record, unauthorized disclosure, or invalid signature state. Narrow scope if each protocol requires extensive custom engineering. Reconsider the product if duplicate sponsor entry erases time savings or sites prefer their free existing tool after comparing workflows. Resolve these questions before expanding.</w:t>
      </w:r>
    </w:p>
    <w:p>
      <w:r>
        <w:br w:type="page"/>
      </w:r>
    </w:p>
    <w:p>
      <w:pPr>
        <w:pStyle w:val="Heading1"/>
      </w:pPr>
      <w:r>
        <w:rPr>
          <w:color w:val="000000"/>
        </w:rPr>
        <w:t xml:space="preserve">Key decisions and open questions</w:t>
      </w:r>
    </w:p>
    <w:p>
      <w:pPr>
        <w:pStyle w:val="Heading2"/>
      </w:pPr>
      <w:r>
        <w:rPr>
          <w:color w:val="000000"/>
        </w:rPr>
        <w:t xml:space="preserve">Why I chose this scope</w:t>
      </w:r>
    </w:p>
    <w:p>
      <w:r>
        <w:t xml:space="preserve">I would keep sponsor EDC entry separate until integration is approved, because access and validation are major dependencies. Documentation automation would prepare and route records for authorized review; formatting alone cannot establish compliance. I would measure total work from intake through reconciliation to catch any rework created downstream.</w:t>
      </w:r>
    </w:p>
    <w:p>
      <w:pPr>
        <w:pStyle w:val="Heading2"/>
      </w:pPr>
      <w:r>
        <w:rPr>
          <w:color w:val="000000"/>
        </w:rPr>
        <w:t xml:space="preserve">Questions to resolve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3960"/>
        <w:gridCol w:w="2160"/>
      </w:tblGrid>
      <w:tr>
        <w:trPr>
          <w:cantSplit/>
          <w:tblHeader/>
        </w:trPr>
        <w:tc>
          <w:tcPr>
            <w:tcW w:type="dxa" w:w="2952"/>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Question</w:t>
            </w:r>
          </w:p>
        </w:tc>
        <w:tc>
          <w:tcPr>
            <w:tcW w:type="dxa" w:w="3960"/>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Evidence needed</w:t>
            </w:r>
          </w:p>
        </w:tc>
        <w:tc>
          <w:tcPr>
            <w:tcW w:type="dxa" w:w="2160"/>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Decision owner</w:t>
            </w:r>
          </w:p>
        </w:tc>
      </w:tr>
      <w:tr>
        <w:trPr>
          <w:cantSplit/>
        </w:trPr>
        <w:tc>
          <w:tcPr>
            <w:tcW w:type="dxa" w:w="295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Which workflow earns a paid place beside existing tools?</w:t>
            </w:r>
          </w:p>
        </w:tc>
        <w:tc>
          <w:tcPr>
            <w:tcW w:type="dxa" w:w="396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Observed task comparison at sites already using eISF.</w:t>
            </w:r>
          </w:p>
        </w:tc>
        <w:tc>
          <w:tcPr>
            <w:tcW w:type="dxa" w:w="216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Product and clinical adviser</w:t>
            </w:r>
          </w:p>
        </w:tc>
      </w:tr>
      <w:tr>
        <w:trPr>
          <w:cantSplit/>
        </w:trPr>
        <w:tc>
          <w:tcPr>
            <w:tcW w:type="dxa" w:w="295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Can each site approve real-data use?</w:t>
            </w:r>
          </w:p>
        </w:tc>
        <w:tc>
          <w:tcPr>
            <w:tcW w:type="dxa" w:w="396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Study, sponsor, privacy, and validation requirements.</w:t>
            </w:r>
          </w:p>
        </w:tc>
        <w:tc>
          <w:tcPr>
            <w:tcW w:type="dxa" w:w="216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Site leadership and qualified reviewers</w:t>
            </w:r>
          </w:p>
        </w:tc>
      </w:tr>
      <w:tr>
        <w:trPr>
          <w:cantSplit/>
        </w:trPr>
        <w:tc>
          <w:tcPr>
            <w:tcW w:type="dxa" w:w="295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Is offline clinical capture essential?</w:t>
            </w:r>
          </w:p>
        </w:tc>
        <w:tc>
          <w:tcPr>
            <w:tcW w:type="dxa" w:w="396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Frequency and consequences of connectivity loss.</w:t>
            </w:r>
          </w:p>
        </w:tc>
        <w:tc>
          <w:tcPr>
            <w:tcW w:type="dxa" w:w="216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Product and engineering</w:t>
            </w:r>
          </w:p>
        </w:tc>
      </w:tr>
      <w:tr>
        <w:trPr>
          <w:cantSplit/>
        </w:trPr>
        <w:tc>
          <w:tcPr>
            <w:tcW w:type="dxa" w:w="295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Does $199 cover onboarding and support?</w:t>
            </w:r>
          </w:p>
        </w:tc>
        <w:tc>
          <w:tcPr>
            <w:tcW w:type="dxa" w:w="396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Per-site implementation hours, support tickets, and gross contribution.</w:t>
            </w:r>
          </w:p>
        </w:tc>
        <w:tc>
          <w:tcPr>
            <w:tcW w:type="dxa" w:w="216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Product and commercial lead</w:t>
            </w:r>
          </w:p>
        </w:tc>
      </w:tr>
    </w:tbl>
    <w:p>
      <w:pPr>
        <w:spacing w:after="0"/>
      </w:pPr>
    </w:p>
    <w:p>
      <w:pPr>
        <w:pStyle w:val="Heading2"/>
      </w:pPr>
      <w:r>
        <w:rPr>
          <w:color w:val="000000"/>
        </w:rPr>
        <w:t xml:space="preserve">Evidence needed next</w:t>
      </w:r>
    </w:p>
    <w:p>
      <w:r>
        <w:t xml:space="preserve">Before further investment, I would want a sourced discovery record, a task comparison against each site’s existing tool, a tested prototype, acceptance-test evidence, and paid-pilot decisions. Together, these would show whether the workflow can support the proposed subscription.</w:t>
      </w:r>
    </w:p>
    <w:p>
      <w:pPr>
        <w:pStyle w:val="Heading2"/>
      </w:pPr>
      <w:r>
        <w:rPr>
          <w:color w:val="000000"/>
        </w:rPr>
        <w:t xml:space="preserve">Interpreting the research</w:t>
      </w:r>
    </w:p>
    <w:p>
      <w:r>
        <w:t xml:space="preserve">Vendor documentation describes supported capabilities, but cannot establish how well they work at a particular site. I would use the public-source complaints to choose tasks for comparison, then test SiteFlow against current tools in clinical site workflows.</w:t>
      </w:r>
    </w:p>
    <w:p>
      <w:r>
        <w:br w:type="page"/>
      </w:r>
    </w:p>
    <w:p>
      <w:pPr>
        <w:pStyle w:val="Heading1"/>
      </w:pPr>
      <w:r>
        <w:rPr>
          <w:color w:val="000000"/>
        </w:rPr>
        <w:t>Research references</w:t>
      </w:r>
    </w:p>
    <w:p>
      <w:r>
        <w:t xml:space="preserve">Sources checked in September 2026. Bracketed references support nearby factual claims. Architecture, tests, targets, and business scenarios are proposals.</w:t>
      </w:r>
    </w:p>
    <w:p>
      <w:pPr>
        <w:keepNext/>
      </w:pPr>
      <w:r>
        <w:rPr>
          <w:b/>
        </w:rPr>
        <w:t xml:space="preserve">S1  </w:t>
      </w:r>
      <w:hyperlink r:id="rId10">
        <w:r>
          <w:rPr>
            <w:color w:val="145A83"/>
          </w:rPr>
          <w:t>Veeva SiteVault eISF</w:t>
        </w:r>
      </w:hyperlink>
    </w:p>
    <w:p>
      <w:pPr>
        <w:spacing w:after="200"/>
      </w:pPr>
      <w:r>
        <w:t>Product capabilities and free tier for sites with up to 20 active studies.</w:t>
      </w:r>
    </w:p>
    <w:p>
      <w:pPr>
        <w:keepNext/>
      </w:pPr>
      <w:r>
        <w:rPr>
          <w:b/>
        </w:rPr>
        <w:t xml:space="preserve">S2  </w:t>
      </w:r>
      <w:hyperlink r:id="rId11">
        <w:r>
          <w:rPr>
            <w:color w:val="145A83"/>
          </w:rPr>
          <w:t>Veeva SiteVault product overview</w:t>
        </w:r>
      </w:hyperlink>
    </w:p>
    <w:p>
      <w:pPr>
        <w:spacing w:after="200"/>
      </w:pPr>
      <w:r>
        <w:t>Site operations products and announced eSource direction.</w:t>
      </w:r>
    </w:p>
    <w:p>
      <w:pPr>
        <w:keepNext/>
      </w:pPr>
      <w:r>
        <w:rPr>
          <w:b/>
        </w:rPr>
        <w:t xml:space="preserve">S3  </w:t>
      </w:r>
      <w:hyperlink r:id="rId12">
        <w:r>
          <w:rPr>
            <w:color w:val="145A83"/>
          </w:rPr>
          <w:t>Florence eRegulatory overview</w:t>
        </w:r>
      </w:hyperlink>
    </w:p>
    <w:p>
      <w:pPr>
        <w:spacing w:after="200"/>
      </w:pPr>
      <w:r>
        <w:t>Existing eRegulatory, eSource, and eConsent capabilities.</w:t>
      </w:r>
    </w:p>
    <w:p>
      <w:pPr>
        <w:keepNext/>
      </w:pPr>
      <w:r>
        <w:rPr>
          <w:b/>
        </w:rPr>
        <w:t xml:space="preserve">S4  </w:t>
      </w:r>
      <w:hyperlink r:id="rId13">
        <w:r>
          <w:rPr>
            <w:color w:val="145A83"/>
          </w:rPr>
          <w:t>FDA electronic systems guidance October 2024</w:t>
        </w:r>
      </w:hyperlink>
    </w:p>
    <w:p>
      <w:pPr>
        <w:spacing w:after="200"/>
      </w:pPr>
      <w:r>
        <w:t>Regulatory context for electronic systems, records, and signatures.</w:t>
      </w:r>
    </w:p>
    <w:p>
      <w:pPr>
        <w:keepNext/>
      </w:pPr>
      <w:r>
        <w:rPr>
          <w:b/>
        </w:rPr>
        <w:t xml:space="preserve">S5  </w:t>
      </w:r>
      <w:hyperlink r:id="rId14">
        <w:r>
          <w:rPr>
            <w:color w:val="145A83"/>
          </w:rPr>
          <w:t>FDA computerized systems used in clinical trials</w:t>
        </w:r>
      </w:hyperlink>
    </w:p>
    <w:p>
      <w:pPr>
        <w:spacing w:after="200"/>
      </w:pPr>
      <w:r>
        <w:t>Record integrity, change history, access, validation, and recovery principles; read alongside current guidance.</w:t>
      </w:r>
    </w:p>
    <w:p>
      <w:pPr>
        <w:keepNext/>
      </w:pPr>
      <w:r>
        <w:rPr>
          <w:b/>
        </w:rPr>
        <w:t xml:space="preserve">S6  </w:t>
      </w:r>
      <w:hyperlink r:id="rId15">
        <w:r>
          <w:rPr>
            <w:color w:val="145A83"/>
          </w:rPr>
          <w:t>HHS guidance on HIPAA and cloud computing</w:t>
        </w:r>
      </w:hyperlink>
    </w:p>
    <w:p>
      <w:pPr>
        <w:spacing w:after="200"/>
      </w:pPr>
      <w:r>
        <w:t>Business associate agreements and safeguards where HIPAA applies.</w:t>
      </w:r>
    </w:p>
    <w:p>
      <w:pPr>
        <w:pStyle w:val="Heading2"/>
      </w:pPr>
      <w:r>
        <w:rPr>
          <w:color w:val="000000"/>
        </w:rPr>
        <w:t xml:space="preserve">Concept research</w:t>
      </w:r>
    </w:p>
    <w:p>
      <w:r>
        <w:t xml:space="preserve">The original case study supplied the personas, public-source observations, pricing assumptions, and targets. This PRD adds vendor and regulatory references and a plan to test the concept.</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8" w:sz="6" w:space="4"/>
      </w:pBdr>
      <w:tabs>
        <w:tab w:val="right" w:pos="9026"/>
      </w:tabs>
      <w:spacing w:after="0" w:before="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tabs>
        <w:tab w:val="right" w:pos="9026"/>
      </w:tabs>
      <w:spacing w:after="8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pPr>
      <w:keepNext/>
      <w:spacing w:before="0" w:after="140" w:line="269" w:lineRule="auto"/>
    </w:pPr>
    <w:rPr>
      <w:rFonts w:ascii="Arial" w:hAnsi="Arial"/>
      <w:b/>
      <w:color w:val="000000"/>
      <w:sz w:val="52"/>
      <w:szCs w:val="56"/>
    </w:rPr>
  </w:style>
  <w:style w:type="paragraph" w:styleId="Heading1">
    <w:name w:val="Heading 1"/>
    <w:basedOn w:val="Normal"/>
    <w:next w:val="Normal"/>
    <w:qFormat/>
    <w:pPr>
      <w:keepNext/>
      <w:spacing w:before="180" w:after="140" w:line="269" w:lineRule="auto"/>
    </w:pPr>
    <w:rPr>
      <w:rFonts w:ascii="Arial" w:hAnsi="Arial"/>
      <w:b/>
      <w:color w:val="000000"/>
      <w:sz w:val="34"/>
      <w:szCs w:val="32"/>
    </w:rPr>
  </w:style>
  <w:style w:type="paragraph" w:styleId="Heading2">
    <w:name w:val="Heading 2"/>
    <w:basedOn w:val="Normal"/>
    <w:next w:val="Normal"/>
    <w:qFormat/>
    <w:pPr>
      <w:keepNext/>
      <w:spacing w:before="180" w:after="140" w:line="269" w:lineRule="auto"/>
    </w:pPr>
    <w:rPr>
      <w:rFonts w:ascii="Arial" w:hAnsi="Arial"/>
      <w:b/>
      <w:color w:val="000000"/>
      <w:sz w:val="23"/>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0000"/>
      <w:sz w:val="22"/>
      <w:szCs w:val="22"/>
    </w:rPr>
  </w:style>
  <w:style w:type="paragraph" w:customStyle="1" w:styleId="Normal">
    <w:name w:val="Normal"/>
    <w:pPr>
      <w:spacing w:before="0" w:after="140" w:line="269" w:lineRule="auto"/>
    </w:pPr>
    <w:rPr>
      <w:rFonts w:ascii="Arial" w:hAnsi="Arial"/>
      <w:color w:val="000000"/>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yperlink" Target="https://sites.veeva.com/solutions/eisf" TargetMode="External"/><Relationship Id="rId11" Type="http://schemas.openxmlformats.org/officeDocument/2006/relationships/hyperlink" Target="https://sites.veeva.com/" TargetMode="External"/><Relationship Id="rId12" Type="http://schemas.openxmlformats.org/officeDocument/2006/relationships/hyperlink" Target="https://www.florencehc.com/pillar-page-eregulatory/" TargetMode="External"/><Relationship Id="rId13" Type="http://schemas.openxmlformats.org/officeDocument/2006/relationships/hyperlink" Target="https://www.fda.gov/regulatory-information/search-fda-guidance-documents/electronic-systems-electronic-records-and-electronic-signatures-clinical-investigations-questions" TargetMode="External"/><Relationship Id="rId14" Type="http://schemas.openxmlformats.org/officeDocument/2006/relationships/hyperlink" Target="https://www.fda.gov/inspections-compliance-enforcement-and-criminal-investigations/fda-bioresearch-monitoring-information/guidance-industry-computerized-systems-used-clinical-trials" TargetMode="External"/><Relationship Id="rId15" Type="http://schemas.openxmlformats.org/officeDocument/2006/relationships/hyperlink" Target="https://www.hhs.gov/hipaa/for-professionals/special-topics/health-information-technology/cloud-computing/index.html"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Anish Gudipaati</dc:creator>
  <cp:lastModifiedBy>Un-named</cp:lastModifiedBy>
  <cp:revision>1</cp:revision>
  <dcterms:created xsi:type="dcterms:W3CDTF">2026-05-24T05:51:12.633Z</dcterms:created>
  <dcterms:modified xsi:type="dcterms:W3CDTF">2026-05-24T05:51:12.633Z</dcterms:modified>
  <dc:title>SiteFlow Product Requirements Document</dc:title>
  <dc:subject>Workflow automation for independent clinical research sites</dc:subject>
</cp:coreProperties>
</file>

<file path=docProps/custom.xml><?xml version="1.0" encoding="utf-8"?>
<Properties xmlns="http://schemas.openxmlformats.org/officeDocument/2006/custom-properties" xmlns:vt="http://schemas.openxmlformats.org/officeDocument/2006/docPropsVTypes"/>
</file>