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560"/>
              <w:left w:type="dxa" w:w="480"/>
              <w:bottom w:type="dxa" w:w="560"/>
              <w:right w:type="dxa" w:w="480"/>
            </w:tcMar>
          </w:tcPr>
          <w:p>
            <w:pPr>
              <w:spacing w:after="40" w:before="0"/>
            </w:pPr>
            <w:r>
              <w:rPr>
                <w:rFonts w:ascii="Arial" w:cs="Arial" w:eastAsia="Arial" w:hAnsi="Arial"/>
                <w:b/>
                <w:bCs/>
                <w:color w:val="C5D3E8"/>
                <w:sz w:val="20"/>
                <w:szCs w:val="20"/>
              </w:rPr>
              <w:t xml:space="preserve">PRODUCT REQUIREMENTS DOCUMENT</w:t>
            </w:r>
          </w:p>
          <w:p>
            <w:pPr>
              <w:spacing w:after="80" w:before="0"/>
            </w:pPr>
            <w:r>
              <w:rPr>
                <w:rFonts w:ascii="Arial" w:cs="Arial" w:eastAsia="Arial" w:hAnsi="Arial"/>
                <w:b/>
                <w:bCs/>
                <w:color w:val="FFFFFF"/>
                <w:sz w:val="72"/>
                <w:szCs w:val="72"/>
              </w:rPr>
              <w:t xml:space="preserve">SiteFlow</w:t>
            </w:r>
          </w:p>
          <w:p>
            <w:pPr>
              <w:spacing w:after="40" w:before="0"/>
            </w:pPr>
            <w:r>
              <w:rPr>
                <w:rFonts w:ascii="Arial" w:cs="Arial" w:eastAsia="Arial" w:hAnsi="Arial"/>
                <w:i/>
                <w:iCs/>
                <w:color w:val="C5D3E8"/>
                <w:sz w:val="28"/>
                <w:szCs w:val="28"/>
              </w:rPr>
              <w:t xml:space="preserve">Workflow Automation for Independent Clinical Research Sites</w:t>
            </w:r>
          </w:p>
          <w:p>
            <w:pPr>
              <w:spacing w:after="0" w:before="120"/>
            </w:pPr>
            <w:r>
              <w:rPr>
                <w:rFonts w:ascii="Arial" w:cs="Arial" w:eastAsia="Arial" w:hAnsi="Arial"/>
                <w:b w:val="false"/>
                <w:bCs w:val="false"/>
                <w:i w:val="false"/>
                <w:iCs w:val="false"/>
                <w:color w:val="1A1A2E"/>
                <w:sz w:val="22"/>
                <w:szCs w:val="22"/>
              </w:rPr>
              <w:t xml:space="preserve"/>
            </w:r>
          </w:p>
          <w:p>
            <w:pPr>
              <w:spacing w:after="0" w:before="0"/>
            </w:pPr>
            <w:r>
              <w:rPr>
                <w:rFonts w:ascii="Arial" w:cs="Arial" w:eastAsia="Arial" w:hAnsi="Arial"/>
                <w:color w:val="C5D3E8"/>
                <w:sz w:val="20"/>
                <w:szCs w:val="20"/>
              </w:rPr>
              <w:t xml:space="preserve">Version 1.0   |   </w:t>
            </w:r>
            <w:r>
              <w:rPr>
                <w:rFonts w:ascii="Arial" w:cs="Arial" w:eastAsia="Arial" w:hAnsi="Arial"/>
                <w:color w:val="C5D3E8"/>
                <w:sz w:val="20"/>
                <w:szCs w:val="20"/>
              </w:rPr>
              <w:t xml:space="preserve">Discovery-backed   |   </w:t>
            </w:r>
            <w:r>
              <w:rPr>
                <w:rFonts w:ascii="Arial" w:cs="Arial" w:eastAsia="Arial" w:hAnsi="Arial"/>
                <w:color w:val="C5D3E8"/>
                <w:sz w:val="20"/>
                <w:szCs w:val="20"/>
              </w:rPr>
              <w:t xml:space="preserve">53 Primary Sources</w:t>
            </w:r>
          </w:p>
        </w:tc>
      </w:tr>
    </w:tbl>
    <w:p>
      <w:pPr>
        <w:spacing w:after="0" w:before="40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single" w:color="C5D3E8" w:sz="4"/>
              <w:left w:val="single" w:color="C5D3E8" w:sz="4"/>
              <w:bottom w:val="single" w:color="C5D3E8" w:sz="4"/>
              <w:right w:val="single" w:color="C5D3E8" w:sz="4"/>
            </w:tcBorders>
            <w:shd w:fill="E8EEF7" w:val="clear"/>
            <w:tcMar>
              <w:top w:type="dxa" w:w="120"/>
              <w:left w:type="dxa" w:w="200"/>
              <w:bottom w:type="dxa" w:w="120"/>
              <w:right w:type="dxa" w:w="200"/>
            </w:tcMar>
          </w:tcPr>
          <w:p>
            <w:pPr>
              <w:spacing w:after="60" w:before="0"/>
            </w:pPr>
            <w:r>
              <w:rPr>
                <w:rFonts w:ascii="Arial" w:cs="Arial" w:eastAsia="Arial" w:hAnsi="Arial"/>
                <w:b/>
                <w:bCs/>
                <w:color w:val="6B7280"/>
                <w:sz w:val="16"/>
                <w:szCs w:val="16"/>
              </w:rPr>
              <w:t xml:space="preserve">PRODUCT</w:t>
            </w:r>
          </w:p>
          <w:p>
            <w:pPr>
              <w:spacing w:after="0" w:before="0"/>
            </w:pPr>
            <w:r>
              <w:rPr>
                <w:rFonts w:ascii="Arial" w:cs="Arial" w:eastAsia="Arial" w:hAnsi="Arial"/>
                <w:b/>
                <w:bCs/>
                <w:color w:val="1B3A6B"/>
                <w:sz w:val="24"/>
                <w:szCs w:val="24"/>
              </w:rPr>
              <w:t xml:space="preserve">SiteFlow v1.0</w:t>
            </w:r>
          </w:p>
        </w:tc>
        <w:tc>
          <w:tcPr>
            <w:tcW w:type="dxa" w:w="4680"/>
            <w:tcBorders>
              <w:top w:val="single" w:color="C5D3E8" w:sz="4"/>
              <w:left w:val="single" w:color="C5D3E8" w:sz="4"/>
              <w:bottom w:val="single" w:color="C5D3E8" w:sz="4"/>
              <w:right w:val="single" w:color="C5D3E8" w:sz="4"/>
            </w:tcBorders>
            <w:shd w:fill="E8EEF7" w:val="clear"/>
            <w:tcMar>
              <w:top w:type="dxa" w:w="120"/>
              <w:left w:type="dxa" w:w="200"/>
              <w:bottom w:type="dxa" w:w="120"/>
              <w:right w:type="dxa" w:w="200"/>
            </w:tcMar>
          </w:tcPr>
          <w:p>
            <w:pPr>
              <w:spacing w:after="60" w:before="0"/>
            </w:pPr>
            <w:r>
              <w:rPr>
                <w:rFonts w:ascii="Arial" w:cs="Arial" w:eastAsia="Arial" w:hAnsi="Arial"/>
                <w:b/>
                <w:bCs/>
                <w:color w:val="6B7280"/>
                <w:sz w:val="16"/>
                <w:szCs w:val="16"/>
              </w:rPr>
              <w:t xml:space="preserve">PRIMARY USER</w:t>
            </w:r>
          </w:p>
          <w:p>
            <w:pPr>
              <w:spacing w:after="0" w:before="0"/>
            </w:pPr>
            <w:r>
              <w:rPr>
                <w:rFonts w:ascii="Arial" w:cs="Arial" w:eastAsia="Arial" w:hAnsi="Arial"/>
                <w:b/>
                <w:bCs/>
                <w:color w:val="1B3A6B"/>
                <w:sz w:val="24"/>
                <w:szCs w:val="24"/>
              </w:rPr>
              <w:t xml:space="preserve">Clinical Research Coordinator (CRC)</w:t>
            </w:r>
          </w:p>
        </w:tc>
      </w:tr>
      <w:tr>
        <w:tc>
          <w:tcPr>
            <w:tcW w:type="dxa" w:w="4680"/>
            <w:tcBorders>
              <w:top w:val="single" w:color="C5D3E8" w:sz="4"/>
              <w:left w:val="single" w:color="C5D3E8" w:sz="4"/>
              <w:bottom w:val="single" w:color="C5D3E8" w:sz="4"/>
              <w:right w:val="single" w:color="C5D3E8" w:sz="4"/>
            </w:tcBorders>
            <w:shd w:fill="FFFFFF" w:val="clear"/>
            <w:tcMar>
              <w:top w:type="dxa" w:w="120"/>
              <w:left w:type="dxa" w:w="200"/>
              <w:bottom w:type="dxa" w:w="120"/>
              <w:right w:type="dxa" w:w="200"/>
            </w:tcMar>
          </w:tcPr>
          <w:p>
            <w:pPr>
              <w:spacing w:after="60" w:before="0"/>
            </w:pPr>
            <w:r>
              <w:rPr>
                <w:rFonts w:ascii="Arial" w:cs="Arial" w:eastAsia="Arial" w:hAnsi="Arial"/>
                <w:b/>
                <w:bCs/>
                <w:color w:val="6B7280"/>
                <w:sz w:val="16"/>
                <w:szCs w:val="16"/>
              </w:rPr>
              <w:t xml:space="preserve">TARGET MARKET</w:t>
            </w:r>
          </w:p>
          <w:p>
            <w:pPr>
              <w:spacing w:after="0" w:before="0"/>
            </w:pPr>
            <w:r>
              <w:rPr>
                <w:rFonts w:ascii="Arial" w:cs="Arial" w:eastAsia="Arial" w:hAnsi="Arial"/>
                <w:b/>
                <w:bCs/>
                <w:color w:val="1A1A2E"/>
                <w:sz w:val="22"/>
                <w:szCs w:val="22"/>
              </w:rPr>
              <w:t xml:space="preserve">9,700 independent US research sites</w:t>
            </w:r>
          </w:p>
        </w:tc>
        <w:tc>
          <w:tcPr>
            <w:tcW w:type="dxa" w:w="4680"/>
            <w:tcBorders>
              <w:top w:val="single" w:color="C5D3E8" w:sz="4"/>
              <w:left w:val="single" w:color="C5D3E8" w:sz="4"/>
              <w:bottom w:val="single" w:color="C5D3E8" w:sz="4"/>
              <w:right w:val="single" w:color="C5D3E8" w:sz="4"/>
            </w:tcBorders>
            <w:shd w:fill="FFFFFF" w:val="clear"/>
            <w:tcMar>
              <w:top w:type="dxa" w:w="120"/>
              <w:left w:type="dxa" w:w="200"/>
              <w:bottom w:type="dxa" w:w="120"/>
              <w:right w:type="dxa" w:w="200"/>
            </w:tcMar>
          </w:tcPr>
          <w:p>
            <w:pPr>
              <w:spacing w:after="60" w:before="0"/>
            </w:pPr>
            <w:r>
              <w:rPr>
                <w:rFonts w:ascii="Arial" w:cs="Arial" w:eastAsia="Arial" w:hAnsi="Arial"/>
                <w:b/>
                <w:bCs/>
                <w:color w:val="6B7280"/>
                <w:sz w:val="16"/>
                <w:szCs w:val="16"/>
              </w:rPr>
              <w:t xml:space="preserve">ARR OPPORTUNITY (5% PENETRATION)</w:t>
            </w:r>
          </w:p>
          <w:p>
            <w:pPr>
              <w:spacing w:after="0" w:before="0"/>
            </w:pPr>
            <w:r>
              <w:rPr>
                <w:rFonts w:ascii="Arial" w:cs="Arial" w:eastAsia="Arial" w:hAnsi="Arial"/>
                <w:b/>
                <w:bCs/>
                <w:color w:val="1A6B3A"/>
                <w:sz w:val="22"/>
                <w:szCs w:val="22"/>
              </w:rPr>
              <w:t xml:space="preserve">$11.6M at $199/site/month</w:t>
            </w:r>
          </w:p>
        </w:tc>
      </w:tr>
    </w:tbl>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1. Problem Statement</w:t>
      </w:r>
    </w:p>
    <w:p>
      <w:pPr>
        <w:spacing w:after="140" w:before="0" w:line="276"/>
        <w:jc w:val="left"/>
      </w:pPr>
      <w:r>
        <w:rPr>
          <w:rFonts w:ascii="Arial" w:cs="Arial" w:eastAsia="Arial" w:hAnsi="Arial"/>
          <w:b w:val="false"/>
          <w:bCs w:val="false"/>
          <w:i w:val="false"/>
          <w:iCs w:val="false"/>
          <w:color w:val="1A1A2E"/>
          <w:sz w:val="22"/>
          <w:szCs w:val="22"/>
        </w:rPr>
        <w:t xml:space="preserve">The 9,700 independent clinical research sites in the United States represent the critical infrastructure of global pharmaceutical R&amp;D — yet they are operationally crippled. These sites, which account for 97% of all US research locations, operate without the institutional support of academic medical centers. Their frontline operators — Clinical Research Coordinators (CRCs) — manage complex multi-protocol trial portfolios, patient safety workflows, and FDA regulatory compliance using physical paper binders, clipboards, and self-built Excel spreadsheets.</w:t>
      </w:r>
    </w:p>
    <w:p>
      <w:pPr>
        <w:spacing w:after="0" w:before="80"/>
      </w:pPr>
      <w:r>
        <w:rPr>
          <w:rFonts w:ascii="Arial" w:cs="Arial" w:eastAsia="Arial" w:hAnsi="Arial"/>
          <w:b w:val="false"/>
          <w:bCs w:val="false"/>
          <w:i w:val="false"/>
          <w:iCs w:val="false"/>
          <w:color w:val="1A1A2E"/>
          <w:sz w:val="22"/>
          <w:szCs w:val="22"/>
        </w:rPr>
        <w:t xml:space="preserve"/>
      </w:r>
    </w:p>
    <w:p>
      <w:pPr>
        <w:spacing w:after="140" w:before="0" w:line="276"/>
        <w:jc w:val="left"/>
      </w:pPr>
      <w:r>
        <w:rPr>
          <w:rFonts w:ascii="Arial" w:cs="Arial" w:eastAsia="Arial" w:hAnsi="Arial"/>
          <w:b w:val="false"/>
          <w:bCs w:val="false"/>
          <w:i w:val="false"/>
          <w:iCs w:val="false"/>
          <w:color w:val="1A1A2E"/>
          <w:sz w:val="22"/>
          <w:szCs w:val="22"/>
        </w:rPr>
        <w:t xml:space="preserve">This is not a minor inconvenience. It is a structural failure with measurable consequences: new clinical research sites fail at 3x the rate of standard new businesses in their first year. The operational bottleneck is the CRC. When a coordinator burns out and quits — which they do at alarming rates — the site's entire trial portfolio faces protocol deviations, FDA audit risk, and potential shutdown.</w:t>
      </w:r>
    </w:p>
    <w:p>
      <w:pPr>
        <w:spacing w:after="0" w:before="8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
        <w:gridCol w:w="9120"/>
      </w:tblGrid>
      <w:tr>
        <w:tc>
          <w:tcPr>
            <w:tcW w:type="dxa" w:w="240"/>
            <w:tcBorders>
              <w:top w:val="none" w:color="FFFFFF" w:sz="0"/>
              <w:left w:val="none" w:color="FFFFFF" w:sz="0"/>
              <w:bottom w:val="none" w:color="FFFFFF" w:sz="0"/>
              <w:right w:val="none" w:color="FFFFFF" w:sz="0"/>
            </w:tcBorders>
            <w:shd w:fill="1B3A6B" w:val="clear"/>
          </w:tcPr>
          <w:p>
            <w:r>
              <w:rPr>
                <w:rFonts w:ascii="Arial" w:cs="Arial" w:eastAsia="Arial" w:hAnsi="Arial"/>
                <w:b w:val="false"/>
                <w:bCs w:val="false"/>
                <w:i w:val="false"/>
                <w:iCs w:val="false"/>
                <w:color w:val="1A1A2E"/>
                <w:sz w:val="22"/>
                <w:szCs w:val="22"/>
              </w:rPr>
              <w:t xml:space="preserve"/>
            </w:r>
          </w:p>
        </w:tc>
        <w:tc>
          <w:tcPr>
            <w:tcW w:type="dxa" w:w="9120"/>
            <w:tcBorders>
              <w:top w:val="none" w:color="FFFFFF" w:sz="0"/>
              <w:left w:val="none" w:color="FFFFFF" w:sz="0"/>
              <w:bottom w:val="none" w:color="FFFFFF" w:sz="0"/>
              <w:right w:val="none" w:color="FFFFFF" w:sz="0"/>
            </w:tcBorders>
            <w:shd w:fill="E8EEF7" w:val="clear"/>
            <w:tcMar>
              <w:top w:type="dxa" w:w="160"/>
              <w:left w:type="dxa" w:w="240"/>
              <w:bottom w:type="dxa" w:w="160"/>
              <w:right w:type="dxa" w:w="240"/>
            </w:tcMar>
          </w:tcPr>
          <w:p>
            <w:pPr>
              <w:spacing w:after="60" w:before="0"/>
            </w:pPr>
            <w:r>
              <w:rPr>
                <w:rFonts w:ascii="Arial" w:cs="Arial" w:eastAsia="Arial" w:hAnsi="Arial"/>
                <w:i/>
                <w:iCs/>
                <w:color w:val="1A1A2E"/>
                <w:sz w:val="22"/>
                <w:szCs w:val="22"/>
              </w:rPr>
              <w:t xml:space="preserve">"I'm about one unstructured note away from full burnout... The 'janky excel tracker' is exactly where I'm at right now lol. It's ridiculous that this is the best we can do."</w:t>
            </w:r>
          </w:p>
          <w:p>
            <w:pPr>
              <w:spacing w:after="0" w:before="0"/>
            </w:pPr>
            <w:r>
              <w:rPr>
                <w:rFonts w:ascii="Arial" w:cs="Arial" w:eastAsia="Arial" w:hAnsi="Arial"/>
                <w:color w:val="6B7280"/>
                <w:sz w:val="18"/>
                <w:szCs w:val="18"/>
              </w:rPr>
              <w:t xml:space="preserve">— u/dumdum_gutterslut, r/clinicalresearch (verified Reddit post)</w:t>
            </w:r>
          </w:p>
        </w:tc>
      </w:tr>
    </w:tbl>
    <w:p>
      <w:pPr>
        <w:spacing w:after="0" w:before="2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2. The User</w:t>
      </w:r>
    </w:p>
    <w:p>
      <w:pPr>
        <w:pStyle w:val="Heading2"/>
        <w:spacing w:after="120" w:before="280"/>
      </w:pPr>
      <w:r>
        <w:rPr>
          <w:rFonts w:ascii="Arial" w:cs="Arial" w:eastAsia="Arial" w:hAnsi="Arial"/>
          <w:b/>
          <w:bCs/>
          <w:color w:val="2E5F9E"/>
          <w:sz w:val="26"/>
          <w:szCs w:val="26"/>
        </w:rPr>
        <w:t xml:space="preserve">2.1 Persona: The Independent CRC</w:t>
      </w:r>
    </w:p>
    <w:p>
      <w:pPr>
        <w:spacing w:after="140" w:before="0" w:line="276"/>
        <w:jc w:val="left"/>
      </w:pPr>
      <w:r>
        <w:rPr>
          <w:rFonts w:ascii="Arial" w:cs="Arial" w:eastAsia="Arial" w:hAnsi="Arial"/>
          <w:b w:val="false"/>
          <w:bCs w:val="false"/>
          <w:i w:val="false"/>
          <w:iCs w:val="false"/>
          <w:color w:val="1A1A2E"/>
          <w:sz w:val="22"/>
          <w:szCs w:val="22"/>
        </w:rPr>
        <w:t xml:space="preserve">The target user is a Clinical Research Coordinator at a small, independent investigator site — a private physician practice, community hospital, or specialized diagnostic center running 1–10 concurrent clinical trials. She is technically literate, operationally autonomous, and chronically overwhelmed.</w:t>
      </w:r>
    </w:p>
    <w:p>
      <w:pPr>
        <w:spacing w:after="0" w:before="10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1B3A6B"/>
                <w:sz w:val="48"/>
                <w:szCs w:val="48"/>
              </w:rPr>
              <w:t xml:space="preserve">9,700</w:t>
            </w:r>
          </w:p>
          <w:p>
            <w:pPr>
              <w:spacing w:after="0" w:before="0"/>
              <w:jc w:val="center"/>
            </w:pPr>
            <w:r>
              <w:rPr>
                <w:rFonts w:ascii="Arial" w:cs="Arial" w:eastAsia="Arial" w:hAnsi="Arial"/>
                <w:color w:val="6B7280"/>
                <w:sz w:val="18"/>
                <w:szCs w:val="18"/>
              </w:rPr>
              <w:t xml:space="preserve">Independent US sites</w:t>
            </w:r>
          </w:p>
        </w:tc>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1B3A6B"/>
                <w:sz w:val="48"/>
                <w:szCs w:val="48"/>
              </w:rPr>
              <w:t xml:space="preserve">1–10</w:t>
            </w:r>
          </w:p>
          <w:p>
            <w:pPr>
              <w:spacing w:after="0" w:before="0"/>
              <w:jc w:val="center"/>
            </w:pPr>
            <w:r>
              <w:rPr>
                <w:rFonts w:ascii="Arial" w:cs="Arial" w:eastAsia="Arial" w:hAnsi="Arial"/>
                <w:color w:val="6B7280"/>
                <w:sz w:val="18"/>
                <w:szCs w:val="18"/>
              </w:rPr>
              <w:t xml:space="preserve">Concurrent trials per site</w:t>
            </w:r>
          </w:p>
        </w:tc>
      </w:tr>
      <w:tr>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1B3A6B"/>
                <w:sz w:val="48"/>
                <w:szCs w:val="48"/>
              </w:rPr>
              <w:t xml:space="preserve">1–3</w:t>
            </w:r>
          </w:p>
          <w:p>
            <w:pPr>
              <w:spacing w:after="0" w:before="0"/>
              <w:jc w:val="center"/>
            </w:pPr>
            <w:r>
              <w:rPr>
                <w:rFonts w:ascii="Arial" w:cs="Arial" w:eastAsia="Arial" w:hAnsi="Arial"/>
                <w:color w:val="6B7280"/>
                <w:sz w:val="18"/>
                <w:szCs w:val="18"/>
              </w:rPr>
              <w:t xml:space="preserve">CRCs per site</w:t>
            </w:r>
          </w:p>
        </w:tc>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1B3A6B"/>
                <w:sz w:val="48"/>
                <w:szCs w:val="48"/>
              </w:rPr>
              <w:t xml:space="preserve">~25K</w:t>
            </w:r>
          </w:p>
          <w:p>
            <w:pPr>
              <w:spacing w:after="0" w:before="0"/>
              <w:jc w:val="center"/>
            </w:pPr>
            <w:r>
              <w:rPr>
                <w:rFonts w:ascii="Arial" w:cs="Arial" w:eastAsia="Arial" w:hAnsi="Arial"/>
                <w:color w:val="6B7280"/>
                <w:sz w:val="18"/>
                <w:szCs w:val="18"/>
              </w:rPr>
              <w:t xml:space="preserve">Total addressable users</w:t>
            </w:r>
          </w:p>
        </w:tc>
      </w:tr>
    </w:tbl>
    <w:p>
      <w:pPr>
        <w:spacing w:after="0" w:before="20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2.2 Structural Constraints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Reports to</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Principal Investigator — an absentee clinician (surgeon or physician) whose primary focus is patient revenue, not research oversight</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Budget authority</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Near zero. All procurement decisions require PI or clinic director approval</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Tech environment</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Simultaneously navigates REDCap, Medrio, Medidata Rave, Florence eBinders, Veeva SiteVault, and Epic/Cerner EMR — none integrated</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Fallback tools</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Physical paper binders, clipboards, and self-built Excel spreadsheets for all trial management</w:t>
            </w:r>
          </w:p>
        </w:tc>
      </w:tr>
    </w:tbl>
    <w:p>
      <w:pPr>
        <w:spacing w:after="0" w:before="24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2.3 A Day in the Life</w:t>
      </w:r>
    </w:p>
    <w:p>
      <w:pPr>
        <w:spacing w:after="140" w:before="0" w:line="276"/>
        <w:jc w:val="left"/>
      </w:pPr>
      <w:r>
        <w:rPr>
          <w:rFonts w:ascii="Arial" w:cs="Arial" w:eastAsia="Arial" w:hAnsi="Arial"/>
          <w:b w:val="false"/>
          <w:bCs w:val="false"/>
          <w:i w:val="false"/>
          <w:iCs w:val="false"/>
          <w:color w:val="1A1A2E"/>
          <w:sz w:val="22"/>
          <w:szCs w:val="22"/>
        </w:rPr>
        <w:t xml:space="preserve">5:00 AM — Logs into the hospital EMR from home to cross-reference patient lists against study inclusion/exclusion criteria before the clinic opens.</w:t>
      </w:r>
    </w:p>
    <w:p>
      <w:pPr>
        <w:spacing w:after="140" w:before="0" w:line="276"/>
        <w:jc w:val="left"/>
      </w:pPr>
      <w:r>
        <w:rPr>
          <w:rFonts w:ascii="Arial" w:cs="Arial" w:eastAsia="Arial" w:hAnsi="Arial"/>
          <w:b w:val="false"/>
          <w:bCs w:val="false"/>
          <w:i w:val="false"/>
          <w:iCs w:val="false"/>
          <w:color w:val="1A1A2E"/>
          <w:sz w:val="22"/>
          <w:szCs w:val="22"/>
        </w:rPr>
        <w:t xml:space="preserve">8:00 AM — Arrives on-site; coordinates with nurses; gathers signatures on paper-based informed consent forms attached to clipboards.</w:t>
      </w:r>
    </w:p>
    <w:p>
      <w:pPr>
        <w:spacing w:after="140" w:before="0" w:line="276"/>
        <w:jc w:val="left"/>
      </w:pPr>
      <w:r>
        <w:rPr>
          <w:rFonts w:ascii="Arial" w:cs="Arial" w:eastAsia="Arial" w:hAnsi="Arial"/>
          <w:b w:val="false"/>
          <w:bCs w:val="false"/>
          <w:i w:val="false"/>
          <w:iCs w:val="false"/>
          <w:color w:val="1A1A2E"/>
          <w:sz w:val="22"/>
          <w:szCs w:val="22"/>
        </w:rPr>
        <w:t xml:space="preserve">10:00 AM — Spends hours standing in procedure rooms (endoscopy, surgical suites), monitoring interventions, developing heel and back pain from desk-less clinical work.</w:t>
      </w:r>
    </w:p>
    <w:p>
      <w:pPr>
        <w:spacing w:after="140" w:before="0" w:line="276"/>
        <w:jc w:val="left"/>
      </w:pPr>
      <w:r>
        <w:rPr>
          <w:rFonts w:ascii="Arial" w:cs="Arial" w:eastAsia="Arial" w:hAnsi="Arial"/>
          <w:b w:val="false"/>
          <w:bCs w:val="false"/>
          <w:i w:val="false"/>
          <w:iCs w:val="false"/>
          <w:color w:val="1A1A2E"/>
          <w:sz w:val="22"/>
          <w:szCs w:val="22"/>
        </w:rPr>
        <w:t xml:space="preserve">1:00 PM — Retreats to the lab to manually process, centrifuge, and package biological specimens (blood, urine, biopsies) per complex shipping regulations.</w:t>
      </w:r>
    </w:p>
    <w:p>
      <w:pPr>
        <w:spacing w:after="140" w:before="0" w:line="276"/>
        <w:jc w:val="left"/>
      </w:pPr>
      <w:r>
        <w:rPr>
          <w:rFonts w:ascii="Arial" w:cs="Arial" w:eastAsia="Arial" w:hAnsi="Arial"/>
          <w:b w:val="false"/>
          <w:bCs w:val="false"/>
          <w:i w:val="false"/>
          <w:iCs w:val="false"/>
          <w:color w:val="1A1A2E"/>
          <w:sz w:val="22"/>
          <w:szCs w:val="22"/>
        </w:rPr>
        <w:t xml:space="preserve">3:00 PM — Afternoon consumed by submitting REB applications, updating paper regulatory binders, and performing double data entry from paper CRFs into multiple disconnected sponsor EDC portals.</w:t>
      </w:r>
    </w:p>
    <w:p>
      <w:pPr>
        <w:spacing w:after="140" w:before="0" w:line="276"/>
        <w:jc w:val="left"/>
      </w:pPr>
      <w:r>
        <w:rPr>
          <w:rFonts w:ascii="Arial" w:cs="Arial" w:eastAsia="Arial" w:hAnsi="Arial"/>
          <w:b w:val="false"/>
          <w:bCs w:val="false"/>
          <w:i w:val="false"/>
          <w:iCs w:val="false"/>
          <w:color w:val="1A1A2E"/>
          <w:sz w:val="22"/>
          <w:szCs w:val="22"/>
        </w:rPr>
        <w:t xml:space="preserve">6:00 PM — Races against PI email requests and sponsor deadlines before collapsing from exhaustion.</w:t>
      </w:r>
    </w:p>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3. Validated Pain Points</w:t>
      </w:r>
    </w:p>
    <w:p>
      <w:pPr>
        <w:spacing w:after="140" w:before="0" w:line="276"/>
        <w:jc w:val="left"/>
      </w:pPr>
      <w:r>
        <w:rPr>
          <w:rFonts w:ascii="Arial" w:cs="Arial" w:eastAsia="Arial" w:hAnsi="Arial"/>
          <w:b w:val="false"/>
          <w:bCs w:val="false"/>
          <w:i w:val="false"/>
          <w:iCs w:val="false"/>
          <w:color w:val="1A1A2E"/>
          <w:sz w:val="22"/>
          <w:szCs w:val="22"/>
        </w:rPr>
        <w:t xml:space="preserve">The following pain points are ranked by frequency of mention and emotional intensity across 53 primary sources: Reddit (r/clinicalresearch), G2 reviews, Capterra reviews, Indeed/Glassdoor job reviews, and YouTube coordinator vlogs.</w:t>
      </w:r>
    </w:p>
    <w:p>
      <w:pPr>
        <w:spacing w:after="0" w:before="12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
        <w:gridCol w:w="2400"/>
        <w:gridCol w:w="800"/>
        <w:gridCol w:w="2480"/>
        <w:gridCol w:w="3080"/>
      </w:tblGrid>
      <w:tr>
        <w:tc>
          <w:tcPr>
            <w:tcW w:type="dxa" w:w="6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18"/>
                <w:szCs w:val="18"/>
              </w:rPr>
              <w:t xml:space="preserve">#</w:t>
            </w:r>
          </w:p>
        </w:tc>
        <w:tc>
          <w:tcPr>
            <w:tcW w:type="dxa" w:w="24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vAlign w:val="center"/>
          </w:tcPr>
          <w:p>
            <w:pPr>
              <w:spacing w:after="0" w:before="0"/>
              <w:jc w:val="left"/>
            </w:pPr>
            <w:r>
              <w:rPr>
                <w:rFonts w:ascii="Arial" w:cs="Arial" w:eastAsia="Arial" w:hAnsi="Arial"/>
                <w:b/>
                <w:bCs/>
                <w:color w:val="FFFFFF"/>
                <w:sz w:val="18"/>
                <w:szCs w:val="18"/>
              </w:rPr>
              <w:t xml:space="preserve">Pain Point</w:t>
            </w:r>
          </w:p>
        </w:tc>
        <w:tc>
          <w:tcPr>
            <w:tcW w:type="dxa" w:w="8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vAlign w:val="center"/>
          </w:tcPr>
          <w:p>
            <w:pPr>
              <w:spacing w:after="0" w:before="0"/>
              <w:jc w:val="center"/>
            </w:pPr>
            <w:r>
              <w:rPr>
                <w:rFonts w:ascii="Arial" w:cs="Arial" w:eastAsia="Arial" w:hAnsi="Arial"/>
                <w:b/>
                <w:bCs/>
                <w:color w:val="FFFFFF"/>
                <w:sz w:val="18"/>
                <w:szCs w:val="18"/>
              </w:rPr>
              <w:t xml:space="preserve">Severity</w:t>
            </w:r>
          </w:p>
        </w:tc>
        <w:tc>
          <w:tcPr>
            <w:tcW w:type="dxa" w:w="248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vAlign w:val="center"/>
          </w:tcPr>
          <w:p>
            <w:pPr>
              <w:spacing w:after="0" w:before="0"/>
              <w:jc w:val="left"/>
            </w:pPr>
            <w:r>
              <w:rPr>
                <w:rFonts w:ascii="Arial" w:cs="Arial" w:eastAsia="Arial" w:hAnsi="Arial"/>
                <w:b/>
                <w:bCs/>
                <w:color w:val="FFFFFF"/>
                <w:sz w:val="18"/>
                <w:szCs w:val="18"/>
              </w:rPr>
              <w:t xml:space="preserve">Structural Wedge (Small Sites)</w:t>
            </w:r>
          </w:p>
        </w:tc>
        <w:tc>
          <w:tcPr>
            <w:tcW w:type="dxa" w:w="308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vAlign w:val="center"/>
          </w:tcPr>
          <w:p>
            <w:pPr>
              <w:spacing w:after="0" w:before="0"/>
              <w:jc w:val="left"/>
            </w:pPr>
            <w:r>
              <w:rPr>
                <w:rFonts w:ascii="Arial" w:cs="Arial" w:eastAsia="Arial" w:hAnsi="Arial"/>
                <w:b/>
                <w:bCs/>
                <w:color w:val="FFFFFF"/>
                <w:sz w:val="18"/>
                <w:szCs w:val="18"/>
              </w:rPr>
              <w:t xml:space="preserve">Current Workaround</w:t>
            </w:r>
          </w:p>
        </w:tc>
      </w:tr>
      <w:tr>
        <w:tc>
          <w:tcPr>
            <w:tcW w:type="dxa" w:w="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1A1A2E"/>
                <w:sz w:val="19"/>
                <w:szCs w:val="19"/>
              </w:rPr>
              <w:t xml:space="preserve">1</w:t>
            </w:r>
          </w:p>
        </w:tc>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Extreme admin burden &amp; double data entry</w:t>
            </w:r>
          </w:p>
        </w:tc>
        <w:tc>
          <w:tcPr>
            <w:tcW w:type="dxa" w:w="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C0392B"/>
                <w:sz w:val="19"/>
                <w:szCs w:val="19"/>
              </w:rPr>
              <w:t xml:space="preserve">10/10</w:t>
            </w:r>
          </w:p>
        </w:tc>
        <w:tc>
          <w:tcPr>
            <w:tcW w:type="dxa" w:w="24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No dedicated data clerks; CRC manually bridges EMR and EDC systems</w:t>
            </w:r>
          </w:p>
        </w:tc>
        <w:tc>
          <w:tcPr>
            <w:tcW w:type="dxa" w:w="30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Janky Excel trackers, physical clipboards, end-of-day brain dumps</w:t>
            </w:r>
          </w:p>
        </w:tc>
      </w:tr>
      <w:tr>
        <w:tc>
          <w:tcPr>
            <w:tcW w:type="dxa" w:w="6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1A1A2E"/>
                <w:sz w:val="19"/>
                <w:szCs w:val="19"/>
              </w:rPr>
              <w:t xml:space="preserve">2</w:t>
            </w:r>
          </w:p>
        </w:tc>
        <w:tc>
          <w:tcPr>
            <w:tcW w:type="dxa" w:w="24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Chronic coordinator burnout &amp; unrealistic workloads</w:t>
            </w:r>
          </w:p>
        </w:tc>
        <w:tc>
          <w:tcPr>
            <w:tcW w:type="dxa" w:w="8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C0392B"/>
                <w:sz w:val="19"/>
                <w:szCs w:val="19"/>
              </w:rPr>
              <w:t xml:space="preserve">9/10</w:t>
            </w:r>
          </w:p>
        </w:tc>
        <w:tc>
          <w:tcPr>
            <w:tcW w:type="dxa" w:w="24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No float pools or PRN staff; one CRC departure paralyzes entire trial portfolio</w:t>
            </w:r>
          </w:p>
        </w:tc>
        <w:tc>
          <w:tcPr>
            <w:tcW w:type="dxa" w:w="30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Hiding hours in Admin buckets; exiting the industry entirely</w:t>
            </w:r>
          </w:p>
        </w:tc>
      </w:tr>
      <w:tr>
        <w:tc>
          <w:tcPr>
            <w:tcW w:type="dxa" w:w="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1A1A2E"/>
                <w:sz w:val="19"/>
                <w:szCs w:val="19"/>
              </w:rPr>
              <w:t xml:space="preserve">3</w:t>
            </w:r>
          </w:p>
        </w:tc>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Regulatory paranoia &amp; absentee PI oversight</w:t>
            </w:r>
          </w:p>
        </w:tc>
        <w:tc>
          <w:tcPr>
            <w:tcW w:type="dxa" w:w="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B45309"/>
                <w:sz w:val="19"/>
                <w:szCs w:val="19"/>
              </w:rPr>
              <w:t xml:space="preserve">8/10</w:t>
            </w:r>
          </w:p>
        </w:tc>
        <w:tc>
          <w:tcPr>
            <w:tcW w:type="dxa" w:w="24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PI is revenue-focused clinician; research oversight is structurally secondary</w:t>
            </w:r>
          </w:p>
        </w:tc>
        <w:tc>
          <w:tcPr>
            <w:tcW w:type="dxa" w:w="30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Chasing doctors for signatures; massive manual file tabs per protocol binder</w:t>
            </w:r>
          </w:p>
        </w:tc>
      </w:tr>
      <w:tr>
        <w:tc>
          <w:tcPr>
            <w:tcW w:type="dxa" w:w="6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1A1A2E"/>
                <w:sz w:val="19"/>
                <w:szCs w:val="19"/>
              </w:rPr>
              <w:t xml:space="preserve">4</w:t>
            </w:r>
          </w:p>
        </w:tc>
        <w:tc>
          <w:tcPr>
            <w:tcW w:type="dxa" w:w="24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System fragmentation &amp; slow, complex software</w:t>
            </w:r>
          </w:p>
        </w:tc>
        <w:tc>
          <w:tcPr>
            <w:tcW w:type="dxa" w:w="8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B45309"/>
                <w:sz w:val="19"/>
                <w:szCs w:val="19"/>
              </w:rPr>
              <w:t xml:space="preserve">8/10</w:t>
            </w:r>
          </w:p>
        </w:tc>
        <w:tc>
          <w:tcPr>
            <w:tcW w:type="dxa" w:w="24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Cannot afford custom API integrations or enterprise IT teams</w:t>
            </w:r>
          </w:p>
        </w:tc>
        <w:tc>
          <w:tcPr>
            <w:tcW w:type="dxa" w:w="30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Offline backup files, paying staff overtime for system lag</w:t>
            </w:r>
          </w:p>
        </w:tc>
      </w:tr>
      <w:tr>
        <w:tc>
          <w:tcPr>
            <w:tcW w:type="dxa" w:w="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1A1A2E"/>
                <w:sz w:val="19"/>
                <w:szCs w:val="19"/>
              </w:rPr>
              <w:t xml:space="preserve">5</w:t>
            </w:r>
          </w:p>
        </w:tc>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Physical toll of desk-less clinical work</w:t>
            </w:r>
          </w:p>
        </w:tc>
        <w:tc>
          <w:tcPr>
            <w:tcW w:type="dxa" w:w="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center"/>
            </w:pPr>
            <w:r>
              <w:rPr>
                <w:rFonts w:ascii="Arial" w:cs="Arial" w:eastAsia="Arial" w:hAnsi="Arial"/>
                <w:b w:val="false"/>
                <w:bCs w:val="false"/>
                <w:color w:val="B45309"/>
                <w:sz w:val="19"/>
                <w:szCs w:val="19"/>
              </w:rPr>
              <w:t xml:space="preserve">7/10</w:t>
            </w:r>
          </w:p>
        </w:tc>
        <w:tc>
          <w:tcPr>
            <w:tcW w:type="dxa" w:w="24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No dedicated phlebotomists or lab techs; CRC performs all duties</w:t>
            </w:r>
          </w:p>
        </w:tc>
        <w:tc>
          <w:tcPr>
            <w:tcW w:type="dxa" w:w="30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spacing w:after="0" w:before="0"/>
              <w:jc w:val="left"/>
            </w:pPr>
            <w:r>
              <w:rPr>
                <w:rFonts w:ascii="Arial" w:cs="Arial" w:eastAsia="Arial" w:hAnsi="Arial"/>
                <w:b w:val="false"/>
                <w:bCs w:val="false"/>
                <w:color w:val="1A1A2E"/>
                <w:sz w:val="19"/>
                <w:szCs w:val="19"/>
              </w:rPr>
              <w:t xml:space="preserve">High-end orthotics; strict time-blocking of floor vs. desk work</w:t>
            </w:r>
          </w:p>
        </w:tc>
      </w:tr>
    </w:tbl>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4. V1 Product Scope</w:t>
      </w:r>
    </w:p>
    <w:p>
      <w:pPr>
        <w:pStyle w:val="Heading2"/>
        <w:spacing w:after="120" w:before="280"/>
      </w:pPr>
      <w:r>
        <w:rPr>
          <w:rFonts w:ascii="Arial" w:cs="Arial" w:eastAsia="Arial" w:hAnsi="Arial"/>
          <w:b/>
          <w:bCs/>
          <w:color w:val="2E5F9E"/>
          <w:sz w:val="26"/>
          <w:szCs w:val="26"/>
        </w:rPr>
        <w:t xml:space="preserve">4.1 Core User Story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200"/>
              <w:left w:type="dxa" w:w="280"/>
              <w:bottom w:type="dxa" w:w="200"/>
              <w:right w:type="dxa" w:w="280"/>
            </w:tcMar>
          </w:tcPr>
          <w:p>
            <w:pPr>
              <w:spacing w:after="60" w:before="0"/>
            </w:pPr>
            <w:r>
              <w:rPr>
                <w:rFonts w:ascii="Arial" w:cs="Arial" w:eastAsia="Arial" w:hAnsi="Arial"/>
                <w:b/>
                <w:bCs/>
                <w:color w:val="C5D3E8"/>
                <w:sz w:val="18"/>
                <w:szCs w:val="18"/>
              </w:rPr>
              <w:t xml:space="preserve">CORE USER STORY</w:t>
            </w:r>
          </w:p>
          <w:p>
            <w:pPr>
              <w:spacing w:after="0" w:before="0"/>
            </w:pPr>
            <w:r>
              <w:rPr>
                <w:rFonts w:ascii="Arial" w:cs="Arial" w:eastAsia="Arial" w:hAnsi="Arial"/>
                <w:i/>
                <w:iCs/>
                <w:color w:val="FFFFFF"/>
                <w:sz w:val="23"/>
                <w:szCs w:val="23"/>
              </w:rPr>
              <w:t xml:space="preserve">"When enrolling and managing a patient's study visit, the coordinator needs to capture clinical source data once in a unified, mobile-friendly interface so that the outcome automatically populates the site's regulatory binder and financial tracking logs — without requiring error-prone physical paperwork."</w:t>
            </w:r>
          </w:p>
        </w:tc>
      </w:tr>
    </w:tbl>
    <w:p>
      <w:pPr>
        <w:spacing w:after="0" w:before="24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4.2 V1 Features</w:t>
      </w:r>
    </w:p>
    <w:p>
      <w:pPr>
        <w:spacing w:after="140" w:before="0" w:line="276"/>
        <w:jc w:val="left"/>
      </w:pPr>
      <w:r>
        <w:rPr>
          <w:rFonts w:ascii="Arial" w:cs="Arial" w:eastAsia="Arial" w:hAnsi="Arial"/>
          <w:b w:val="false"/>
          <w:bCs w:val="false"/>
          <w:i w:val="false"/>
          <w:iCs w:val="false"/>
          <w:color w:val="1A1A2E"/>
          <w:sz w:val="22"/>
          <w:szCs w:val="22"/>
        </w:rPr>
        <w:t xml:space="preserve">V1 contains exactly three features. This scope is intentional — each feature maps directly to a validated pain point and together they eliminate the paper-to-digital bottleneck without requiring sponsor API integrations (sequenced for V2).</w:t>
      </w:r>
    </w:p>
    <w:p>
      <w:pPr>
        <w:spacing w:after="0" w:before="1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1B3A6B" w:val="clear"/>
            <w:tcMar>
              <w:top w:type="dxa" w:w="160"/>
              <w:left w:type="dxa" w:w="160"/>
              <w:bottom w:type="dxa" w:w="160"/>
              <w:right w:type="dxa" w:w="160"/>
            </w:tcMar>
            <w:vAlign w:val="center"/>
          </w:tcPr>
          <w:p>
            <w:pPr>
              <w:spacing w:after="0" w:before="0"/>
              <w:jc w:val="center"/>
            </w:pPr>
            <w:r>
              <w:rPr>
                <w:rFonts w:ascii="Arial" w:cs="Arial" w:eastAsia="Arial" w:hAnsi="Arial"/>
                <w:b/>
                <w:bCs/>
                <w:color w:val="FFFFFF"/>
                <w:sz w:val="36"/>
                <w:szCs w:val="36"/>
              </w:rPr>
              <w:t xml:space="preserve">1</w:t>
            </w:r>
          </w:p>
        </w:tc>
        <w:tc>
          <w:tcPr>
            <w:tcW w:type="dxa" w:w="8720"/>
            <w:tcBorders>
              <w:top w:val="none" w:color="FFFFFF" w:sz="0"/>
              <w:left w:val="none" w:color="FFFFFF" w:sz="0"/>
              <w:bottom w:val="none" w:color="FFFFFF" w:sz="0"/>
              <w:right w:val="none" w:color="FFFFFF" w:sz="0"/>
            </w:tcBorders>
            <w:shd w:fill="E8EEF7" w:val="clear"/>
            <w:tcMar>
              <w:top w:type="dxa" w:w="140"/>
              <w:left w:type="dxa" w:w="200"/>
              <w:bottom w:type="dxa" w:w="140"/>
              <w:right w:type="dxa" w:w="160"/>
            </w:tcMar>
          </w:tcPr>
          <w:p>
            <w:pPr>
              <w:spacing w:after="60" w:before="0"/>
            </w:pPr>
            <w:r>
              <w:rPr>
                <w:rFonts w:ascii="Arial" w:cs="Arial" w:eastAsia="Arial" w:hAnsi="Arial"/>
                <w:b/>
                <w:bCs/>
                <w:color w:val="1B3A6B"/>
                <w:sz w:val="24"/>
                <w:szCs w:val="24"/>
              </w:rPr>
              <w:t xml:space="preserve">Universal Mobile Data Intake Interface</w:t>
            </w:r>
          </w:p>
          <w:p>
            <w:pPr>
              <w:spacing w:after="80" w:before="0"/>
            </w:pPr>
            <w:r>
              <w:rPr>
                <w:rFonts w:ascii="Arial" w:cs="Arial" w:eastAsia="Arial" w:hAnsi="Arial"/>
                <w:b w:val="false"/>
                <w:bCs w:val="false"/>
                <w:i w:val="false"/>
                <w:iCs w:val="false"/>
                <w:color w:val="1A1A2E"/>
                <w:sz w:val="20"/>
                <w:szCs w:val="20"/>
              </w:rPr>
              <w:t xml:space="preserve">A tablet and mobile-optimized intake form that acts as the primary data ingestion layer. The CRC enters patient data, consent verification, and visit checklists directly at the point of care — eliminating physical clipboards. Interface must be consumer-grade: zero learning curve, works offline, syncs on reconnect. Addresses Pain Points #1 and #5.</w:t>
            </w:r>
          </w:p>
          <w:p>
            <w:pPr>
              <w:spacing w:after="0" w:before="0"/>
            </w:pPr>
            <w:r>
              <w:rPr>
                <w:rFonts w:ascii="Arial" w:cs="Arial" w:eastAsia="Arial" w:hAnsi="Arial"/>
                <w:b/>
                <w:bCs/>
                <w:color w:val="2E5F9E"/>
                <w:sz w:val="18"/>
                <w:szCs w:val="18"/>
              </w:rPr>
              <w:t xml:space="preserve">Success metric: </w:t>
            </w:r>
            <w:r>
              <w:rPr>
                <w:rFonts w:ascii="Arial" w:cs="Arial" w:eastAsia="Arial" w:hAnsi="Arial"/>
                <w:i/>
                <w:iCs/>
                <w:color w:val="6B7280"/>
                <w:sz w:val="18"/>
                <w:szCs w:val="18"/>
              </w:rPr>
              <w:t xml:space="preserve">80% reduction in time spent on physical clipboard-to-computer transcription within 30 days of onboarding</w:t>
            </w:r>
          </w:p>
        </w:tc>
      </w:tr>
    </w:tbl>
    <w:p>
      <w:pPr>
        <w:spacing w:after="0" w:before="12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1B3A6B" w:val="clear"/>
            <w:tcMar>
              <w:top w:type="dxa" w:w="160"/>
              <w:left w:type="dxa" w:w="160"/>
              <w:bottom w:type="dxa" w:w="160"/>
              <w:right w:type="dxa" w:w="160"/>
            </w:tcMar>
            <w:vAlign w:val="center"/>
          </w:tcPr>
          <w:p>
            <w:pPr>
              <w:spacing w:after="0" w:before="0"/>
              <w:jc w:val="center"/>
            </w:pPr>
            <w:r>
              <w:rPr>
                <w:rFonts w:ascii="Arial" w:cs="Arial" w:eastAsia="Arial" w:hAnsi="Arial"/>
                <w:b/>
                <w:bCs/>
                <w:color w:val="FFFFFF"/>
                <w:sz w:val="36"/>
                <w:szCs w:val="36"/>
              </w:rPr>
              <w:t xml:space="preserve">2</w:t>
            </w:r>
          </w:p>
        </w:tc>
        <w:tc>
          <w:tcPr>
            <w:tcW w:type="dxa" w:w="8720"/>
            <w:tcBorders>
              <w:top w:val="none" w:color="FFFFFF" w:sz="0"/>
              <w:left w:val="none" w:color="FFFFFF" w:sz="0"/>
              <w:bottom w:val="none" w:color="FFFFFF" w:sz="0"/>
              <w:right w:val="none" w:color="FFFFFF" w:sz="0"/>
            </w:tcBorders>
            <w:shd w:fill="E8EEF7" w:val="clear"/>
            <w:tcMar>
              <w:top w:type="dxa" w:w="140"/>
              <w:left w:type="dxa" w:w="200"/>
              <w:bottom w:type="dxa" w:w="140"/>
              <w:right w:type="dxa" w:w="160"/>
            </w:tcMar>
          </w:tcPr>
          <w:p>
            <w:pPr>
              <w:spacing w:after="60" w:before="0"/>
            </w:pPr>
            <w:r>
              <w:rPr>
                <w:rFonts w:ascii="Arial" w:cs="Arial" w:eastAsia="Arial" w:hAnsi="Arial"/>
                <w:b/>
                <w:bCs/>
                <w:color w:val="1B3A6B"/>
                <w:sz w:val="24"/>
                <w:szCs w:val="24"/>
              </w:rPr>
              <w:t xml:space="preserve">Automated eRegulatory Auto-Updater</w:t>
            </w:r>
          </w:p>
          <w:p>
            <w:pPr>
              <w:spacing w:after="80" w:before="0"/>
            </w:pPr>
            <w:r>
              <w:rPr>
                <w:rFonts w:ascii="Arial" w:cs="Arial" w:eastAsia="Arial" w:hAnsi="Arial"/>
                <w:b w:val="false"/>
                <w:bCs w:val="false"/>
                <w:i w:val="false"/>
                <w:iCs w:val="false"/>
                <w:color w:val="1A1A2E"/>
                <w:sz w:val="20"/>
                <w:szCs w:val="20"/>
              </w:rPr>
              <w:t xml:space="preserve">When the CRC captures data (e.g., adverse event, new consent form version), the system automatically generates required compliance documentation — applying 21 CFR Part 11 compliant timestamps and filing entries into the correct ISF folder. Eliminates manual regulatory binder maintenance. Addresses Pain Points #1 and #3.</w:t>
            </w:r>
          </w:p>
          <w:p>
            <w:pPr>
              <w:spacing w:after="0" w:before="0"/>
            </w:pPr>
            <w:r>
              <w:rPr>
                <w:rFonts w:ascii="Arial" w:cs="Arial" w:eastAsia="Arial" w:hAnsi="Arial"/>
                <w:b/>
                <w:bCs/>
                <w:color w:val="2E5F9E"/>
                <w:sz w:val="18"/>
                <w:szCs w:val="18"/>
              </w:rPr>
              <w:t xml:space="preserve">Success metric: </w:t>
            </w:r>
            <w:r>
              <w:rPr>
                <w:rFonts w:ascii="Arial" w:cs="Arial" w:eastAsia="Arial" w:hAnsi="Arial"/>
                <w:i/>
                <w:iCs/>
                <w:color w:val="6B7280"/>
                <w:sz w:val="18"/>
                <w:szCs w:val="18"/>
              </w:rPr>
              <w:t xml:space="preserve">Zero manual regulatory binder updates required for 95% of standard data capture events within 60 days</w:t>
            </w:r>
          </w:p>
        </w:tc>
      </w:tr>
    </w:tbl>
    <w:p>
      <w:pPr>
        <w:spacing w:after="0" w:before="12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1B3A6B" w:val="clear"/>
            <w:tcMar>
              <w:top w:type="dxa" w:w="160"/>
              <w:left w:type="dxa" w:w="160"/>
              <w:bottom w:type="dxa" w:w="160"/>
              <w:right w:type="dxa" w:w="160"/>
            </w:tcMar>
            <w:vAlign w:val="center"/>
          </w:tcPr>
          <w:p>
            <w:pPr>
              <w:spacing w:after="0" w:before="0"/>
              <w:jc w:val="center"/>
            </w:pPr>
            <w:r>
              <w:rPr>
                <w:rFonts w:ascii="Arial" w:cs="Arial" w:eastAsia="Arial" w:hAnsi="Arial"/>
                <w:b/>
                <w:bCs/>
                <w:color w:val="FFFFFF"/>
                <w:sz w:val="36"/>
                <w:szCs w:val="36"/>
              </w:rPr>
              <w:t xml:space="preserve">3</w:t>
            </w:r>
          </w:p>
        </w:tc>
        <w:tc>
          <w:tcPr>
            <w:tcW w:type="dxa" w:w="8720"/>
            <w:tcBorders>
              <w:top w:val="none" w:color="FFFFFF" w:sz="0"/>
              <w:left w:val="none" w:color="FFFFFF" w:sz="0"/>
              <w:bottom w:val="none" w:color="FFFFFF" w:sz="0"/>
              <w:right w:val="none" w:color="FFFFFF" w:sz="0"/>
            </w:tcBorders>
            <w:shd w:fill="E8EEF7" w:val="clear"/>
            <w:tcMar>
              <w:top w:type="dxa" w:w="140"/>
              <w:left w:type="dxa" w:w="200"/>
              <w:bottom w:type="dxa" w:w="140"/>
              <w:right w:type="dxa" w:w="160"/>
            </w:tcMar>
          </w:tcPr>
          <w:p>
            <w:pPr>
              <w:spacing w:after="60" w:before="0"/>
            </w:pPr>
            <w:r>
              <w:rPr>
                <w:rFonts w:ascii="Arial" w:cs="Arial" w:eastAsia="Arial" w:hAnsi="Arial"/>
                <w:b/>
                <w:bCs/>
                <w:color w:val="1B3A6B"/>
                <w:sz w:val="24"/>
                <w:szCs w:val="24"/>
              </w:rPr>
              <w:t xml:space="preserve">PI Audit-Approval Portal</w:t>
            </w:r>
          </w:p>
          <w:p>
            <w:pPr>
              <w:spacing w:after="80" w:before="0"/>
            </w:pPr>
            <w:r>
              <w:rPr>
                <w:rFonts w:ascii="Arial" w:cs="Arial" w:eastAsia="Arial" w:hAnsi="Arial"/>
                <w:b w:val="false"/>
                <w:bCs w:val="false"/>
                <w:i w:val="false"/>
                <w:iCs w:val="false"/>
                <w:color w:val="1A1A2E"/>
                <w:sz w:val="20"/>
                <w:szCs w:val="20"/>
              </w:rPr>
              <w:t xml:space="preserve">A secure, mobile-friendly dashboard for the Principal Investigator to review auto-updated eRegulatory logs and digitally sign off on protocol compliance in seconds. Gives the absentee PI immediate visibility into trial safety — eliminating the blind spots that cause FDA audit findings. This is also the primary sales mechanism: it converts the economic buyer (PI) by directly addressing their highest-stakes risk. Addresses Pain Point #3.</w:t>
            </w:r>
          </w:p>
          <w:p>
            <w:pPr>
              <w:spacing w:after="0" w:before="0"/>
            </w:pPr>
            <w:r>
              <w:rPr>
                <w:rFonts w:ascii="Arial" w:cs="Arial" w:eastAsia="Arial" w:hAnsi="Arial"/>
                <w:b/>
                <w:bCs/>
                <w:color w:val="2E5F9E"/>
                <w:sz w:val="18"/>
                <w:szCs w:val="18"/>
              </w:rPr>
              <w:t xml:space="preserve">Success metric: </w:t>
            </w:r>
            <w:r>
              <w:rPr>
                <w:rFonts w:ascii="Arial" w:cs="Arial" w:eastAsia="Arial" w:hAnsi="Arial"/>
                <w:i/>
                <w:iCs/>
                <w:color w:val="6B7280"/>
                <w:sz w:val="18"/>
                <w:szCs w:val="18"/>
              </w:rPr>
              <w:t xml:space="preserve">PI sign-off time reduced from 72+ hours (physical signature chasing) to under 4 hours within 90 days</w:t>
            </w:r>
          </w:p>
        </w:tc>
      </w:tr>
    </w:tbl>
    <w:p>
      <w:pPr>
        <w:spacing w:after="0" w:before="24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4.3 What V1 Explicitly Does NOT Include</w:t>
      </w:r>
    </w:p>
    <w:p>
      <w:pPr>
        <w:spacing w:after="140" w:before="0" w:line="276"/>
        <w:jc w:val="left"/>
      </w:pPr>
      <w:r>
        <w:rPr>
          <w:rFonts w:ascii="Arial" w:cs="Arial" w:eastAsia="Arial" w:hAnsi="Arial"/>
          <w:b w:val="false"/>
          <w:bCs w:val="false"/>
          <w:i w:val="false"/>
          <w:iCs w:val="false"/>
          <w:color w:val="1A1A2E"/>
          <w:sz w:val="22"/>
          <w:szCs w:val="22"/>
        </w:rPr>
        <w:t xml:space="preserve">The following are intentionally deferred to V2 or later, with rationale:</w:t>
      </w:r>
    </w:p>
    <w:p>
      <w:pPr>
        <w:spacing w:after="0" w:before="8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800"/>
        <w:gridCol w:w="6560"/>
      </w:tblGrid>
      <w:tr>
        <w:tc>
          <w:tcPr>
            <w:tcW w:type="dxa" w:w="28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Feature Deferred</w:t>
            </w:r>
          </w:p>
        </w:tc>
        <w:tc>
          <w:tcPr>
            <w:tcW w:type="dxa" w:w="656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Rationale for Deferral</w:t>
            </w:r>
          </w:p>
        </w:tc>
      </w:tr>
      <w:tr>
        <w:tc>
          <w:tcPr>
            <w:tcW w:type="dxa" w:w="28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1A2E"/>
                <w:sz w:val="20"/>
                <w:szCs w:val="20"/>
              </w:rPr>
              <w:t xml:space="preserve">Zero-Click EDC Synchronization Engine</w:t>
            </w:r>
          </w:p>
        </w:tc>
        <w:tc>
          <w:tcPr>
            <w:tcW w:type="dxa" w:w="656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color w:val="1A1A2E"/>
                <w:sz w:val="19"/>
                <w:szCs w:val="19"/>
              </w:rPr>
              <w:t xml:space="preserve">Requires API integrations with Medidata Rave, REDCap, and Medrio — each with different data standards and sponsor approval processes. An 18-month compliance and engineering cycle would delay any user benefit. Sequenced for V2 after V1 establishes trust and user base.</w:t>
            </w:r>
          </w:p>
        </w:tc>
      </w:tr>
      <w:tr>
        <w:tc>
          <w:tcPr>
            <w:tcW w:type="dxa" w:w="2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20"/>
                <w:szCs w:val="20"/>
              </w:rPr>
              <w:t xml:space="preserve">Multi-site / SMO Features</w:t>
            </w:r>
          </w:p>
        </w:tc>
        <w:tc>
          <w:tcPr>
            <w:tcW w:type="dxa" w:w="6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1A1A2E"/>
                <w:sz w:val="19"/>
                <w:szCs w:val="19"/>
              </w:rPr>
              <w:t xml:space="preserve">Site Management Organizations (SMOs) represent only 3% of sites and have existing enterprise solutions. Serving them in V1 would bloat scope without addressing the 97% of independent sites that represent our core TAM.</w:t>
            </w:r>
          </w:p>
        </w:tc>
      </w:tr>
      <w:tr>
        <w:tc>
          <w:tcPr>
            <w:tcW w:type="dxa" w:w="28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1A2E"/>
                <w:sz w:val="20"/>
                <w:szCs w:val="20"/>
              </w:rPr>
              <w:t xml:space="preserve">Sponsor-side Analytics Dashboard</w:t>
            </w:r>
          </w:p>
        </w:tc>
        <w:tc>
          <w:tcPr>
            <w:tcW w:type="dxa" w:w="656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color w:val="1A1A2E"/>
                <w:sz w:val="19"/>
                <w:szCs w:val="19"/>
              </w:rPr>
              <w:t xml:space="preserve">Building sponsor-facing features in V1 replicates Veeva's structural mistake — optimizing for the sponsor at the expense of CRC usability. Our competitive advantage is being site-centric. Sponsor access is a V3 feature gated behind proven coordinator adoption.</w:t>
            </w:r>
          </w:p>
        </w:tc>
      </w:tr>
    </w:tbl>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5. Competitive Landscape &amp; Positioning</w:t>
      </w:r>
    </w:p>
    <w:p>
      <w:pPr>
        <w:pStyle w:val="Heading2"/>
        <w:spacing w:after="120" w:before="280"/>
      </w:pPr>
      <w:r>
        <w:rPr>
          <w:rFonts w:ascii="Arial" w:cs="Arial" w:eastAsia="Arial" w:hAnsi="Arial"/>
          <w:b/>
          <w:bCs/>
          <w:color w:val="2E5F9E"/>
          <w:sz w:val="26"/>
          <w:szCs w:val="26"/>
        </w:rPr>
        <w:t xml:space="preserve">5.1 Competitor 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1500"/>
        <w:gridCol w:w="1500"/>
        <w:gridCol w:w="4560"/>
      </w:tblGrid>
      <w:tr>
        <w:tc>
          <w:tcPr>
            <w:tcW w:type="dxa" w:w="18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Competitor</w:t>
            </w:r>
          </w:p>
        </w:tc>
        <w:tc>
          <w:tcPr>
            <w:tcW w:type="dxa" w:w="15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Type</w:t>
            </w:r>
          </w:p>
        </w:tc>
        <w:tc>
          <w:tcPr>
            <w:tcW w:type="dxa" w:w="15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Pricing</w:t>
            </w:r>
          </w:p>
        </w:tc>
        <w:tc>
          <w:tcPr>
            <w:tcW w:type="dxa" w:w="456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Primary Failure for Independent Sites</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Veeva SiteVault</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eISF + CTMS</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Free (≤20 studies)</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Sponsor-centric architecture; rigid folder structure; treats CRC as data-entry node, not primary user</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Clinical Conductor</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Legacy CTMS</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Enterprise ($$$)</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Exorbitantly expensive for small sites; highly fragmented — requires multiple module purchases for integration</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Florence eBinders</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eISF</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Mid-market</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Steep learning curve; rigid workflows; performance bottlenecks on large file uploads</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Medrio</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EDC only</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Mid-market</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EDC only — no site operations management; inadequate reporting; frequent timeout issues</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Ennov CTMS</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CTMS</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Enterprise ($$$)</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Prohibitively expensive; massive learning curve designed for enterprise QA teams, not independent CRCs</w:t>
            </w:r>
          </w:p>
        </w:tc>
      </w:tr>
      <w:tr>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SiteFlow (us)</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Site-ops platform</w:t>
            </w:r>
          </w:p>
        </w:tc>
        <w:tc>
          <w:tcPr>
            <w:tcW w:type="dxa" w:w="15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$199/mo/site</w:t>
            </w:r>
          </w:p>
        </w:tc>
        <w:tc>
          <w:tcPr>
            <w:tcW w:type="dxa" w:w="45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A1A2E"/>
                <w:sz w:val="19"/>
                <w:szCs w:val="19"/>
              </w:rPr>
              <w:t xml:space="preserve">PURPOSE-BUILT for independent sites: mobile-first, CRC-centric, affordable, no sponsor mandate required</w:t>
            </w:r>
          </w:p>
        </w:tc>
      </w:tr>
    </w:tbl>
    <w:p>
      <w:pPr>
        <w:spacing w:after="0" w:before="24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5.2 Positioning Statement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B3A6B" w:sz="16"/>
              <w:bottom w:val="none" w:color="FFFFFF" w:sz="0"/>
              <w:right w:val="none" w:color="FFFFFF" w:sz="0"/>
            </w:tcBorders>
            <w:shd w:fill="E8EEF7" w:val="clear"/>
            <w:tcMar>
              <w:top w:type="dxa" w:w="200"/>
              <w:left w:type="dxa" w:w="280"/>
              <w:bottom w:type="dxa" w:w="200"/>
              <w:right w:type="dxa" w:w="280"/>
            </w:tcMar>
          </w:tcPr>
          <w:p>
            <w:pPr>
              <w:spacing w:after="100" w:before="0"/>
            </w:pPr>
            <w:r>
              <w:rPr>
                <w:rFonts w:ascii="Arial" w:cs="Arial" w:eastAsia="Arial" w:hAnsi="Arial"/>
                <w:color w:val="1A1A2E"/>
                <w:sz w:val="21"/>
                <w:szCs w:val="21"/>
              </w:rPr>
              <w:t xml:space="preserve">While Veeva SiteVault offers independent sites a free CTMS, its architecture is inherently optimized for sponsor visibility and audit readiness — effectively treating the site coordinator as a subordinate data-entry node.</w:t>
            </w:r>
          </w:p>
          <w:p>
            <w:pPr>
              <w:spacing w:after="100" w:before="0"/>
            </w:pPr>
            <w:r>
              <w:rPr>
                <w:rFonts w:ascii="Arial" w:cs="Arial" w:eastAsia="Arial" w:hAnsi="Arial"/>
                <w:color w:val="1A1A2E"/>
                <w:sz w:val="21"/>
                <w:szCs w:val="21"/>
              </w:rPr>
              <w:t xml:space="preserve">SiteFlow wins by inverting this paradigm: a consumer-grade, mobile-first experience designed entirely around the CRC's daily workflow, eliminating the steep learning curve of enterprise software and directly solving the paper-to-digital bottleneck.</w:t>
            </w:r>
          </w:p>
          <w:p>
            <w:pPr>
              <w:spacing w:after="0" w:before="0"/>
            </w:pPr>
            <w:r>
              <w:rPr>
                <w:rFonts w:ascii="Arial" w:cs="Arial" w:eastAsia="Arial" w:hAnsi="Arial"/>
                <w:color w:val="1A1A2E"/>
                <w:sz w:val="21"/>
                <w:szCs w:val="21"/>
              </w:rPr>
              <w:t xml:space="preserve">By charging a transparent $199/month directly to the site — rather than relying on pharmaceutical sponsor mandates — SiteFlow aligns its incentives entirely with reducing coordinator burnout and protecting the site's operational independence.</w:t>
            </w:r>
          </w:p>
        </w:tc>
      </w:tr>
    </w:tbl>
    <w:p>
      <w:pPr>
        <w:spacing w:after="0" w:before="24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5.3 Why Veeva Cannot Win This Segment</w:t>
      </w:r>
    </w:p>
    <w:p>
      <w:pPr>
        <w:spacing w:after="140" w:before="0" w:line="276"/>
        <w:jc w:val="left"/>
      </w:pPr>
      <w:r>
        <w:rPr>
          <w:rFonts w:ascii="Arial" w:cs="Arial" w:eastAsia="Arial" w:hAnsi="Arial"/>
          <w:b w:val="false"/>
          <w:bCs w:val="false"/>
          <w:i w:val="false"/>
          <w:iCs w:val="false"/>
          <w:color w:val="1A1A2E"/>
          <w:sz w:val="22"/>
          <w:szCs w:val="22"/>
        </w:rPr>
        <w:t xml:space="preserve">Veeva's structural vulnerability is their business model, not their engineering. As a $20B public company, their primary revenue comes from pharmaceutical sponsors. SiteVault's free tier is a land-and-expand strategy: digitize the site so sponsors can access data faster. This means:</w:t>
      </w:r>
    </w:p>
    <w:p>
      <w:pPr>
        <w:spacing w:after="0" w:before="80"/>
      </w:pPr>
      <w:r>
        <w:rPr>
          <w:rFonts w:ascii="Arial" w:cs="Arial" w:eastAsia="Arial" w:hAnsi="Arial"/>
          <w:b w:val="false"/>
          <w:bCs w:val="false"/>
          <w:i w:val="false"/>
          <w:iCs w:val="false"/>
          <w:color w:val="1A1A2E"/>
          <w:sz w:val="22"/>
          <w:szCs w:val="22"/>
        </w:rPr>
        <w:t xml:space="preserve"/>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Veeva's UX roadmap is dictated by what sponsors need to audit, not what CRCs need to survive their day.</w:t>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Their free offering creates justified skepticism among independent site directors: "when the product is free, the site data is the product."</w:t>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Veeva cannot serve the CRC first without cannibalizing the sponsor-facing value proposition that generates their $2B+ in annual revenue.</w:t>
      </w:r>
    </w:p>
    <w:p>
      <w:pPr>
        <w:spacing w:after="0" w:before="80"/>
      </w:pPr>
      <w:r>
        <w:rPr>
          <w:rFonts w:ascii="Arial" w:cs="Arial" w:eastAsia="Arial" w:hAnsi="Arial"/>
          <w:b w:val="false"/>
          <w:bCs w:val="false"/>
          <w:i w:val="false"/>
          <w:iCs w:val="false"/>
          <w:color w:val="1A1A2E"/>
          <w:sz w:val="22"/>
          <w:szCs w:val="22"/>
        </w:rPr>
        <w:t xml:space="preserve"/>
      </w:r>
    </w:p>
    <w:p>
      <w:pPr>
        <w:spacing w:after="140" w:before="0" w:line="276"/>
        <w:jc w:val="left"/>
      </w:pPr>
      <w:r>
        <w:rPr>
          <w:rFonts w:ascii="Arial" w:cs="Arial" w:eastAsia="Arial" w:hAnsi="Arial"/>
          <w:b w:val="false"/>
          <w:bCs w:val="false"/>
          <w:i w:val="false"/>
          <w:iCs w:val="false"/>
          <w:color w:val="1A1A2E"/>
          <w:sz w:val="22"/>
          <w:szCs w:val="22"/>
        </w:rPr>
        <w:t xml:space="preserve">This is the innovator's dilemma. SiteFlow builds in the gap Veeva structurally cannot fill.</w:t>
      </w:r>
    </w:p>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6. Monetization &amp; Go-to-Market</w:t>
      </w:r>
    </w:p>
    <w:p>
      <w:pPr>
        <w:pStyle w:val="Heading2"/>
        <w:spacing w:after="120" w:before="280"/>
      </w:pPr>
      <w:r>
        <w:rPr>
          <w:rFonts w:ascii="Arial" w:cs="Arial" w:eastAsia="Arial" w:hAnsi="Arial"/>
          <w:b/>
          <w:bCs/>
          <w:color w:val="2E5F9E"/>
          <w:sz w:val="26"/>
          <w:szCs w:val="26"/>
        </w:rPr>
        <w:t xml:space="preserve">6.1 Pricing Model</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1A6B3A"/>
                <w:sz w:val="48"/>
                <w:szCs w:val="48"/>
              </w:rPr>
              <w:t xml:space="preserve">$199</w:t>
            </w:r>
          </w:p>
          <w:p>
            <w:pPr>
              <w:spacing w:after="0" w:before="0"/>
              <w:jc w:val="center"/>
            </w:pPr>
            <w:r>
              <w:rPr>
                <w:rFonts w:ascii="Arial" w:cs="Arial" w:eastAsia="Arial" w:hAnsi="Arial"/>
                <w:color w:val="6B7280"/>
                <w:sz w:val="18"/>
                <w:szCs w:val="18"/>
              </w:rPr>
              <w:t xml:space="preserve">Per site / per month</w:t>
            </w:r>
          </w:p>
        </w:tc>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1A6B3A"/>
                <w:sz w:val="48"/>
                <w:szCs w:val="48"/>
              </w:rPr>
              <w:t xml:space="preserve">$11.6M</w:t>
            </w:r>
          </w:p>
          <w:p>
            <w:pPr>
              <w:spacing w:after="0" w:before="0"/>
              <w:jc w:val="center"/>
            </w:pPr>
            <w:r>
              <w:rPr>
                <w:rFonts w:ascii="Arial" w:cs="Arial" w:eastAsia="Arial" w:hAnsi="Arial"/>
                <w:color w:val="6B7280"/>
                <w:sz w:val="18"/>
                <w:szCs w:val="18"/>
              </w:rPr>
              <w:t xml:space="preserve">ARR at 5% market penetration</w:t>
            </w:r>
          </w:p>
        </w:tc>
      </w:tr>
      <w:tr>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1B3A6B"/>
                <w:sz w:val="48"/>
                <w:szCs w:val="48"/>
              </w:rPr>
              <w:t xml:space="preserve">9,700</w:t>
            </w:r>
          </w:p>
          <w:p>
            <w:pPr>
              <w:spacing w:after="0" w:before="0"/>
              <w:jc w:val="center"/>
            </w:pPr>
            <w:r>
              <w:rPr>
                <w:rFonts w:ascii="Arial" w:cs="Arial" w:eastAsia="Arial" w:hAnsi="Arial"/>
                <w:color w:val="6B7280"/>
                <w:sz w:val="18"/>
                <w:szCs w:val="18"/>
              </w:rPr>
              <w:t xml:space="preserve">Addressable independent US sites</w:t>
            </w:r>
          </w:p>
        </w:tc>
        <w:tc>
          <w:tcPr>
            <w:tcW w:type="dxa" w:w="4680"/>
            <w:tcBorders>
              <w:top w:val="none" w:color="FFFFFF" w:sz="0"/>
              <w:left w:val="none" w:color="FFFFFF" w:sz="0"/>
              <w:bottom w:val="none" w:color="FFFFFF" w:sz="0"/>
              <w:right w:val="single" w:color="FFFFFF" w:sz="6"/>
            </w:tcBorders>
            <w:shd w:fill="E8EEF7" w:val="clear"/>
            <w:tcMar>
              <w:top w:type="dxa" w:w="140"/>
              <w:left w:type="dxa" w:w="200"/>
              <w:bottom w:type="dxa" w:w="140"/>
              <w:right w:type="dxa" w:w="200"/>
            </w:tcMar>
          </w:tcPr>
          <w:p>
            <w:pPr>
              <w:spacing w:after="40" w:before="0"/>
              <w:jc w:val="center"/>
            </w:pPr>
            <w:r>
              <w:rPr>
                <w:rFonts w:ascii="Arial" w:cs="Arial" w:eastAsia="Arial" w:hAnsi="Arial"/>
                <w:b/>
                <w:bCs/>
                <w:color w:val="C0392B"/>
                <w:sz w:val="48"/>
                <w:szCs w:val="48"/>
              </w:rPr>
              <w:t xml:space="preserve">3×</w:t>
            </w:r>
          </w:p>
          <w:p>
            <w:pPr>
              <w:spacing w:after="0" w:before="0"/>
              <w:jc w:val="center"/>
            </w:pPr>
            <w:r>
              <w:rPr>
                <w:rFonts w:ascii="Arial" w:cs="Arial" w:eastAsia="Arial" w:hAnsi="Arial"/>
                <w:color w:val="6B7280"/>
                <w:sz w:val="18"/>
                <w:szCs w:val="18"/>
              </w:rPr>
              <w:t xml:space="preserve">Rate new sites fail vs. standard businesses</w:t>
            </w:r>
          </w:p>
        </w:tc>
      </w:tr>
    </w:tbl>
    <w:p>
      <w:pPr>
        <w:spacing w:after="0" w:before="200"/>
      </w:pPr>
      <w:r>
        <w:rPr>
          <w:rFonts w:ascii="Arial" w:cs="Arial" w:eastAsia="Arial" w:hAnsi="Arial"/>
          <w:b w:val="false"/>
          <w:bCs w:val="false"/>
          <w:i w:val="false"/>
          <w:iCs w:val="false"/>
          <w:color w:val="1A1A2E"/>
          <w:sz w:val="22"/>
          <w:szCs w:val="22"/>
        </w:rPr>
        <w:t xml:space="preserve"/>
      </w:r>
    </w:p>
    <w:p>
      <w:pPr>
        <w:spacing w:after="140" w:before="0" w:line="276"/>
        <w:jc w:val="left"/>
      </w:pPr>
      <w:r>
        <w:rPr>
          <w:rFonts w:ascii="Arial" w:cs="Arial" w:eastAsia="Arial" w:hAnsi="Arial"/>
          <w:b w:val="false"/>
          <w:bCs w:val="false"/>
          <w:i w:val="false"/>
          <w:iCs w:val="false"/>
          <w:color w:val="1A1A2E"/>
          <w:sz w:val="22"/>
          <w:szCs w:val="22"/>
        </w:rPr>
        <w:t xml:space="preserve">The $199/month price point is the Goldilocks zone: meaningfully below Clinical Conductor (enterprise pricing) to be approved without budget committee review, and above $0 to avoid the "free means you're the product" skepticism of Veeva. A PI can approve a $199/month SaaS subscription as an operational expense without escalation.</w:t>
      </w:r>
    </w:p>
    <w:p>
      <w:pPr>
        <w:spacing w:after="0" w:before="16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6.2 Sales Motion</w:t>
      </w:r>
    </w:p>
    <w:p>
      <w:pPr>
        <w:spacing w:after="140" w:before="0" w:line="276"/>
        <w:jc w:val="left"/>
      </w:pPr>
      <w:r>
        <w:rPr>
          <w:rFonts w:ascii="Arial" w:cs="Arial" w:eastAsia="Arial" w:hAnsi="Arial"/>
          <w:b w:val="false"/>
          <w:bCs w:val="false"/>
          <w:i w:val="false"/>
          <w:iCs w:val="false"/>
          <w:color w:val="1A1A2E"/>
          <w:sz w:val="22"/>
          <w:szCs w:val="22"/>
        </w:rPr>
        <w:t xml:space="preserve">The CRC has zero budget authority. The PI controls procurement but does not feel the daily pain. The sales motion resolves this tension:</w:t>
      </w:r>
    </w:p>
    <w:p>
      <w:pPr>
        <w:spacing w:after="0" w:before="8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single" w:color="C5D3E8" w:sz="4"/>
              <w:left w:val="single" w:color="C5D3E8" w:sz="4"/>
              <w:bottom w:val="single" w:color="C5D3E8" w:sz="4"/>
              <w:right w:val="single" w:color="C5D3E8" w:sz="4"/>
            </w:tcBorders>
            <w:shd w:fill="E8EEF7" w:val="clear"/>
            <w:tcMar>
              <w:top w:type="dxa" w:w="160"/>
              <w:left w:type="dxa" w:w="200"/>
              <w:bottom w:type="dxa" w:w="160"/>
              <w:right w:type="dxa" w:w="200"/>
            </w:tcMar>
          </w:tcPr>
          <w:p>
            <w:pPr>
              <w:spacing w:after="80" w:before="0"/>
            </w:pPr>
            <w:r>
              <w:rPr>
                <w:rFonts w:ascii="Arial" w:cs="Arial" w:eastAsia="Arial" w:hAnsi="Arial"/>
                <w:b/>
                <w:bCs/>
                <w:color w:val="1B3A6B"/>
                <w:sz w:val="22"/>
                <w:szCs w:val="22"/>
              </w:rPr>
              <w:t xml:space="preserve">CRC = Internal Champion</w:t>
            </w:r>
          </w:p>
          <w:p>
            <w:pPr>
              <w:spacing w:after="80" w:before="0"/>
            </w:pPr>
            <w:r>
              <w:rPr>
                <w:rFonts w:ascii="Arial" w:cs="Arial" w:eastAsia="Arial" w:hAnsi="Arial"/>
                <w:b w:val="false"/>
                <w:bCs w:val="false"/>
                <w:i w:val="false"/>
                <w:iCs w:val="false"/>
                <w:color w:val="1A1A2E"/>
                <w:sz w:val="20"/>
                <w:szCs w:val="20"/>
              </w:rPr>
              <w:t xml:space="preserve">The CRC discovers SiteFlow through r/clinicalresearch, ACRP forums, or peer word-of-mouth. She uses the free trial and experiences immediate relief from clipboard-to-computer transcription.</w:t>
            </w:r>
          </w:p>
          <w:p>
            <w:pPr>
              <w:spacing w:after="0" w:before="0"/>
            </w:pPr>
            <w:r>
              <w:rPr>
                <w:rFonts w:ascii="Arial" w:cs="Arial" w:eastAsia="Arial" w:hAnsi="Arial"/>
                <w:b w:val="false"/>
                <w:bCs w:val="false"/>
                <w:i w:val="false"/>
                <w:iCs w:val="false"/>
                <w:color w:val="1A1A2E"/>
                <w:sz w:val="20"/>
                <w:szCs w:val="20"/>
              </w:rPr>
              <w:t xml:space="preserve">She becomes the internal advocate, demonstrating the tool to her PI.</w:t>
            </w:r>
          </w:p>
        </w:tc>
        <w:tc>
          <w:tcPr>
            <w:tcW w:type="dxa" w:w="4680"/>
            <w:tcBorders>
              <w:top w:val="single" w:color="C5D3E8" w:sz="4"/>
              <w:left w:val="single" w:color="C5D3E8" w:sz="4"/>
              <w:bottom w:val="single" w:color="C5D3E8" w:sz="4"/>
              <w:right w:val="single" w:color="C5D3E8" w:sz="4"/>
            </w:tcBorders>
            <w:shd w:fill="E8EEF7" w:val="clear"/>
            <w:tcMar>
              <w:top w:type="dxa" w:w="160"/>
              <w:left w:type="dxa" w:w="200"/>
              <w:bottom w:type="dxa" w:w="160"/>
              <w:right w:type="dxa" w:w="200"/>
            </w:tcMar>
          </w:tcPr>
          <w:p>
            <w:pPr>
              <w:spacing w:after="80" w:before="0"/>
            </w:pPr>
            <w:r>
              <w:rPr>
                <w:rFonts w:ascii="Arial" w:cs="Arial" w:eastAsia="Arial" w:hAnsi="Arial"/>
                <w:b/>
                <w:bCs/>
                <w:color w:val="1B3A6B"/>
                <w:sz w:val="22"/>
                <w:szCs w:val="22"/>
              </w:rPr>
              <w:t xml:space="preserve">PI = Economic Buyer</w:t>
            </w:r>
          </w:p>
          <w:p>
            <w:pPr>
              <w:spacing w:after="80" w:before="0"/>
            </w:pPr>
            <w:r>
              <w:rPr>
                <w:rFonts w:ascii="Arial" w:cs="Arial" w:eastAsia="Arial" w:hAnsi="Arial"/>
                <w:b w:val="false"/>
                <w:bCs w:val="false"/>
                <w:i w:val="false"/>
                <w:iCs w:val="false"/>
                <w:color w:val="1A1A2E"/>
                <w:sz w:val="20"/>
                <w:szCs w:val="20"/>
              </w:rPr>
              <w:t xml:space="preserve">The CRC presents a specific, high-stakes value proposition to the physician: automated eRegulatory logs reduce FDA audit risk.</w:t>
            </w:r>
          </w:p>
          <w:p>
            <w:pPr>
              <w:spacing w:after="0" w:before="0"/>
            </w:pPr>
            <w:r>
              <w:rPr>
                <w:rFonts w:ascii="Arial" w:cs="Arial" w:eastAsia="Arial" w:hAnsi="Arial"/>
                <w:b w:val="false"/>
                <w:bCs w:val="false"/>
                <w:i w:val="false"/>
                <w:iCs w:val="false"/>
                <w:color w:val="1A1A2E"/>
                <w:sz w:val="20"/>
                <w:szCs w:val="20"/>
              </w:rPr>
              <w:t xml:space="preserve">A single FDA warning letter can permanently destroy a private practice. Audit risk mitigation commands the absentee PI's immediate attention and $199/month budget approval.</w:t>
            </w:r>
          </w:p>
        </w:tc>
      </w:tr>
    </w:tbl>
    <w:p>
      <w:pPr>
        <w:spacing w:after="0" w:before="240"/>
      </w:pPr>
      <w:r>
        <w:rPr>
          <w:rFonts w:ascii="Arial" w:cs="Arial" w:eastAsia="Arial" w:hAnsi="Arial"/>
          <w:b w:val="false"/>
          <w:bCs w:val="false"/>
          <w:i w:val="false"/>
          <w:iCs w:val="false"/>
          <w:color w:val="1A1A2E"/>
          <w:sz w:val="22"/>
          <w:szCs w:val="22"/>
        </w:rPr>
        <w:t xml:space="preserve"/>
      </w:r>
    </w:p>
    <w:p>
      <w:pPr>
        <w:pStyle w:val="Heading2"/>
        <w:spacing w:after="120" w:before="280"/>
      </w:pPr>
      <w:r>
        <w:rPr>
          <w:rFonts w:ascii="Arial" w:cs="Arial" w:eastAsia="Arial" w:hAnsi="Arial"/>
          <w:b/>
          <w:bCs/>
          <w:color w:val="2E5F9E"/>
          <w:sz w:val="26"/>
          <w:szCs w:val="26"/>
        </w:rPr>
        <w:t xml:space="preserve">6.3 Distribution Channels</w:t>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r/clinicalresearch — active community of 40K+ coordinators openly discussing software pain (verified in discovery research)</w:t>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ACRP (Association of Clinical Research Professionals) — member forums and annual conference; direct access to the ICP</w:t>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ClinicalTrials.gov — public registry of all 9,700 independent sites with contact information for outreach</w:t>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YouTube CRC community — creators like 'The Brown Feminist' have built audiences of coordinators seeking workflow advice; sponsorship or organic mentions carry high trust</w:t>
      </w:r>
    </w:p>
    <w:p>
      <w:pPr>
        <w:pStyle w:val="ListParagraph"/>
        <w:numPr>
          <w:ilvl w:val="0"/>
          <w:numId w:val="2"/>
        </w:numPr>
        <w:spacing w:after="100" w:before="0" w:line="276"/>
      </w:pPr>
      <w:r>
        <w:rPr>
          <w:rFonts w:ascii="Arial" w:cs="Arial" w:eastAsia="Arial" w:hAnsi="Arial"/>
          <w:b w:val="false"/>
          <w:bCs w:val="false"/>
          <w:i w:val="false"/>
          <w:iCs w:val="false"/>
          <w:color w:val="1A1A2E"/>
          <w:sz w:val="22"/>
          <w:szCs w:val="22"/>
        </w:rPr>
        <w:t xml:space="preserve">Word-of-mouth — the CRC community is tight-knit and vocal; a product that genuinely reduces paperwork burden spreads organically within the community faster than any paid channel</w:t>
      </w:r>
    </w:p>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7. Success Metrics (90-Day V1 Goals)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600"/>
        <w:gridCol w:w="2880"/>
        <w:gridCol w:w="2880"/>
      </w:tblGrid>
      <w:tr>
        <w:tc>
          <w:tcPr>
            <w:tcW w:type="dxa" w:w="360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Metric</w:t>
            </w:r>
          </w:p>
        </w:tc>
        <w:tc>
          <w:tcPr>
            <w:tcW w:type="dxa" w:w="288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Target</w:t>
            </w:r>
          </w:p>
        </w:tc>
        <w:tc>
          <w:tcPr>
            <w:tcW w:type="dxa" w:w="2880"/>
            <w:tcBorders>
              <w:top w:val="single" w:color="1B3A6B" w:sz="4"/>
              <w:left w:val="single" w:color="1B3A6B" w:sz="4"/>
              <w:bottom w:val="single" w:color="1B3A6B" w:sz="4"/>
              <w:right w:val="single" w:color="1B3A6B" w:sz="4"/>
            </w:tcBorders>
            <w:shd w:fill="1B3A6B"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Rationale</w:t>
            </w:r>
          </w:p>
        </w:tc>
      </w:tr>
      <w:tr>
        <w:tc>
          <w:tcPr>
            <w:tcW w:type="dxa" w:w="36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Active paying sites</w:t>
            </w:r>
          </w:p>
        </w:tc>
        <w:tc>
          <w:tcPr>
            <w:tcW w:type="dxa" w:w="28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6B3A"/>
                <w:sz w:val="19"/>
                <w:szCs w:val="19"/>
              </w:rPr>
              <w:t xml:space="preserve">25 sites within 90 days</w:t>
            </w:r>
          </w:p>
        </w:tc>
        <w:tc>
          <w:tcPr>
            <w:tcW w:type="dxa" w:w="28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color w:val="6B7280"/>
                <w:sz w:val="18"/>
                <w:szCs w:val="18"/>
              </w:rPr>
              <w:t xml:space="preserve">Validates willingness to pay at $199/month; proves sales motion works</w:t>
            </w:r>
          </w:p>
        </w:tc>
      </w:tr>
      <w:tr>
        <w:tc>
          <w:tcPr>
            <w:tcW w:type="dxa" w:w="3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CRC daily active usage</w:t>
            </w:r>
          </w:p>
        </w:tc>
        <w:tc>
          <w:tcPr>
            <w:tcW w:type="dxa" w:w="28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6B3A"/>
                <w:sz w:val="19"/>
                <w:szCs w:val="19"/>
              </w:rPr>
              <w:t xml:space="preserve">&gt;80% of enrolled CRCs use mobile intake daily</w:t>
            </w:r>
          </w:p>
        </w:tc>
        <w:tc>
          <w:tcPr>
            <w:tcW w:type="dxa" w:w="28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6B7280"/>
                <w:sz w:val="18"/>
                <w:szCs w:val="18"/>
              </w:rPr>
              <w:t xml:space="preserve">Confirms product solves real daily workflow, not occasional use</w:t>
            </w:r>
          </w:p>
        </w:tc>
      </w:tr>
      <w:tr>
        <w:tc>
          <w:tcPr>
            <w:tcW w:type="dxa" w:w="36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Clipboard elimination rate</w:t>
            </w:r>
          </w:p>
        </w:tc>
        <w:tc>
          <w:tcPr>
            <w:tcW w:type="dxa" w:w="28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6B3A"/>
                <w:sz w:val="19"/>
                <w:szCs w:val="19"/>
              </w:rPr>
              <w:t xml:space="preserve">80% reduction in paper-based data capture</w:t>
            </w:r>
          </w:p>
        </w:tc>
        <w:tc>
          <w:tcPr>
            <w:tcW w:type="dxa" w:w="28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color w:val="6B7280"/>
                <w:sz w:val="18"/>
                <w:szCs w:val="18"/>
              </w:rPr>
              <w:t xml:space="preserve">Primary V1 value proposition; measurable via session data</w:t>
            </w:r>
          </w:p>
        </w:tc>
      </w:tr>
      <w:tr>
        <w:tc>
          <w:tcPr>
            <w:tcW w:type="dxa" w:w="3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PI portal adoption</w:t>
            </w:r>
          </w:p>
        </w:tc>
        <w:tc>
          <w:tcPr>
            <w:tcW w:type="dxa" w:w="28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6B3A"/>
                <w:sz w:val="19"/>
                <w:szCs w:val="19"/>
              </w:rPr>
              <w:t xml:space="preserve">&gt;70% of PIs use audit portal within 30 days</w:t>
            </w:r>
          </w:p>
        </w:tc>
        <w:tc>
          <w:tcPr>
            <w:tcW w:type="dxa" w:w="28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6B7280"/>
                <w:sz w:val="18"/>
                <w:szCs w:val="18"/>
              </w:rPr>
              <w:t xml:space="preserve">Confirms economic buyer engagement; validates sales wedge</w:t>
            </w:r>
          </w:p>
        </w:tc>
      </w:tr>
      <w:tr>
        <w:tc>
          <w:tcPr>
            <w:tcW w:type="dxa" w:w="360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NPS score</w:t>
            </w:r>
          </w:p>
        </w:tc>
        <w:tc>
          <w:tcPr>
            <w:tcW w:type="dxa" w:w="28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b/>
                <w:bCs/>
                <w:color w:val="1A6B3A"/>
                <w:sz w:val="19"/>
                <w:szCs w:val="19"/>
              </w:rPr>
              <w:t xml:space="preserve">&gt;50 from CRC users at 60-day mark</w:t>
            </w:r>
          </w:p>
        </w:tc>
        <w:tc>
          <w:tcPr>
            <w:tcW w:type="dxa" w:w="2880"/>
            <w:tcBorders>
              <w:top w:val="single" w:color="DDDDDD" w:sz="4"/>
              <w:left w:val="single" w:color="DDDDDD" w:sz="4"/>
              <w:bottom w:val="single" w:color="DDDDDD" w:sz="4"/>
              <w:right w:val="single" w:color="DDDDDD" w:sz="4"/>
            </w:tcBorders>
            <w:shd w:fill="E8EEF7" w:val="clear"/>
            <w:tcMar>
              <w:top w:type="dxa" w:w="80"/>
              <w:left w:type="dxa" w:w="120"/>
              <w:bottom w:type="dxa" w:w="80"/>
              <w:right w:type="dxa" w:w="120"/>
            </w:tcMar>
          </w:tcPr>
          <w:p>
            <w:pPr>
              <w:spacing w:after="0" w:before="0"/>
            </w:pPr>
            <w:r>
              <w:rPr>
                <w:rFonts w:ascii="Arial" w:cs="Arial" w:eastAsia="Arial" w:hAnsi="Arial"/>
                <w:color w:val="6B7280"/>
                <w:sz w:val="18"/>
                <w:szCs w:val="18"/>
              </w:rPr>
              <w:t xml:space="preserve">Clinical research is referral-driven; NPS &gt;50 unlocks organic growth</w:t>
            </w:r>
          </w:p>
        </w:tc>
      </w:tr>
      <w:tr>
        <w:tc>
          <w:tcPr>
            <w:tcW w:type="dxa" w:w="3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1A2E"/>
                <w:sz w:val="19"/>
                <w:szCs w:val="19"/>
              </w:rPr>
              <w:t xml:space="preserve">Regulatory binder time</w:t>
            </w:r>
          </w:p>
        </w:tc>
        <w:tc>
          <w:tcPr>
            <w:tcW w:type="dxa" w:w="28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1A6B3A"/>
                <w:sz w:val="19"/>
                <w:szCs w:val="19"/>
              </w:rPr>
              <w:t xml:space="preserve">50% reduction in time spent on manual binder updates</w:t>
            </w:r>
          </w:p>
        </w:tc>
        <w:tc>
          <w:tcPr>
            <w:tcW w:type="dxa" w:w="288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6B7280"/>
                <w:sz w:val="18"/>
                <w:szCs w:val="18"/>
              </w:rPr>
              <w:t xml:space="preserve">Directly maps to Pain Point #1 severity score of 10/10</w:t>
            </w:r>
          </w:p>
        </w:tc>
      </w:tr>
    </w:tbl>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8. APM Interview Narrative</w:t>
      </w:r>
    </w:p>
    <w:p>
      <w:pPr>
        <w:spacing w:after="140" w:before="0" w:line="276"/>
        <w:jc w:val="left"/>
      </w:pPr>
      <w:r>
        <w:rPr>
          <w:rFonts w:ascii="Arial" w:cs="Arial" w:eastAsia="Arial" w:hAnsi="Arial"/>
          <w:b w:val="false"/>
          <w:bCs w:val="false"/>
          <w:i w:val="false"/>
          <w:iCs w:val="false"/>
          <w:color w:val="1A1A2E"/>
          <w:sz w:val="22"/>
          <w:szCs w:val="22"/>
        </w:rPr>
        <w:t xml:space="preserve">The following is a prepared response to the interview question: "Tell me about a product you would build and why." All claims are traceable to primary sources in the discovery report.</w:t>
      </w:r>
    </w:p>
    <w:p>
      <w:pPr>
        <w:spacing w:after="0" w:before="12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5D3E8" w:sz="6"/>
              <w:left w:val="single" w:color="C5D3E8" w:sz="6"/>
              <w:bottom w:val="single" w:color="C5D3E8" w:sz="6"/>
              <w:right w:val="single" w:color="C5D3E8" w:sz="6"/>
            </w:tcBorders>
            <w:shd w:fill="E8EEF7" w:val="clear"/>
            <w:tcMar>
              <w:top w:type="dxa" w:w="240"/>
              <w:left w:type="dxa" w:w="320"/>
              <w:bottom w:type="dxa" w:w="240"/>
              <w:right w:type="dxa" w:w="320"/>
            </w:tcMar>
          </w:tcPr>
          <w:p>
            <w:pPr>
              <w:spacing w:after="120" w:before="0"/>
            </w:pPr>
            <w:r>
              <w:rPr>
                <w:rFonts w:ascii="Arial" w:cs="Arial" w:eastAsia="Arial" w:hAnsi="Arial"/>
                <w:color w:val="1A1A2E"/>
                <w:sz w:val="21"/>
                <w:szCs w:val="21"/>
              </w:rPr>
              <w:t xml:space="preserve">"If I were to build a product today, I would build a mobile data-capture and workflow automation tool specifically for Clinical Research Coordinators at small, independent research sites.</w:t>
            </w:r>
          </w:p>
          <w:p>
            <w:pPr>
              <w:spacing w:after="120" w:before="0"/>
            </w:pPr>
            <w:r>
              <w:rPr>
                <w:rFonts w:ascii="Arial" w:cs="Arial" w:eastAsia="Arial" w:hAnsi="Arial"/>
                <w:color w:val="1A1A2E"/>
                <w:sz w:val="21"/>
                <w:szCs w:val="21"/>
              </w:rPr>
              <w:t xml:space="preserve">I uncovered this opportunity through deep customer discovery — bypassing traditional interviews and instead mining Reddit forums, G2 reviews, and YouTube 'day-in-the-life' vlogs to find unvarnished truth. The data revealed a massive crisis: 9,700 independent research sites in the US run their trials on physical clipboards and 'janky Excel trackers.' These sites fail at 3x the rate of standard new businesses in their first year, and the bottleneck is always the same — the coordinator drowning in manual paperwork and double data entry.</w:t>
            </w:r>
          </w:p>
          <w:p>
            <w:pPr>
              <w:spacing w:after="120" w:before="0"/>
            </w:pPr>
            <w:r>
              <w:rPr>
                <w:rFonts w:ascii="Arial" w:cs="Arial" w:eastAsia="Arial" w:hAnsi="Arial"/>
                <w:color w:val="1A1A2E"/>
                <w:sz w:val="21"/>
                <w:szCs w:val="21"/>
              </w:rPr>
              <w:t xml:space="preserve">The competitive insight here is structural. Veeva, a $20B company, offers a free CTMS to small sites — but it fails them because Veeva's incentive is to serve the pharmaceutical sponsor and the auditor, not the frontline worker. Veeva's UX is top-down, rigid, and complex. When the product is free, the site's data is the product.</w:t>
            </w:r>
          </w:p>
          <w:p>
            <w:pPr>
              <w:spacing w:after="120" w:before="0"/>
            </w:pPr>
            <w:r>
              <w:rPr>
                <w:rFonts w:ascii="Arial" w:cs="Arial" w:eastAsia="Arial" w:hAnsi="Arial"/>
                <w:color w:val="1A1A2E"/>
                <w:sz w:val="21"/>
                <w:szCs w:val="21"/>
              </w:rPr>
              <w:t xml:space="preserve">To win, I'd focus V1 entirely on eliminating the paper-to-digital bottleneck: a mobile intake form that captures source data at the point of care, an automated eRegulatory updater that maintains compliance documentation in the background, and a PI audit portal that converts the economic buyer by making FDA audit risk visible and manageable.</w:t>
            </w:r>
          </w:p>
          <w:p>
            <w:pPr>
              <w:spacing w:after="0" w:before="0"/>
            </w:pPr>
            <w:r>
              <w:rPr>
                <w:rFonts w:ascii="Arial" w:cs="Arial" w:eastAsia="Arial" w:hAnsi="Arial"/>
                <w:color w:val="1A1A2E"/>
                <w:sz w:val="21"/>
                <w:szCs w:val="21"/>
              </w:rPr>
              <w:t xml:space="preserve">For go-to-market: the CRC is our champion, the PI is our economic buyer, and we sell by demonstrating that automated compliance reduces FDA audit risk — the one thing that commands a busy physician's attention. At $199/month, capturing just 5% of the 9,700 independent US sites represents $11.6M ARR. That's the business."</w:t>
            </w:r>
          </w:p>
        </w:tc>
      </w:tr>
    </w:tbl>
    <w:p>
      <w:pPr>
        <w:spacing w:after="0" w:before="400"/>
      </w:pPr>
      <w:r>
        <w:rPr>
          <w:rFonts w:ascii="Arial" w:cs="Arial" w:eastAsia="Arial" w:hAnsi="Arial"/>
          <w:b w:val="false"/>
          <w:bCs w:val="false"/>
          <w:i w:val="false"/>
          <w:iCs w:val="false"/>
          <w:color w:val="1A1A2E"/>
          <w:sz w:val="22"/>
          <w:szCs w:val="22"/>
        </w:rPr>
        <w:t xml:space="preserve"/>
      </w:r>
    </w:p>
    <w:p>
      <w:pPr>
        <w:pStyle w:val="Heading1"/>
        <w:pBdr>
          <w:bottom w:val="single" w:color="1B3A6B" w:sz="8" w:space="4"/>
        </w:pBdr>
        <w:spacing w:after="160" w:before="360"/>
      </w:pPr>
      <w:r>
        <w:rPr>
          <w:rFonts w:ascii="Arial" w:cs="Arial" w:eastAsia="Arial" w:hAnsi="Arial"/>
          <w:b/>
          <w:bCs/>
          <w:color w:val="1B3A6B"/>
          <w:sz w:val="36"/>
          <w:szCs w:val="36"/>
        </w:rPr>
        <w:t xml:space="preserve">9. Discovery Methodology</w:t>
      </w:r>
    </w:p>
    <w:p>
      <w:pPr>
        <w:spacing w:after="140" w:before="0" w:line="276"/>
        <w:jc w:val="left"/>
      </w:pPr>
      <w:r>
        <w:rPr>
          <w:rFonts w:ascii="Arial" w:cs="Arial" w:eastAsia="Arial" w:hAnsi="Arial"/>
          <w:b w:val="false"/>
          <w:bCs w:val="false"/>
          <w:i w:val="false"/>
          <w:iCs w:val="false"/>
          <w:color w:val="1A1A2E"/>
          <w:sz w:val="22"/>
          <w:szCs w:val="22"/>
        </w:rPr>
        <w:t xml:space="preserve">This PRD is grounded in 53 cited primary sources gathered through an unconventional but rigorous discovery process designed to extract unvarnished user truth without requiring scheduled interviews.</w:t>
      </w:r>
    </w:p>
    <w:p>
      <w:pPr>
        <w:spacing w:after="0" w:before="8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Reddit</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r/clinicalresearch — threads on burnout, software complaints, CTMS recommendations, and FDA audits with upvote counts as pain-frequency proxy</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G2 / Capterra</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1–3 star reviews for Veeva SiteVault, Clinical Conductor, Florence eBinders, Medrio, and Ennov CTMS to map competitor failure modes</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YouTube</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"Day in the life of a CRC" vlogs treated as user interview transcripts — tools mentioned, task sequences, and frustrations documented</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Indeed / Glassdoor</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CRC job reviews at independent sites for candid administrative burden and software complaints not found in professional forums</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ClinicalTrials.gov</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Registry analysis to establish TAM: 166,399 US trials, 10,000+ sites, 97% independent (9,700 sites)</w:t>
            </w:r>
          </w:p>
        </w:tc>
      </w:tr>
    </w:tbl>
    <w:p>
      <w:pPr>
        <w:spacing w:after="0" w:before="6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b/>
                <w:bCs/>
                <w:color w:val="1B3A6B"/>
                <w:sz w:val="20"/>
                <w:szCs w:val="20"/>
              </w:rPr>
              <w:t xml:space="preserve">ACRP / LinkedIn</w:t>
            </w:r>
          </w:p>
        </w:tc>
        <w:tc>
          <w:tcPr>
            <w:tcW w:type="dxa" w:w="7160"/>
            <w:tcBorders>
              <w:top w:val="none" w:color="FFFFFF" w:sz="0"/>
              <w:left w:val="none" w:color="FFFFFF" w:sz="0"/>
              <w:bottom w:val="none" w:color="FFFFFF" w:sz="0"/>
              <w:right w:val="none" w:color="FFFFFF" w:sz="0"/>
            </w:tcBorders>
            <w:shd w:fill="E8EEF7" w:val="clear"/>
            <w:tcMar>
              <w:top w:type="dxa" w:w="100"/>
              <w:left w:type="dxa" w:w="160"/>
              <w:bottom w:type="dxa" w:w="100"/>
              <w:right w:type="dxa" w:w="160"/>
            </w:tcMar>
          </w:tcPr>
          <w:p>
            <w:pPr>
              <w:spacing w:after="0" w:before="0"/>
            </w:pPr>
            <w:r>
              <w:rPr>
                <w:rFonts w:ascii="Arial" w:cs="Arial" w:eastAsia="Arial" w:hAnsi="Arial"/>
                <w:color w:val="1A1A2E"/>
                <w:sz w:val="20"/>
                <w:szCs w:val="20"/>
              </w:rPr>
              <w:t xml:space="preserve">Professional forums and coordinator posts for peer-recommended tools and unmet needs</w:t>
            </w:r>
          </w:p>
        </w:tc>
      </w:tr>
    </w:tbl>
    <w:p>
      <w:pPr>
        <w:spacing w:after="0" w:before="400"/>
      </w:pPr>
      <w:r>
        <w:rPr>
          <w:rFonts w:ascii="Arial" w:cs="Arial" w:eastAsia="Arial" w:hAnsi="Arial"/>
          <w:b w:val="false"/>
          <w:bCs w:val="false"/>
          <w:i w:val="false"/>
          <w:iCs w:val="false"/>
          <w:color w:val="1A1A2E"/>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280"/>
              <w:left w:type="dxa" w:w="360"/>
              <w:bottom w:type="dxa" w:w="280"/>
              <w:right w:type="dxa" w:w="360"/>
            </w:tcMar>
          </w:tcPr>
          <w:p>
            <w:pPr>
              <w:spacing w:after="80" w:before="0"/>
              <w:jc w:val="center"/>
            </w:pPr>
            <w:r>
              <w:rPr>
                <w:rFonts w:ascii="Arial" w:cs="Arial" w:eastAsia="Arial" w:hAnsi="Arial"/>
                <w:b/>
                <w:bCs/>
                <w:color w:val="FFFFFF"/>
                <w:sz w:val="40"/>
                <w:szCs w:val="40"/>
              </w:rPr>
              <w:t xml:space="preserve">SiteFlow</w:t>
            </w:r>
          </w:p>
          <w:p>
            <w:pPr>
              <w:spacing w:after="80" w:before="0"/>
              <w:jc w:val="center"/>
            </w:pPr>
            <w:r>
              <w:rPr>
                <w:rFonts w:ascii="Arial" w:cs="Arial" w:eastAsia="Arial" w:hAnsi="Arial"/>
                <w:i/>
                <w:iCs/>
                <w:color w:val="C5D3E8"/>
                <w:sz w:val="24"/>
                <w:szCs w:val="24"/>
              </w:rPr>
              <w:t xml:space="preserve">Built for the 30,000 coordinators nobody built for.</w:t>
            </w:r>
          </w:p>
          <w:p>
            <w:pPr>
              <w:spacing w:after="0" w:before="0"/>
              <w:jc w:val="center"/>
            </w:pPr>
            <w:r>
              <w:rPr>
                <w:rFonts w:ascii="Arial" w:cs="Arial" w:eastAsia="Arial" w:hAnsi="Arial"/>
                <w:color w:val="C5D3E8"/>
                <w:sz w:val="18"/>
                <w:szCs w:val="18"/>
              </w:rPr>
              <w:t xml:space="preserve">53 sources  |  9,700 sites  |  $11.6M ARR opportunity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3E8" w:sz="6" w:space="4"/>
      </w:pBdr>
      <w:tabs>
        <w:tab w:val="right" w:pos="9026"/>
      </w:tabs>
      <w:spacing w:after="0" w:before="80"/>
    </w:pPr>
    <w:r>
      <w:rPr>
        <w:rFonts w:ascii="Arial" w:cs="Arial" w:eastAsia="Arial" w:hAnsi="Arial"/>
        <w:color w:val="6B7280"/>
        <w:sz w:val="16"/>
        <w:szCs w:val="16"/>
      </w:rPr>
      <w:t xml:space="preserve">For APM recruiting purposes only</w:t>
    </w:r>
    <w:r>
      <w:rPr>
        <w:rFonts w:ascii="Arial" w:cs="Arial" w:eastAsia="Arial" w:hAnsi="Arial"/>
        <w:color w:val="6B7280"/>
        <w:sz w:val="16"/>
        <w:szCs w:val="16"/>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6" w:space="4"/>
      </w:pBdr>
      <w:tabs>
        <w:tab w:val="right" w:pos="9026"/>
      </w:tabs>
      <w:spacing w:after="80" w:before="0"/>
    </w:pPr>
    <w:r>
      <w:rPr>
        <w:rFonts w:ascii="Arial" w:cs="Arial" w:eastAsia="Arial" w:hAnsi="Arial"/>
        <w:b/>
        <w:bCs/>
        <w:color w:val="1B3A6B"/>
        <w:sz w:val="18"/>
        <w:szCs w:val="18"/>
      </w:rPr>
      <w:t xml:space="preserve">SiteFlow </w:t>
    </w:r>
    <w:r>
      <w:rPr>
        <w:rFonts w:ascii="Arial" w:cs="Arial" w:eastAsia="Arial" w:hAnsi="Arial"/>
        <w:color w:val="6B7280"/>
        <w:sz w:val="18"/>
        <w:szCs w:val="18"/>
      </w:rPr>
      <w:t xml:space="preserve">— Product Requirements Document</w:t>
    </w:r>
    <w:r>
      <w:rPr>
        <w:rFonts w:ascii="Arial" w:cs="Arial" w:eastAsia="Arial" w:hAnsi="Arial"/>
        <w:color w:val="6B7280"/>
        <w:sz w:val="18"/>
        <w:szCs w:val="18"/>
      </w:rPr>
      <w:t xml:space="preserve">	v1.0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9E"/>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2026-05-24T05:51:12.633Z</dcterms:created>
  <dcterms:modified xsi:type="dcterms:W3CDTF">2026-05-24T05:51:12.633Z</dcterms:modified>
</cp:coreProperties>
</file>

<file path=docProps/custom.xml><?xml version="1.0" encoding="utf-8"?>
<Properties xmlns="http://schemas.openxmlformats.org/officeDocument/2006/custom-properties" xmlns:vt="http://schemas.openxmlformats.org/officeDocument/2006/docPropsVTypes"/>
</file>