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000000"/>
        </w:rPr>
        <w:t>CapStack Product Requirements Document</w:t>
      </w:r>
    </w:p>
    <w:p>
      <w:r>
        <w:t xml:space="preserve">Compare allocation choices across investment and savings accounts</w:t>
      </w:r>
    </w:p>
    <w:p>
      <w:pPr>
        <w:spacing w:after="280"/>
      </w:pPr>
      <w:r>
        <w:t>Anish Gudipaati  |  Version 2  |  September 2026</w:t>
      </w:r>
    </w:p>
    <w:p>
      <w:pPr>
        <w:pStyle w:val="Heading1"/>
      </w:pPr>
      <w:r>
        <w:rPr>
          <w:color w:val="000000"/>
        </w:rPr>
        <w:t xml:space="preserve">Product scope</w:t>
      </w:r>
    </w:p>
    <w:p>
      <w:r>
        <w:t xml:space="preserve">CapStack is a proposed mobile-first tool for comparing allocations across retirement, brokerage, and savings accounts. I focused the first release on how two uses of the same new contribution could change a savings goal, accessible funds, and contribution capacity. Users would review the assumptions and make their own decision.</w:t>
      </w:r>
    </w:p>
    <w:p>
      <w:r>
        <w:t xml:space="preserve">The first release would combine account aggregation, scenario modeling, contribution limits, and goals in one comparison: enter or connect accounts, confirm inputs, define two alternatives, compare results, and save the reasoning. The dashboard supports that task.</w:t>
      </w:r>
    </w:p>
    <w:p>
      <w:pPr>
        <w:pStyle w:val="Heading2"/>
      </w:pPr>
      <w:r>
        <w:rPr>
          <w:color w:val="000000"/>
        </w:rPr>
        <w:t xml:space="preserve">Existing alternatives</w:t>
      </w:r>
    </w:p>
    <w:p>
      <w:r>
        <w:t xml:space="preserve">Empower offers retirement scenarios and linked accounts. Boldin includes linked accounts, tax projections, and side-by-side scenarios; PlannerPlus is listed at $144 per year. CapStack would need to make a recurring contribution decision easier for investors building savings. [C1–C3]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056"/>
      </w:tblGrid>
      <w:tr>
        <w:trPr>
          <w:cantSplit/>
          <w:tblHeader/>
        </w:trPr>
        <w:tc>
          <w:tcPr>
            <w:tcW w:type="dxa" w:w="201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Product decision</w:t>
            </w:r>
          </w:p>
        </w:tc>
        <w:tc>
          <w:tcPr>
            <w:tcW w:type="dxa" w:w="705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Reason</w:t>
            </w:r>
          </w:p>
        </w:tc>
      </w:tr>
      <w:tr>
        <w:trPr>
          <w:cantSplit/>
        </w:trPr>
        <w:tc>
          <w:tcPr>
            <w:tcW w:type="dxa" w:w="20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Initial customer</w:t>
            </w:r>
          </w:p>
        </w:tc>
        <w:tc>
          <w:tcPr>
            <w:tcW w:type="dxa" w:w="70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An active US investor aged roughly 22–35 with several account types and a specific contribution or goal decision.</w:t>
            </w:r>
          </w:p>
        </w:tc>
      </w:tr>
      <w:tr>
        <w:trPr>
          <w:cantSplit/>
        </w:trPr>
        <w:tc>
          <w:tcPr>
            <w:tcW w:type="dxa" w:w="20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Primary task</w:t>
            </w:r>
          </w:p>
        </w:tc>
        <w:tc>
          <w:tcPr>
            <w:tcW w:type="dxa" w:w="70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Compare two allocations of the same contribution under a common set of assumptions.</w:t>
            </w:r>
          </w:p>
        </w:tc>
      </w:tr>
      <w:tr>
        <w:trPr>
          <w:cantSplit/>
        </w:trPr>
        <w:tc>
          <w:tcPr>
            <w:tcW w:type="dxa" w:w="20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Initial release</w:t>
            </w:r>
          </w:p>
        </w:tc>
        <w:tc>
          <w:tcPr>
            <w:tcW w:type="dxa" w:w="70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Mobile-first comparison, manual and linked inputs, transparent calculations, contribution checks, and saved scenarios.</w:t>
            </w:r>
          </w:p>
        </w:tc>
      </w:tr>
      <w:tr>
        <w:trPr>
          <w:cantSplit/>
        </w:trPr>
        <w:tc>
          <w:tcPr>
            <w:tcW w:type="dxa" w:w="20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Commercial test</w:t>
            </w:r>
          </w:p>
        </w:tc>
        <w:tc>
          <w:tcPr>
            <w:tcW w:type="dxa" w:w="70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Whether a user pays $12 monthly or $99 annually for recurring decisions after experiencing the full comparison flow.</w:t>
            </w:r>
          </w:p>
        </w:tc>
      </w:tr>
    </w:tbl>
    <w:p>
      <w:pPr>
        <w:spacing w:after="0"/>
      </w:pPr>
    </w:p>
    <w:p>
      <w:r>
        <w:t xml:space="preserve">Status: product concept, not launched or validated. Pricing and product metrics below are proposed targets; the original market and behavior estimates are unvalidated inputs.</w:t>
      </w:r>
    </w:p>
    <w:p>
      <w:r>
        <w:br w:type="page"/>
      </w:r>
    </w:p>
    <w:p>
      <w:pPr>
        <w:pStyle w:val="Heading1"/>
      </w:pPr>
      <w:r>
        <w:rPr>
          <w:color w:val="000000"/>
        </w:rPr>
        <w:t xml:space="preserve">Discovery and target decisions</w:t>
      </w:r>
    </w:p>
    <w:p>
      <w:r>
        <w:t xml:space="preserve">The original concept assumes 52M target investors, 3.4 accounts per investor, 67% spreadsheet use, and 76% willingness to pay. These inputs have not been validated through customer interviews or paid conversion. I would start with reachable users facing an imminent allocation decision, then test the frequency of that need and willingness to pay.</w:t>
      </w:r>
    </w:p>
    <w:p>
      <w:pPr>
        <w:pStyle w:val="Heading2"/>
      </w:pPr>
      <w:r>
        <w:rPr>
          <w:color w:val="000000"/>
        </w:rPr>
        <w:t>Primary and secondary users</w:t>
      </w:r>
    </w:p>
    <w:p>
      <w:r>
        <w:t xml:space="preserve">Marcus is an illustrative persona: a 28-year-old software engineer with a workplace retirement plan, Roth IRA, taxable brokerage, and high-yield savings account. After a bonus or pay change, he wants to compare allocations without rebuilding a spreadsheet. The model must distinguish payroll deferrals, liquid cash, and existing account balances.</w:t>
      </w:r>
    </w:p>
    <w:p>
      <w:r>
        <w:t xml:space="preserve">Priya, the secondary illustrative persona, wants a down payment within four years. She needs to compare funds accessible at that date, rather than total retirement and taxable balances. Users with one passive workplace account and no current planning question are outside the initial segment.</w:t>
      </w:r>
    </w:p>
    <w:p>
      <w:pPr>
        <w:pStyle w:val="Heading2"/>
      </w:pPr>
      <w:r>
        <w:rPr>
          <w:color w:val="000000"/>
        </w:rPr>
        <w:t>Validation plan</w:t>
      </w:r>
    </w:p>
    <w:p>
      <w:pPr>
        <w:ind w:left="187" w:hanging="187"/>
      </w:pPr>
      <w:r>
        <w:rPr>
          <w:b/>
        </w:rPr>
        <w:t xml:space="preserve">• </w:t>
      </w:r>
      <w:r>
        <w:t>Recruit 12–15 target users with an actual decision due within 60 days. Include manual spreadsheet users, current planning-tool users, and people unwilling to link accounts.</w:t>
      </w:r>
    </w:p>
    <w:p>
      <w:pPr>
        <w:ind w:left="187" w:hanging="187"/>
      </w:pPr>
      <w:r>
        <w:rPr>
          <w:b/>
        </w:rPr>
        <w:t xml:space="preserve">• </w:t>
      </w:r>
      <w:r>
        <w:t>Ask each participant to explain a recent allocation decision and demonstrate the existing workflow. Record account types, unknown inputs, time spent, and whether the decision was actually made.</w:t>
      </w:r>
    </w:p>
    <w:p>
      <w:pPr>
        <w:ind w:left="187" w:hanging="187"/>
      </w:pPr>
      <w:r>
        <w:rPr>
          <w:b/>
        </w:rPr>
        <w:t xml:space="preserve">• </w:t>
      </w:r>
      <w:r>
        <w:t>Test the same decision in a prototype and the current tool. Measure completion and comprehension, not whether participants like the interface.</w:t>
      </w:r>
    </w:p>
    <w:p>
      <w:pPr>
        <w:ind w:left="187" w:hanging="187"/>
      </w:pPr>
      <w:r>
        <w:rPr>
          <w:b/>
        </w:rPr>
        <w:t xml:space="preserve">• </w:t>
      </w:r>
      <w:r>
        <w:t>Offer a paid continuation after a successful comparison. Distinguish willingness to try, stated willingness to pay, and an actual purchase.</w:t>
      </w:r>
    </w:p>
    <w:p>
      <w:r>
        <w:t xml:space="preserve">Test how often users face a decision worth paying to model. Track bonus, payroll-change, tax-year, and goal-review occasions separately. Ask why users repeat a scenario: three runs might reflect a useful comparison or difficulty understanding the result.</w:t>
      </w:r>
    </w:p>
    <w:p>
      <w:r>
        <w:br w:type="page"/>
      </w:r>
    </w:p>
    <w:p>
      <w:pPr>
        <w:pStyle w:val="Heading1"/>
      </w:pPr>
      <w:r>
        <w:rPr>
          <w:color w:val="000000"/>
        </w:rPr>
        <w:t xml:space="preserve">Comparison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3384"/>
      </w:tblGrid>
      <w:tr>
        <w:trPr>
          <w:cantSplit/>
          <w:tblHeader/>
        </w:trPr>
        <w:tc>
          <w:tcPr>
            <w:tcW w:type="dxa" w:w="15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Step</w:t>
            </w:r>
          </w:p>
        </w:tc>
        <w:tc>
          <w:tcPr>
            <w:tcW w:type="dxa" w:w="410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Required input or output</w:t>
            </w:r>
          </w:p>
        </w:tc>
        <w:tc>
          <w:tcPr>
            <w:tcW w:type="dxa" w:w="33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Failure behavior</w:t>
            </w:r>
          </w:p>
        </w:tc>
      </w:tr>
      <w:tr>
        <w:trPr>
          <w:cantSplit/>
        </w:trPr>
        <w:tc>
          <w:tcPr>
            <w:tcW w:type="dxa" w:w="15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Build the account set</w:t>
            </w:r>
          </w:p>
        </w:tc>
        <w:tc>
          <w:tcPr>
            <w:tcW w:type="dxa" w:w="410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Account type, balance, source, timestamp, contribution history, and user confirmation.</w:t>
            </w:r>
          </w:p>
        </w:tc>
        <w:tc>
          <w:tcPr>
            <w:tcW w:type="dxa" w:w="33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Manual entry remains fully usable if linking fails.</w:t>
            </w:r>
          </w:p>
        </w:tc>
      </w:tr>
      <w:tr>
        <w:trPr>
          <w:cantSplit/>
        </w:trPr>
        <w:tc>
          <w:tcPr>
            <w:tcW w:type="dxa" w:w="15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Define the decision</w:t>
            </w:r>
          </w:p>
        </w:tc>
        <w:tc>
          <w:tcPr>
            <w:tcW w:type="dxa" w:w="410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Available cash or payroll deferral change, horizon, goal, and comparison alternatives.</w:t>
            </w:r>
          </w:p>
        </w:tc>
        <w:tc>
          <w:tcPr>
            <w:tcW w:type="dxa" w:w="33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Do not treat a cash bonus as a direct 401(k) deposit.</w:t>
            </w:r>
          </w:p>
        </w:tc>
      </w:tr>
      <w:tr>
        <w:trPr>
          <w:cantSplit/>
        </w:trPr>
        <w:tc>
          <w:tcPr>
            <w:tcW w:type="dxa" w:w="15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assumptions</w:t>
            </w:r>
          </w:p>
        </w:tc>
        <w:tc>
          <w:tcPr>
            <w:tcW w:type="dxa" w:w="410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Returns, inflation, fees, contribution timing, and supported tax rules.</w:t>
            </w:r>
          </w:p>
        </w:tc>
        <w:tc>
          <w:tcPr>
            <w:tcW w:type="dxa" w:w="33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Highlight missing eligibility or contribution history before calculation.</w:t>
            </w:r>
          </w:p>
        </w:tc>
      </w:tr>
      <w:tr>
        <w:trPr>
          <w:cantSplit/>
        </w:trPr>
        <w:tc>
          <w:tcPr>
            <w:tcW w:type="dxa" w:w="15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Compare A and B</w:t>
            </w:r>
          </w:p>
        </w:tc>
        <w:tc>
          <w:tcPr>
            <w:tcW w:type="dxa" w:w="410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Same horizon and contribution budget; account balances, accessible funds, and assumptions shown together.</w:t>
            </w:r>
          </w:p>
        </w:tc>
        <w:tc>
          <w:tcPr>
            <w:tcW w:type="dxa" w:w="33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Flag incomparable cash-flow assumptions instead of declaring a winner.</w:t>
            </w:r>
          </w:p>
        </w:tc>
      </w:tr>
      <w:tr>
        <w:trPr>
          <w:cantSplit/>
        </w:trPr>
        <w:tc>
          <w:tcPr>
            <w:tcW w:type="dxa" w:w="15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Save and revisit</w:t>
            </w:r>
          </w:p>
        </w:tc>
        <w:tc>
          <w:tcPr>
            <w:tcW w:type="dxa" w:w="410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Input snapshot, rule version, calculation version, and a user-written decision note.</w:t>
            </w:r>
          </w:p>
        </w:tc>
        <w:tc>
          <w:tcPr>
            <w:tcW w:type="dxa" w:w="33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 refresh creates a new run; it does not silently rewrite a saved scenario.</w:t>
            </w:r>
          </w:p>
        </w:tc>
      </w:tr>
    </w:tbl>
    <w:p>
      <w:pPr>
        <w:spacing w:after="0"/>
      </w:pPr>
    </w:p>
    <w:p>
      <w:pPr>
        <w:pStyle w:val="Heading2"/>
      </w:pPr>
      <w:r>
        <w:rPr>
          <w:color w:val="000000"/>
        </w:rPr>
        <w:t xml:space="preserve">Example comparison</w:t>
      </w:r>
    </w:p>
    <w:p>
      <w:r>
        <w:t xml:space="preserve">Marcus selects a $500 monthly contribution. Scenario A directs it to a supported retirement account; scenario B splits it between retirement and savings. Under matching assumptions, CapStack shows the total projected balance, funds accessible at the goal date, and contribution warnings. It separates the effects of return assumptions from account treatment and leaves the choice with Marcus.</w:t>
      </w:r>
    </w:p>
    <w:p>
      <w:pPr>
        <w:pStyle w:val="Heading2"/>
      </w:pPr>
      <w:r>
        <w:rPr>
          <w:color w:val="000000"/>
        </w:rPr>
        <w:t xml:space="preserve">Clear and reliable results</w:t>
      </w:r>
    </w:p>
    <w:p>
      <w:pPr>
        <w:ind w:left="187" w:hanging="187"/>
      </w:pPr>
      <w:r>
        <w:rPr>
          <w:b/>
        </w:rPr>
        <w:t xml:space="preserve">• </w:t>
      </w:r>
      <w:r>
        <w:t>Display the data timestamp at account level. A stale balance must never appear as a live value.</w:t>
      </w:r>
    </w:p>
    <w:p>
      <w:pPr>
        <w:ind w:left="187" w:hanging="187"/>
      </w:pPr>
      <w:r>
        <w:rPr>
          <w:b/>
        </w:rPr>
        <w:t xml:space="preserve">• </w:t>
      </w:r>
      <w:r>
        <w:t>Use nominal dollars by default with an explicit today’s-dollars toggle; label both the chart and exported summary consistently.</w:t>
      </w:r>
    </w:p>
    <w:p>
      <w:pPr>
        <w:ind w:left="187" w:hanging="187"/>
      </w:pPr>
      <w:r>
        <w:rPr>
          <w:b/>
        </w:rPr>
        <w:t xml:space="preserve">• </w:t>
      </w:r>
      <w:r>
        <w:t>Keep assumptions beside the result and label projected balances as estimates.</w:t>
      </w:r>
    </w:p>
    <w:p>
      <w:pPr>
        <w:ind w:left="187" w:hanging="187"/>
      </w:pPr>
      <w:r>
        <w:rPr>
          <w:b/>
        </w:rPr>
        <w:t xml:space="preserve">• </w:t>
      </w:r>
      <w:r>
        <w:t>Unknown contribution history is “unknown,” not zero. Unsupported account or tax situations remain visible and are excluded from affected conclusions.</w:t>
      </w:r>
    </w:p>
    <w:p>
      <w:r>
        <w:t xml:space="preserve">The first session must end with a side-by-side comparison, so users can evaluate the product before returning.</w:t>
      </w:r>
    </w:p>
    <w:p>
      <w:r>
        <w:br w:type="page"/>
      </w:r>
    </w:p>
    <w:p>
      <w:pPr>
        <w:pStyle w:val="Heading1"/>
      </w:pPr>
      <w:r>
        <w:rPr>
          <w:color w:val="000000"/>
        </w:rPr>
        <w:t xml:space="preserve">Requirements and priorities</w:t>
      </w:r>
    </w:p>
    <w:p>
      <w:pPr>
        <w:pStyle w:val="Heading2"/>
      </w:pPr>
      <w:r>
        <w:rPr>
          <w:color w:val="000000"/>
        </w:rPr>
        <w:t xml:space="preserve">P0 Compare two allocations</w:t>
      </w:r>
    </w:p>
    <w:p>
      <w:r>
        <w:t>CS01 Account setup: Given manual or connected accounts, the user can confirm type, currency, balance date, and duplicates before creating a scenario. A manually entered version of an already connected account triggers a merge review rather than double-counting assets.</w:t>
      </w:r>
    </w:p>
    <w:p>
      <w:r>
        <w:t>CS02 Calculation: Given the same input snapshot and calculation version, repeated runs return the same result to the cent. All alternatives use the same return, fee, inflation, and timing conventions unless the user explicitly changes them. Empty inputs, negative horizons, contributions above available cash, and unsupported currencies produce field-specific errors.</w:t>
      </w:r>
    </w:p>
    <w:p>
      <w:r>
        <w:t>CS03 Comparison: The user can save and compare two scenarios with a common horizon and budget. Outputs distinguish contributed principal from modeled growth and accessible balances from retirement balances. Changes to assumptions are called out next to the affected results.</w:t>
      </w:r>
    </w:p>
    <w:p>
      <w:r>
        <w:t>CS04 Contribution checks: The application stores tax year, account classification, confirmed year-to-date contributions, employer-plan information, and relevant eligibility inputs. It aggregates applicable limits across supported account groups. Unconfirmed eligibility blocks a “within limit” conclusion. Annual rule updates require review and regression tests. [C5, C6]</w:t>
      </w:r>
    </w:p>
    <w:p>
      <w:r>
        <w:t>CS05 Save and export: A saved scenario contains the input snapshot, model and rule versions, run timestamp, and exclusions. A shareable image or export excludes institution credentials and account identifiers by default. Deleting an account explains which saved scenarios retain a historical snapshot and offers deletion of those snapshots.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4752"/>
      </w:tblGrid>
      <w:tr>
        <w:trPr>
          <w:cantSplit/>
          <w:tblHeader/>
        </w:trPr>
        <w:tc>
          <w:tcPr>
            <w:tcW w:type="dxa" w:w="93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Priority</w:t>
            </w:r>
          </w:p>
        </w:tc>
        <w:tc>
          <w:tcPr>
            <w:tcW w:type="dxa" w:w="33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Capability</w:t>
            </w:r>
          </w:p>
        </w:tc>
        <w:tc>
          <w:tcPr>
            <w:tcW w:type="dxa" w:w="475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Decision</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P0</w:t>
            </w:r>
          </w:p>
        </w:tc>
        <w:tc>
          <w:tcPr>
            <w:tcW w:type="dxa" w:w="33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Manual entry and comparison</w:t>
            </w:r>
          </w:p>
        </w:tc>
        <w:tc>
          <w:tcPr>
            <w:tcW w:type="dxa" w:w="47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Test the comparison without depending on full provider coverage.</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P0</w:t>
            </w:r>
          </w:p>
        </w:tc>
        <w:tc>
          <w:tcPr>
            <w:tcW w:type="dxa" w:w="33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Supported read-only aggregation</w:t>
            </w:r>
          </w:p>
        </w:tc>
        <w:tc>
          <w:tcPr>
            <w:tcW w:type="dxa" w:w="47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Eligible providers only; coverage verified before being advertised.</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P1</w:t>
            </w:r>
          </w:p>
        </w:tc>
        <w:tc>
          <w:tcPr>
            <w:tcW w:type="dxa" w:w="33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Goal milestones and richer comparison history</w:t>
            </w:r>
          </w:p>
        </w:tc>
        <w:tc>
          <w:tcPr>
            <w:tcW w:type="dxa" w:w="47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Add after comprehension and calculation checks pass.</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P2</w:t>
            </w:r>
          </w:p>
        </w:tc>
        <w:tc>
          <w:tcPr>
            <w:tcW w:type="dxa" w:w="33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Personalized allocation ranking and detailed tax optimization</w:t>
            </w:r>
          </w:p>
        </w:tc>
        <w:tc>
          <w:tcPr>
            <w:tcW w:type="dxa" w:w="47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Require separate product, modeling, and legal review.</w:t>
            </w:r>
          </w:p>
        </w:tc>
      </w:tr>
    </w:tbl>
    <w:p>
      <w:pPr>
        <w:spacing w:after="0"/>
      </w:pPr>
    </w:p>
    <w:p>
      <w:r>
        <w:br w:type="page"/>
      </w:r>
    </w:p>
    <w:p>
      <w:pPr>
        <w:pStyle w:val="Heading1"/>
      </w:pPr>
      <w:r>
        <w:rPr>
          <w:color w:val="000000"/>
        </w:rPr>
        <w:t xml:space="preserve">Projection model and tests</w:t>
      </w:r>
    </w:p>
    <w:p>
      <w:r>
        <w:t xml:space="preserve">The initial model uses deterministic monthly projections. For each account, multiply the current balance by one plus the monthly growth rate, add the end-of-month contribution, and subtract modeled withdrawals or fees. Derive the monthly rate from the selected annual effective rate. Apply one rounding policy; display rounding must not alter internal balances.</w:t>
      </w:r>
    </w:p>
    <w:p>
      <w:pPr>
        <w:pStyle w:val="Heading2"/>
      </w:pPr>
      <w:r>
        <w:rPr>
          <w:color w:val="000000"/>
        </w:rPr>
        <w:t>Model boundaries</w:t>
      </w:r>
    </w:p>
    <w:p>
      <w:pPr>
        <w:ind w:left="187" w:hanging="187"/>
      </w:pPr>
      <w:r>
        <w:rPr>
          <w:b/>
        </w:rPr>
        <w:t xml:space="preserve">• </w:t>
      </w:r>
      <w:r>
        <w:t>Keep 7% real return as a selectable scenario assumption. Show lower-return sensitivities and clearly distinguish nominal and real assumptions.</w:t>
      </w:r>
    </w:p>
    <w:p>
      <w:pPr>
        <w:ind w:left="187" w:hanging="187"/>
      </w:pPr>
      <w:r>
        <w:rPr>
          <w:b/>
        </w:rPr>
        <w:t xml:space="preserve">• </w:t>
      </w:r>
      <w:r>
        <w:t>Tax-free, tax-deferred, and taxable are account classifications, not a complete tax model. Show pretax balances in V1 and clearly label exclusions. Do not imply after-tax superiority without modeling taxes.</w:t>
      </w:r>
    </w:p>
    <w:p>
      <w:pPr>
        <w:ind w:left="187" w:hanging="187"/>
      </w:pPr>
      <w:r>
        <w:rPr>
          <w:b/>
        </w:rPr>
        <w:t xml:space="preserve">• </w:t>
      </w:r>
      <w:r>
        <w:t>Contribution timing is monthly and at period end in the initial model. Payroll deferrals and employer matches require explicit schedule and plan assumptions.</w:t>
      </w:r>
    </w:p>
    <w:p>
      <w:pPr>
        <w:ind w:left="187" w:hanging="187"/>
      </w:pPr>
      <w:r>
        <w:rPr>
          <w:b/>
        </w:rPr>
        <w:t xml:space="preserve">• </w:t>
      </w:r>
      <w:r>
        <w:t>A brokerage-to-IRA transfer may be a new contribution; a rollover is a different event. Do not infer tax treatment from a balance movement. Unsupported events are excluded from capacity calculations.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6984"/>
      </w:tblGrid>
      <w:tr>
        <w:trPr>
          <w:cantSplit/>
          <w:tblHeader/>
        </w:trPr>
        <w:tc>
          <w:tcPr>
            <w:tcW w:type="dxa" w:w="208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Test case</w:t>
            </w:r>
          </w:p>
        </w:tc>
        <w:tc>
          <w:tcPr>
            <w:tcW w:type="dxa" w:w="69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Expected result or invariant</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Zero return</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Start $10,000 plus 12 end-of-month deposits of $500 produces $16,000 before fees or withdrawals.</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One-year growth</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Start $10,000, no deposits, 6% annual effective return produces $10,600 after 12 months.</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Scenario equivalence</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Identical inputs and equal rates across accounts preserve the same total projected value.</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Budget conservation</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Allocated contributions plus unallocated cash equal the stated available budget.</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Historical reproducibility</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 saved scenario uses its saved rules and inputs, even after current tax rules change.</w:t>
            </w:r>
          </w:p>
        </w:tc>
      </w:tr>
    </w:tbl>
    <w:p>
      <w:pPr>
        <w:spacing w:after="0"/>
      </w:pPr>
    </w:p>
    <w:p>
      <w:r>
        <w:t xml:space="preserve">Check boundary cases against independently calculated outputs before a user pilot. Test zero and negative returns, zero horizon, leap-year dates, missing values, tax-year changes, rounding, duplicate accounts, and contributions exactly at the limit. Use accessible balances for goal dates where access matters.</w:t>
      </w:r>
    </w:p>
    <w:p>
      <w:r>
        <w:t xml:space="preserve">Defer Monte Carlo simulation, tax-loss harvesting, security selection, and an opaque “tax efficiency score” until the simpler model is understood and validated.</w:t>
      </w:r>
    </w:p>
    <w:p>
      <w:r>
        <w:br w:type="page"/>
      </w:r>
    </w:p>
    <w:p>
      <w:pPr>
        <w:pStyle w:val="Heading1"/>
      </w:pPr>
      <w:r>
        <w:rPr>
          <w:color w:val="000000"/>
        </w:rPr>
        <w:t xml:space="preserve">Account data and product boundaries</w:t>
      </w:r>
    </w:p>
    <w:p>
      <w:r>
        <w:t xml:space="preserve">Proposed flow: authorized account data → normalized snapshot → user confirmation → versioned calculation engine → comparison and saved scenario. Keep calculations independent of the linking provider so manual and connected inputs use the same model.</w:t>
      </w:r>
    </w:p>
    <w:p>
      <w:r>
        <w:t xml:space="preserve">Plaid supplies holdings, investment transactions, refresh operations, and update events. These do not establish complete account coverage or a complete tax-year contribution history. Verify each supported provider’s data and freshness. Document account types, known gaps, refresh behavior, and manual corrections in a coverage matrix. [C4]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912"/>
      </w:tblGrid>
      <w:tr>
        <w:trPr>
          <w:cantSplit/>
          <w:tblHeader/>
        </w:trPr>
        <w:tc>
          <w:tcPr>
            <w:tcW w:type="dxa" w:w="216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Failure mode</w:t>
            </w:r>
          </w:p>
        </w:tc>
        <w:tc>
          <w:tcPr>
            <w:tcW w:type="dxa" w:w="691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Required behavior</w:t>
            </w:r>
          </w:p>
        </w:tc>
      </w:tr>
      <w:tr>
        <w:trPr>
          <w:cantSplit/>
        </w:trPr>
        <w:tc>
          <w:tcPr>
            <w:tcW w:type="dxa" w:w="21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Expired authorization</w:t>
            </w:r>
          </w:p>
        </w:tc>
        <w:tc>
          <w:tcPr>
            <w:tcW w:type="dxa" w:w="69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Show reconnect status; retain the last confirmed snapshot with its age; do not fabricate an update.</w:t>
            </w:r>
          </w:p>
        </w:tc>
      </w:tr>
      <w:tr>
        <w:trPr>
          <w:cantSplit/>
        </w:trPr>
        <w:tc>
          <w:tcPr>
            <w:tcW w:type="dxa" w:w="21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Partial data</w:t>
            </w:r>
          </w:p>
        </w:tc>
        <w:tc>
          <w:tcPr>
            <w:tcW w:type="dxa" w:w="69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Mark missing holdings or contribution history; totals must disclose excluded accounts.</w:t>
            </w:r>
          </w:p>
        </w:tc>
      </w:tr>
      <w:tr>
        <w:trPr>
          <w:cantSplit/>
        </w:trPr>
        <w:tc>
          <w:tcPr>
            <w:tcW w:type="dxa" w:w="21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Duplicate linkage</w:t>
            </w:r>
          </w:p>
        </w:tc>
        <w:tc>
          <w:tcPr>
            <w:tcW w:type="dxa" w:w="69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Prompt the user to reconcile likely duplicates before calculating a combined total.</w:t>
            </w:r>
          </w:p>
        </w:tc>
      </w:tr>
      <w:tr>
        <w:trPr>
          <w:cantSplit/>
        </w:trPr>
        <w:tc>
          <w:tcPr>
            <w:tcW w:type="dxa" w:w="216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Provider outage</w:t>
            </w:r>
          </w:p>
        </w:tc>
        <w:tc>
          <w:tcPr>
            <w:tcW w:type="dxa" w:w="69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Allow manual review and scenario modeling; retry with bounded backoff and visible status.</w:t>
            </w:r>
          </w:p>
        </w:tc>
      </w:tr>
      <w:tr>
        <w:trPr>
          <w:cantSplit/>
        </w:trPr>
        <w:tc>
          <w:tcPr>
            <w:tcW w:type="dxa" w:w="216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Deletion or revocation</w:t>
            </w:r>
          </w:p>
        </w:tc>
        <w:tc>
          <w:tcPr>
            <w:tcW w:type="dxa" w:w="69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Stop future pulls, revoke provider access where supported, and apply the disclosed deletion policy.</w:t>
            </w:r>
          </w:p>
        </w:tc>
      </w:tr>
    </w:tbl>
    <w:p>
      <w:pPr>
        <w:spacing w:after="0"/>
      </w:pPr>
    </w:p>
    <w:p>
      <w:pPr>
        <w:pStyle w:val="Heading2"/>
      </w:pPr>
      <w:r>
        <w:rPr>
          <w:color w:val="000000"/>
        </w:rPr>
        <w:t>Tax year and regulatory review</w:t>
      </w:r>
    </w:p>
    <w:p>
      <w:r>
        <w:t>For 2026, the IRS lists a $24,500 base employee 401(k) deferral limit and a $7,500 IRA limit. Catch-up provisions and eligibility require separate handling. Employer contributions and employee deferrals have distinct limits; applicable employee deferrals generally aggregate across plans. Future-year values must be labeled unavailable until published and reviewed. [C5, C6]</w:t>
      </w:r>
    </w:p>
    <w:p>
      <w:r>
        <w:t xml:space="preserve">The SEC’s investment-adviser definition considers advice, compensation, and business activity; avoiding custody alone does not resolve the question. Counsel must assess CapStack’s outputs and applicable jurisdictions before release. V1 excludes trade execution and individualized security recommendations, but a disclaimer cannot replace legal review. [C7]</w:t>
      </w:r>
    </w:p>
    <w:p>
      <w:r>
        <w:t>Minimize retained identifiers, encrypt provider tokens, isolate users’ records, and keep financial details out of analytics logs. Use a documented deletion period and test the removal of active data and eventual backup expiry. Read-only access still exposes sensitive financial information.</w:t>
      </w:r>
    </w:p>
    <w:p>
      <w:r>
        <w:br w:type="page"/>
      </w:r>
    </w:p>
    <w:p>
      <w:pPr>
        <w:pStyle w:val="Heading1"/>
      </w:pPr>
      <w:r>
        <w:rPr>
          <w:color w:val="000000"/>
        </w:rPr>
        <w:t>Metrics and experiments</w:t>
      </w:r>
    </w:p>
    <w:p>
      <w:r>
        <w:t xml:space="preserve">Measure completed comparisons that users understand. Require confirmed assumptions and a recorded decision takeaway, and check comprehension alongside completion. Recalculations alone do not establish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752"/>
        <w:gridCol w:w="2664"/>
      </w:tblGrid>
      <w:tr>
        <w:trPr>
          <w:cantSplit/>
          <w:tblHeader/>
        </w:trPr>
        <w:tc>
          <w:tcPr>
            <w:tcW w:type="dxa" w:w="165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Metric</w:t>
            </w:r>
          </w:p>
        </w:tc>
        <w:tc>
          <w:tcPr>
            <w:tcW w:type="dxa" w:w="475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Denominator and event</w:t>
            </w:r>
          </w:p>
        </w:tc>
        <w:tc>
          <w:tcPr>
            <w:tcW w:type="dxa" w:w="266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Proposed gate</w:t>
            </w:r>
          </w:p>
        </w:tc>
      </w:tr>
      <w:tr>
        <w:trPr>
          <w:cantSplit/>
        </w:trPr>
        <w:tc>
          <w:tcPr>
            <w:tcW w:type="dxa" w:w="16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Activation</w:t>
            </w:r>
          </w:p>
        </w:tc>
        <w:tc>
          <w:tcPr>
            <w:tcW w:type="dxa" w:w="47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New users who complete and save an A/B comparison within seven days / eligible new users.</w:t>
            </w:r>
          </w:p>
        </w:tc>
        <w:tc>
          <w:tcPr>
            <w:tcW w:type="dxa" w:w="26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≥65% in closed beta.</w:t>
            </w:r>
          </w:p>
        </w:tc>
      </w:tr>
      <w:tr>
        <w:trPr>
          <w:cantSplit/>
        </w:trPr>
        <w:tc>
          <w:tcPr>
            <w:tcW w:type="dxa" w:w="16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Comprehension</w:t>
            </w:r>
          </w:p>
        </w:tc>
        <w:tc>
          <w:tcPr>
            <w:tcW w:type="dxa" w:w="47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Users who correctly explain two assumptions and a key tradeoff / users completing the task.</w:t>
            </w:r>
          </w:p>
        </w:tc>
        <w:tc>
          <w:tcPr>
            <w:tcW w:type="dxa" w:w="26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≥80% in moderated testing.</w:t>
            </w:r>
          </w:p>
        </w:tc>
      </w:tr>
      <w:tr>
        <w:trPr>
          <w:cantSplit/>
        </w:trPr>
        <w:tc>
          <w:tcPr>
            <w:tcW w:type="dxa" w:w="16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Decision use</w:t>
            </w:r>
          </w:p>
        </w:tc>
        <w:tc>
          <w:tcPr>
            <w:tcW w:type="dxa" w:w="47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Users reporting that the comparison informed an actual decision / activated users with a decision due.</w:t>
            </w:r>
          </w:p>
        </w:tc>
        <w:tc>
          <w:tcPr>
            <w:tcW w:type="dxa" w:w="26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Measure baseline before committing to a scale target.</w:t>
            </w:r>
          </w:p>
        </w:tc>
      </w:tr>
      <w:tr>
        <w:trPr>
          <w:cantSplit/>
        </w:trPr>
        <w:tc>
          <w:tcPr>
            <w:tcW w:type="dxa" w:w="16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Retention</w:t>
            </w:r>
          </w:p>
        </w:tc>
        <w:tc>
          <w:tcPr>
            <w:tcW w:type="dxa" w:w="47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Activated users returning for a meaningful comparison in days 28–35 / activated cohort.</w:t>
            </w:r>
          </w:p>
        </w:tc>
        <w:tc>
          <w:tcPr>
            <w:tcW w:type="dxa" w:w="26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&gt;40% D30 retention, as proposed in the original concept.</w:t>
            </w:r>
          </w:p>
        </w:tc>
      </w:tr>
      <w:tr>
        <w:trPr>
          <w:cantSplit/>
        </w:trPr>
        <w:tc>
          <w:tcPr>
            <w:tcW w:type="dxa" w:w="16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Conversion</w:t>
            </w:r>
          </w:p>
        </w:tc>
        <w:tc>
          <w:tcPr>
            <w:tcW w:type="dxa" w:w="47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Users paying after the trial / eligible trial users, separated by monthly and annual plan.</w:t>
            </w:r>
          </w:p>
        </w:tc>
        <w:tc>
          <w:tcPr>
            <w:tcW w:type="dxa" w:w="26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Test the proposed 25% conversion target before using it in forecasts.</w:t>
            </w:r>
          </w:p>
        </w:tc>
      </w:tr>
    </w:tbl>
    <w:p>
      <w:pPr>
        <w:spacing w:after="0"/>
      </w:pPr>
    </w:p>
    <w:p>
      <w:pPr>
        <w:pStyle w:val="Heading2"/>
      </w:pPr>
      <w:r>
        <w:rPr>
          <w:color w:val="000000"/>
        </w:rPr>
        <w:t>Experiment design</w:t>
      </w:r>
    </w:p>
    <w:p>
      <w:r>
        <w:t xml:space="preserve">First, compare CapStack with participants’ existing methods in moderated sessions with 12–15 users. Counterbalance task order using permitted or simulated account situations. Measure time to a correct comparison, errors, and whether confidence matches understanding. This sample cannot establish retention.</w:t>
      </w:r>
    </w:p>
    <w:p>
      <w:r>
        <w:t>Then run a proposed 50-user closed beta for at least six weeks. Log setup_started, account_confirmed, comparison_completed, assumption_changed, scenario_saved, reconnect_failed, and paid_started. Include model version and input completeness, not raw account balances. Analyze manual and linked users separately.</w:t>
      </w:r>
    </w:p>
    <w:p>
      <w:r>
        <w:t xml:space="preserve">Use 3+ scenarios per active user per month as a diagnostic target. The original claim of 2× conversion among users running three early scenarios has no established cohort evidence and must not be treated as predictive. Keep &lt;8% linking errors, &lt;2% user-reported misleading projections, and zero known critical calculation defects as proposed limits. Calculation correctness requires testing beyond surveys.</w:t>
      </w:r>
    </w:p>
    <w:p>
      <w:r>
        <w:t xml:space="preserve">After model tests and comprehension targets pass, compare a guided first scenario with a blank builder. Predefine activation as the primary metric and plan sample size before drawing a conclusion from the A/B test.</w:t>
      </w:r>
    </w:p>
    <w:p>
      <w:r>
        <w:br w:type="page"/>
      </w:r>
    </w:p>
    <w:p>
      <w:pPr>
        <w:pStyle w:val="Heading1"/>
      </w:pPr>
      <w:r>
        <w:rPr>
          <w:color w:val="000000"/>
        </w:rPr>
        <w:t xml:space="preserve">Competition and subscription economics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88"/>
        <w:gridCol w:w="3600"/>
      </w:tblGrid>
      <w:tr>
        <w:trPr>
          <w:cantSplit/>
          <w:tblHeader/>
        </w:trPr>
        <w:tc>
          <w:tcPr>
            <w:tcW w:type="dxa" w:w="15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Alternative</w:t>
            </w:r>
          </w:p>
        </w:tc>
        <w:tc>
          <w:tcPr>
            <w:tcW w:type="dxa" w:w="388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What it already does</w:t>
            </w:r>
          </w:p>
        </w:tc>
        <w:tc>
          <w:tcPr>
            <w:tcW w:type="dxa" w:w="360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 xml:space="preserve">Benefit to test</w:t>
            </w:r>
          </w:p>
        </w:tc>
      </w:tr>
      <w:tr>
        <w:trPr>
          <w:cantSplit/>
        </w:trPr>
        <w:tc>
          <w:tcPr>
            <w:tcW w:type="dxa" w:w="15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Empower</w:t>
            </w:r>
          </w:p>
        </w:tc>
        <w:tc>
          <w:tcPr>
            <w:tcW w:type="dxa" w:w="38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Retirement planning scenarios and linked accounts. [C1, C2]</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Quicker comparisons for investors deciding how to allocate new contributions.</w:t>
            </w:r>
          </w:p>
        </w:tc>
      </w:tr>
      <w:tr>
        <w:trPr>
          <w:cantSplit/>
        </w:trPr>
        <w:tc>
          <w:tcPr>
            <w:tcW w:type="dxa" w:w="15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Boldin</w:t>
            </w:r>
          </w:p>
        </w:tc>
        <w:tc>
          <w:tcPr>
            <w:tcW w:type="dxa" w:w="38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Linked accounts, multiple scenarios, tax projections, and comparison; PlannerPlus $144 annually. [C3]</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Less setup for the selected task, while recognizing that some users need broader planning.</w:t>
            </w:r>
          </w:p>
        </w:tc>
      </w:tr>
      <w:tr>
        <w:trPr>
          <w:cantSplit/>
        </w:trPr>
        <w:tc>
          <w:tcPr>
            <w:tcW w:type="dxa" w:w="15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Spreadsheet</w:t>
            </w:r>
          </w:p>
        </w:tc>
        <w:tc>
          <w:tcPr>
            <w:tcW w:type="dxa" w:w="38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Flexible models and user control.</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Comparable transparency with fewer formula and maintenance errors.</w:t>
            </w:r>
          </w:p>
        </w:tc>
      </w:tr>
      <w:tr>
        <w:trPr>
          <w:cantSplit/>
        </w:trPr>
        <w:tc>
          <w:tcPr>
            <w:tcW w:type="dxa" w:w="15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Brokerage tools</w:t>
            </w:r>
          </w:p>
        </w:tc>
        <w:tc>
          <w:tcPr>
            <w:tcW w:type="dxa" w:w="38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Account-specific planning and transaction context.</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A clear comparison across the user’s existing accounts.</w:t>
            </w:r>
          </w:p>
        </w:tc>
      </w:tr>
    </w:tbl>
    <w:p>
      <w:pPr>
        <w:spacing w:after="0"/>
      </w:pPr>
    </w:p>
    <w:p>
      <w:pPr>
        <w:pStyle w:val="Heading2"/>
      </w:pPr>
      <w:r>
        <w:rPr>
          <w:color w:val="000000"/>
        </w:rPr>
        <w:t>Revenue assumptions</w:t>
      </w:r>
    </w:p>
    <w:p>
      <w:r>
        <w:t xml:space="preserve">Test Free, $12 monthly Pro, and $99 annual Pro plans. Free must include a complete first comparison. Saved history and convenient refreshes could justify paid use; users need to experience the comparison before deciding.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3528"/>
      </w:tblGrid>
      <w:tr>
        <w:trPr>
          <w:cantSplit/>
          <w:tblHeader/>
        </w:trPr>
        <w:tc>
          <w:tcPr>
            <w:tcW w:type="dxa" w:w="223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Illustrative paid users</w:t>
            </w:r>
          </w:p>
        </w:tc>
        <w:tc>
          <w:tcPr>
            <w:tcW w:type="dxa" w:w="331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Plan mix</w:t>
            </w:r>
          </w:p>
        </w:tc>
        <w:tc>
          <w:tcPr>
            <w:tcW w:type="dxa" w:w="35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Annualized revenue</w:t>
            </w:r>
          </w:p>
        </w:tc>
      </w:tr>
      <w:tr>
        <w:trPr>
          <w:cantSplit/>
        </w:trPr>
        <w:tc>
          <w:tcPr>
            <w:tcW w:type="dxa" w:w="223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1,000</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All monthly at $12</w:t>
            </w:r>
          </w:p>
        </w:tc>
        <w:tc>
          <w:tcPr>
            <w:tcW w:type="dxa" w:w="35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$144,000</w:t>
            </w:r>
          </w:p>
        </w:tc>
      </w:tr>
      <w:tr>
        <w:trPr>
          <w:cantSplit/>
        </w:trPr>
        <w:tc>
          <w:tcPr>
            <w:tcW w:type="dxa" w:w="223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10,000</w:t>
            </w:r>
          </w:p>
        </w:tc>
        <w:tc>
          <w:tcPr>
            <w:tcW w:type="dxa" w:w="33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All monthly at $12</w:t>
            </w:r>
          </w:p>
        </w:tc>
        <w:tc>
          <w:tcPr>
            <w:tcW w:type="dxa" w:w="35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$1,440,000</w:t>
            </w:r>
          </w:p>
        </w:tc>
      </w:tr>
      <w:tr>
        <w:trPr>
          <w:cantSplit/>
        </w:trPr>
        <w:tc>
          <w:tcPr>
            <w:tcW w:type="dxa" w:w="223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10,000</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All annual at $99</w:t>
            </w:r>
          </w:p>
        </w:tc>
        <w:tc>
          <w:tcPr>
            <w:tcW w:type="dxa" w:w="35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$990,000</w:t>
            </w:r>
          </w:p>
        </w:tc>
      </w:tr>
      <w:tr>
        <w:trPr>
          <w:cantSplit/>
        </w:trPr>
        <w:tc>
          <w:tcPr>
            <w:tcW w:type="dxa" w:w="223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10,000</w:t>
            </w:r>
          </w:p>
        </w:tc>
        <w:tc>
          <w:tcPr>
            <w:tcW w:type="dxa" w:w="33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50% monthly and 50% annual</w:t>
            </w:r>
          </w:p>
        </w:tc>
        <w:tc>
          <w:tcPr>
            <w:tcW w:type="dxa" w:w="35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$1,215,000</w:t>
            </w:r>
          </w:p>
        </w:tc>
      </w:tr>
    </w:tbl>
    <w:p>
      <w:pPr>
        <w:spacing w:after="0"/>
      </w:pPr>
    </w:p>
    <w:p>
      <w:r>
        <w:t xml:space="preserve">The revenue table shows plan-mix scenarios, not demand forecasts. The original 52M × 5% = 2.6M calculation assumes adoption and does not establish a paying market. Estimate the reachable market using permitted community outreach, qualified signups, activation, and conversion.</w:t>
      </w:r>
    </w:p>
    <w:p>
      <w:r>
        <w:t xml:space="preserve">At an assumed 80% contribution margin, the $12 plan yields $9.60 monthly contribution and supports at most $57.60 CAC for six-month payback. The $99 annual plan yields $6.60 monthly contribution and a $39.60 CAC ceiling. Check aggregation quotes, payment and support costs, and actual plan mix before spending on acquisition.</w:t>
      </w:r>
    </w:p>
    <w:p>
      <w:r>
        <w:t xml:space="preserve">The $10K MRR target requires about 834 monthly subscribers. A separate scenario with 500 beta users and 25% conversion produces 125 subscribers and $1,500 MRR. The acquisition plan must explain how to reach the larger target.</w:t>
      </w:r>
    </w:p>
    <w:p>
      <w:r>
        <w:br w:type="page"/>
      </w:r>
    </w:p>
    <w:p>
      <w:pPr>
        <w:pStyle w:val="Heading1"/>
      </w:pPr>
      <w:r>
        <w:rPr>
          <w:color w:val="000000"/>
        </w:rPr>
        <w:t xml:space="preserve">Roadmap and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464"/>
        <w:gridCol w:w="3312"/>
      </w:tblGrid>
      <w:tr>
        <w:trPr>
          <w:cantSplit/>
          <w:tblHeader/>
        </w:trPr>
        <w:tc>
          <w:tcPr>
            <w:tcW w:type="dxa" w:w="129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Phase</w:t>
            </w:r>
          </w:p>
        </w:tc>
        <w:tc>
          <w:tcPr>
            <w:tcW w:type="dxa" w:w="446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 xml:space="preserve">Work or research objective</w:t>
            </w:r>
          </w:p>
        </w:tc>
        <w:tc>
          <w:tcPr>
            <w:tcW w:type="dxa" w:w="331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Exit gate</w:t>
            </w:r>
          </w:p>
        </w:tc>
      </w:tr>
      <w:tr>
        <w:trPr>
          <w:cantSplit/>
        </w:trPr>
        <w:tc>
          <w:tcPr>
            <w:tcW w:type="dxa" w:w="12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1–2</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Observe decisions, map data coverage, review product boundaries.</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 repeated use case and a supported calculation contract.</w:t>
            </w:r>
          </w:p>
        </w:tc>
      </w:tr>
      <w:tr>
        <w:trPr>
          <w:cantSplit/>
        </w:trPr>
        <w:tc>
          <w:tcPr>
            <w:tcW w:type="dxa" w:w="129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3–5</w:t>
            </w:r>
          </w:p>
        </w:tc>
        <w:tc>
          <w:tcPr>
            <w:tcW w:type="dxa" w:w="44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Manual entry, deterministic model, A/B comparison, reference tests.</w:t>
            </w:r>
          </w:p>
        </w:tc>
        <w:tc>
          <w:tcPr>
            <w:tcW w:type="dxa" w:w="33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All numerical invariants pass and users understand results.</w:t>
            </w:r>
          </w:p>
        </w:tc>
      </w:tr>
      <w:tr>
        <w:trPr>
          <w:cantSplit/>
        </w:trPr>
        <w:tc>
          <w:tcPr>
            <w:tcW w:type="dxa" w:w="12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6–8</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Selected provider connections, rule-year controls, save and deletion flows.</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Coverage and permissions tested; no critical model or privacy defect.</w:t>
            </w:r>
          </w:p>
        </w:tc>
      </w:tr>
      <w:tr>
        <w:trPr>
          <w:cantSplit/>
        </w:trPr>
        <w:tc>
          <w:tcPr>
            <w:tcW w:type="dxa" w:w="129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9–12</w:t>
            </w:r>
          </w:p>
        </w:tc>
        <w:tc>
          <w:tcPr>
            <w:tcW w:type="dxa" w:w="446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50-user beta, task support, decision-use interviews, paid continuation.</w:t>
            </w:r>
          </w:p>
        </w:tc>
        <w:tc>
          <w:tcPr>
            <w:tcW w:type="dxa" w:w="331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Comprehension, activation, and integrity gates met.</w:t>
            </w:r>
          </w:p>
        </w:tc>
      </w:tr>
      <w:tr>
        <w:trPr>
          <w:cantSplit/>
        </w:trPr>
        <w:tc>
          <w:tcPr>
            <w:tcW w:type="dxa" w:w="12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 13 onward</w:t>
            </w:r>
          </w:p>
        </w:tc>
        <w:tc>
          <w:tcPr>
            <w:tcW w:type="dxa" w:w="446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Consider larger beta and goal features.</w:t>
            </w:r>
          </w:p>
        </w:tc>
        <w:tc>
          <w:tcPr>
            <w:tcW w:type="dxa" w:w="331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Evidence of recurring decisions and plausible subscription economics.</w:t>
            </w:r>
          </w:p>
        </w:tc>
      </w:tr>
    </w:tbl>
    <w:p>
      <w:pPr>
        <w:spacing w:after="0"/>
      </w:pPr>
    </w:p>
    <w:p>
      <w:pPr>
        <w:pStyle w:val="Heading2"/>
      </w:pPr>
      <w:r>
        <w:rPr>
          <w:color w:val="000000"/>
        </w:rPr>
        <w:t xml:space="preserve">Responses to key risks</w:t>
      </w:r>
    </w:p>
    <w:p>
      <w:pPr>
        <w:ind w:left="187" w:hanging="187"/>
      </w:pPr>
      <w:r>
        <w:rPr>
          <w:b/>
        </w:rPr>
        <w:t xml:space="preserve">• </w:t>
      </w:r>
      <w:r>
        <w:t>Calculation risk: block release on incorrect account aggregation, budget conservation, or tax-year handling. Publish model limitations beside the output.</w:t>
      </w:r>
    </w:p>
    <w:p>
      <w:pPr>
        <w:ind w:left="187" w:hanging="187"/>
      </w:pPr>
      <w:r>
        <w:rPr>
          <w:b/>
        </w:rPr>
        <w:t xml:space="preserve">• </w:t>
      </w:r>
      <w:r>
        <w:t>Retention risk: if users return only once a year, test annual planning or different pricing before adding reminders intended only to increase activity.</w:t>
      </w:r>
    </w:p>
    <w:p>
      <w:pPr>
        <w:ind w:left="187" w:hanging="187"/>
      </w:pPr>
      <w:r>
        <w:rPr>
          <w:b/>
        </w:rPr>
        <w:t xml:space="preserve">• </w:t>
      </w:r>
      <w:r>
        <w:t>Coverage risk: if linking dominates support, prioritize the manual comparison experience and narrow the advertised provider set.</w:t>
      </w:r>
    </w:p>
    <w:p>
      <w:pPr>
        <w:ind w:left="187" w:hanging="187"/>
      </w:pPr>
      <w:r>
        <w:rPr>
          <w:b/>
        </w:rPr>
        <w:t xml:space="preserve">• </w:t>
      </w:r>
      <w:r>
        <w:t>Competitive risk: compare the same task against Boldin and Empower. Independence alone does not establish a reason to switch.</w:t>
      </w:r>
    </w:p>
    <w:p>
      <w:pPr>
        <w:pStyle w:val="Heading2"/>
      </w:pPr>
      <w:r>
        <w:rPr>
          <w:color w:val="000000"/>
        </w:rPr>
        <w:t xml:space="preserve">Why I chose this scope</w:t>
      </w:r>
    </w:p>
    <w:p>
      <w:r>
        <w:t xml:space="preserve">I put comparison in P0 because it is the main task. Manual entry is also P0 so the model can be tested independently of connector reliability. I would defer ranked recommendations and the tax score until their calculations and legal implications are reviewed.</w:t>
      </w:r>
    </w:p>
    <w:p>
      <w:r>
        <w:t xml:space="preserve">Before investing further, test decision frequency, acceptable setup time, reliable contribution data by account type, and demand at $12 monthly versus existing planners. Check whether users distinguish projected balances from spendable funds. Assign an owner to each question and specify how the answer changes the release decision.</w:t>
      </w:r>
    </w:p>
    <w:p>
      <w:r>
        <w:br w:type="page"/>
      </w:r>
    </w:p>
    <w:p>
      <w:pPr>
        <w:pStyle w:val="Heading1"/>
      </w:pPr>
      <w:r>
        <w:rPr>
          <w:color w:val="000000"/>
        </w:rPr>
        <w:t>Research references</w:t>
      </w:r>
    </w:p>
    <w:p>
      <w:r>
        <w:t xml:space="preserve">Sources checked in September 2026. Bracketed references support nearby factual claims. Architecture, tests, targets, and business scenarios are proposals.</w:t>
      </w:r>
    </w:p>
    <w:p>
      <w:pPr>
        <w:keepNext/>
      </w:pPr>
      <w:r>
        <w:rPr>
          <w:b/>
        </w:rPr>
        <w:t xml:space="preserve">C1  </w:t>
      </w:r>
      <w:hyperlink r:id="rId10">
        <w:r>
          <w:rPr>
            <w:color w:val="145A83"/>
          </w:rPr>
          <w:t>Empower Retirement Planner</w:t>
        </w:r>
      </w:hyperlink>
    </w:p>
    <w:p>
      <w:pPr>
        <w:spacing w:after="200"/>
      </w:pPr>
      <w:r>
        <w:t xml:space="preserve">Retirement scenario planning capabilities.</w:t>
      </w:r>
    </w:p>
    <w:p>
      <w:pPr>
        <w:keepNext/>
      </w:pPr>
      <w:r>
        <w:rPr>
          <w:b/>
        </w:rPr>
        <w:t xml:space="preserve">C2  </w:t>
      </w:r>
      <w:hyperlink r:id="rId11">
        <w:r>
          <w:rPr>
            <w:color w:val="145A83"/>
          </w:rPr>
          <w:t>Empower account linking</w:t>
        </w:r>
      </w:hyperlink>
    </w:p>
    <w:p>
      <w:pPr>
        <w:spacing w:after="200"/>
      </w:pPr>
      <w:r>
        <w:t>Linking retirement, investment, and other account types.</w:t>
      </w:r>
    </w:p>
    <w:p>
      <w:pPr>
        <w:keepNext/>
      </w:pPr>
      <w:r>
        <w:rPr>
          <w:b/>
        </w:rPr>
        <w:t xml:space="preserve">C3  </w:t>
      </w:r>
      <w:hyperlink r:id="rId12">
        <w:r>
          <w:rPr>
            <w:color w:val="145A83"/>
          </w:rPr>
          <w:t>Boldin pricing and features</w:t>
        </w:r>
      </w:hyperlink>
    </w:p>
    <w:p>
      <w:pPr>
        <w:spacing w:after="200"/>
      </w:pPr>
      <w:r>
        <w:t>PlannerPlus at $144 annually, linked accounts, and side-by-side scenarios.</w:t>
      </w:r>
    </w:p>
    <w:p>
      <w:pPr>
        <w:keepNext/>
      </w:pPr>
      <w:r>
        <w:rPr>
          <w:b/>
        </w:rPr>
        <w:t xml:space="preserve">C4  </w:t>
      </w:r>
      <w:hyperlink r:id="rId13">
        <w:r>
          <w:rPr>
            <w:color w:val="145A83"/>
          </w:rPr>
          <w:t>Plaid Investments API</w:t>
        </w:r>
      </w:hyperlink>
    </w:p>
    <w:p>
      <w:pPr>
        <w:spacing w:after="200"/>
      </w:pPr>
      <w:r>
        <w:t>Holdings, investment transactions, refresh endpoints, and update events.</w:t>
      </w:r>
    </w:p>
    <w:p>
      <w:pPr>
        <w:keepNext/>
      </w:pPr>
      <w:r>
        <w:rPr>
          <w:b/>
        </w:rPr>
        <w:t xml:space="preserve">C5  </w:t>
      </w:r>
      <w:hyperlink r:id="rId14">
        <w:r>
          <w:rPr>
            <w:color w:val="145A83"/>
          </w:rPr>
          <w:t>IRS retirement limits for 2026</w:t>
        </w:r>
      </w:hyperlink>
    </w:p>
    <w:p>
      <w:pPr>
        <w:spacing w:after="200"/>
      </w:pPr>
      <w:r>
        <w:t>Annual limits and eligibility distinctions for supported tax-year rules.</w:t>
      </w:r>
    </w:p>
    <w:p>
      <w:pPr>
        <w:keepNext/>
      </w:pPr>
      <w:r>
        <w:rPr>
          <w:b/>
        </w:rPr>
        <w:t xml:space="preserve">C6  </w:t>
      </w:r>
      <w:hyperlink r:id="rId15">
        <w:r>
          <w:rPr>
            <w:color w:val="145A83"/>
          </w:rPr>
          <w:t>IRS elective deferral and contribution limits</w:t>
        </w:r>
      </w:hyperlink>
    </w:p>
    <w:p>
      <w:pPr>
        <w:spacing w:after="200"/>
      </w:pPr>
      <w:r>
        <w:t>Employee deferrals, employer contributions, and aggregation across plans.</w:t>
      </w:r>
    </w:p>
    <w:p>
      <w:pPr>
        <w:keepNext/>
      </w:pPr>
      <w:r>
        <w:rPr>
          <w:b/>
        </w:rPr>
        <w:t xml:space="preserve">C7  </w:t>
      </w:r>
      <w:hyperlink r:id="rId16">
        <w:r>
          <w:rPr>
            <w:color w:val="145A83"/>
          </w:rPr>
          <w:t>SEC Staff Legal Bulletin 11</w:t>
        </w:r>
      </w:hyperlink>
    </w:p>
    <w:p>
      <w:pPr>
        <w:spacing w:after="200"/>
      </w:pPr>
      <w:r>
        <w:t>Investment adviser definition; securities advice, compensation, and business activity.</w:t>
      </w:r>
    </w:p>
    <w:p>
      <w:pPr>
        <w:pStyle w:val="Heading2"/>
      </w:pPr>
      <w:r>
        <w:rPr>
          <w:color w:val="000000"/>
        </w:rPr>
        <w:t xml:space="preserve">Concept research</w:t>
      </w:r>
    </w:p>
    <w:p>
      <w:r>
        <w:t xml:space="preserve">The original case study supplied illustrative personas, unvalidated market and behavior estimates, pricing assumptions, and targets. This PRD adds vendor and regulatory references and proposed tests.</w:t>
      </w:r>
    </w:p>
    <w:sectPr>
      <w:headerReference w:type="default" r:id="rId7"/>
      <w:footerReference w:type="default" r:id="rId8"/>
      <w:pgSz w:w="12240" w:h="15840" w:orient="portrait"/>
      <w:pgMar w:top="1080" w:right="1584" w:bottom="108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spacing w:after="0" w:before="8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2"/>
      </w:pBdr>
      <w:spacing w:after="8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pPr>
      <w:keepNext/>
      <w:spacing w:before="0" w:after="140" w:line="269" w:lineRule="auto"/>
    </w:pPr>
    <w:rPr>
      <w:rFonts w:ascii="Arial" w:hAnsi="Arial"/>
      <w:b/>
      <w:color w:val="000000"/>
      <w:sz w:val="52"/>
      <w:szCs w:val="56"/>
    </w:rPr>
  </w:style>
  <w:style w:type="paragraph" w:styleId="Heading1">
    <w:name w:val="Heading 1"/>
    <w:basedOn w:val="Normal"/>
    <w:next w:val="Normal"/>
    <w:qFormat/>
    <w:pPr>
      <w:keepNext/>
      <w:spacing w:before="180" w:after="140" w:line="269" w:lineRule="auto"/>
    </w:pPr>
    <w:rPr>
      <w:rFonts w:ascii="Arial" w:hAnsi="Arial"/>
      <w:b/>
      <w:color w:val="000000"/>
      <w:sz w:val="34"/>
      <w:szCs w:val="32"/>
    </w:rPr>
  </w:style>
  <w:style w:type="paragraph" w:styleId="Heading2">
    <w:name w:val="Heading 2"/>
    <w:basedOn w:val="Normal"/>
    <w:next w:val="Normal"/>
    <w:qFormat/>
    <w:pPr>
      <w:keepNext/>
      <w:spacing w:before="180" w:after="140" w:line="269" w:lineRule="auto"/>
    </w:pPr>
    <w:rPr>
      <w:rFonts w:ascii="Arial" w:hAnsi="Arial"/>
      <w:b/>
      <w:color w:val="000000"/>
      <w:sz w:val="23"/>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 w:type="paragraph" w:customStyle="1" w:styleId="Normal">
    <w:name w:val="Normal"/>
    <w:pPr>
      <w:spacing w:before="0" w:after="140" w:line="269" w:lineRule="auto"/>
    </w:pPr>
    <w:rPr>
      <w:rFonts w:ascii="Arial" w:hAnsi="Arial"/>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empower.com/tools/retirement-planner" TargetMode="External"/><Relationship Id="rId11" Type="http://schemas.openxmlformats.org/officeDocument/2006/relationships/hyperlink" Target="https://www.empower.com/tools/link-accounts" TargetMode="External"/><Relationship Id="rId12" Type="http://schemas.openxmlformats.org/officeDocument/2006/relationships/hyperlink" Target="https://www.boldin.com/retirement/pricing/" TargetMode="External"/><Relationship Id="rId13" Type="http://schemas.openxmlformats.org/officeDocument/2006/relationships/hyperlink" Target="https://plaid.com/docs/api/products/investments/" TargetMode="External"/><Relationship Id="rId14" Type="http://schemas.openxmlformats.org/officeDocument/2006/relationships/hyperlink" Target="https://www.irs.gov/newsroom/401k-limit-increases-to-24500-for-2026-ira-limit-increases-to-7500" TargetMode="External"/><Relationship Id="rId15" Type="http://schemas.openxmlformats.org/officeDocument/2006/relationships/hyperlink" Target="https://www.irs.gov/retirement-plans/plan-participant-employee/retirement-topics-401k-and-profit-sharing-plan-contribution-limits" TargetMode="External"/><Relationship Id="rId16" Type="http://schemas.openxmlformats.org/officeDocument/2006/relationships/hyperlink" Target="https://www.sec.gov/interps/legal/slbim11.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Gudipaati</dc:creator>
  <cp:lastModifiedBy>Un-named</cp:lastModifiedBy>
  <cp:revision>1</cp:revision>
  <dcterms:created xsi:type="dcterms:W3CDTF">2026-05-24T23:35:17.539Z</dcterms:created>
  <dcterms:modified xsi:type="dcterms:W3CDTF">2026-05-24T23:35:17.556Z</dcterms:modified>
  <dc:title>CapStack Product Requirements Document</dc:title>
  <dc:subject>Cross account scenario planning for active retail investors</dc:subject>
</cp:coreProperties>
</file>

<file path=docProps/custom.xml><?xml version="1.0" encoding="utf-8"?>
<Properties xmlns="http://schemas.openxmlformats.org/officeDocument/2006/custom-properties" xmlns:vt="http://schemas.openxmlformats.org/officeDocument/2006/docPropsVTypes"/>
</file>