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000000"/>
        </w:rPr>
        <w:t>CapStack Product Requirements Document</w:t>
      </w:r>
    </w:p>
    <w:p>
      <w:r>
        <w:t>Cross account scenario planning for active retail investors</w:t>
      </w:r>
    </w:p>
    <w:p>
      <w:pPr>
        <w:spacing w:after="280"/>
      </w:pPr>
      <w:r>
        <w:t>Anish Gudipaati  |  Version 2  |  September 2026</w:t>
      </w:r>
    </w:p>
    <w:p>
      <w:pPr>
        <w:pStyle w:val="Heading1"/>
      </w:pPr>
      <w:r>
        <w:rPr>
          <w:color w:val="000000"/>
        </w:rPr>
        <w:t>Product decision and opportunity</w:t>
      </w:r>
    </w:p>
    <w:p>
      <w:r>
        <w:t>CapStack is a proposed mobile-first tool for comparing allocation decisions across existing retirement, brokerage, and savings accounts. I would focus the first release on one recurring question: how do two ways of allocating the same new contribution change a user’s goal trajectory, liquidity, and contribution capacity? The output should make assumptions visible and leave the decision with the user.</w:t>
      </w:r>
    </w:p>
    <w:p>
      <w:r>
        <w:t>The original concept combines account aggregation, scenario modeling, contribution limits, and goals. The stronger initial product is a complete comparison loop: enter or connect accounts, verify inputs, create two alternatives, compare the consequences, and save the reasoning. A portfolio dashboard supports that loop; it is not the product’s central outcome.</w:t>
      </w:r>
    </w:p>
    <w:p>
      <w:pPr>
        <w:pStyle w:val="Heading2"/>
      </w:pPr>
      <w:r>
        <w:rPr>
          <w:color w:val="000000"/>
        </w:rPr>
        <w:t>Competitive research changes the thesis</w:t>
      </w:r>
    </w:p>
    <w:p>
      <w:r>
        <w:t>Empower already supports retirement scenarios and linked accounts. Boldin offers linked accounts, tax projections, and side-by-side scenarios, with PlannerPlus listed at $144 per year. Cross-account planning therefore exists. CapStack must earn adoption through a narrower accumulation-stage use case and a faster, clearer decision experience. [C1–C3]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056"/>
      </w:tblGrid>
      <w:tr>
        <w:trPr>
          <w:cantSplit/>
          <w:tblHeader/>
        </w:trPr>
        <w:tc>
          <w:tcPr>
            <w:tcW w:type="dxa" w:w="201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Product decision</w:t>
            </w:r>
          </w:p>
        </w:tc>
        <w:tc>
          <w:tcPr>
            <w:tcW w:type="dxa" w:w="705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Reason</w:t>
            </w:r>
          </w:p>
        </w:tc>
      </w:tr>
      <w:tr>
        <w:trPr>
          <w:cantSplit/>
        </w:trPr>
        <w:tc>
          <w:tcPr>
            <w:tcW w:type="dxa" w:w="201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Initial customer</w:t>
            </w:r>
          </w:p>
        </w:tc>
        <w:tc>
          <w:tcPr>
            <w:tcW w:type="dxa" w:w="70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An active US investor aged roughly 22–35 with several account types and a specific contribution or goal decision.</w:t>
            </w:r>
          </w:p>
        </w:tc>
      </w:tr>
      <w:tr>
        <w:trPr>
          <w:cantSplit/>
        </w:trPr>
        <w:tc>
          <w:tcPr>
            <w:tcW w:type="dxa" w:w="201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Primary task</w:t>
            </w:r>
          </w:p>
        </w:tc>
        <w:tc>
          <w:tcPr>
            <w:tcW w:type="dxa" w:w="70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Compare two allocations of the same contribution under a common set of assumptions.</w:t>
            </w:r>
          </w:p>
        </w:tc>
      </w:tr>
      <w:tr>
        <w:trPr>
          <w:cantSplit/>
        </w:trPr>
        <w:tc>
          <w:tcPr>
            <w:tcW w:type="dxa" w:w="201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Initial release</w:t>
            </w:r>
          </w:p>
        </w:tc>
        <w:tc>
          <w:tcPr>
            <w:tcW w:type="dxa" w:w="70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Mobile-first comparison, manual and linked inputs, transparent calculations, contribution checks, and saved scenarios.</w:t>
            </w:r>
          </w:p>
        </w:tc>
      </w:tr>
      <w:tr>
        <w:trPr>
          <w:cantSplit/>
        </w:trPr>
        <w:tc>
          <w:tcPr>
            <w:tcW w:type="dxa" w:w="201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Commercial test</w:t>
            </w:r>
          </w:p>
        </w:tc>
        <w:tc>
          <w:tcPr>
            <w:tcW w:type="dxa" w:w="70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Whether a user pays $12 monthly or $99 annually for recurring decisions after experiencing the full comparison flow.</w:t>
            </w:r>
          </w:p>
        </w:tc>
      </w:tr>
    </w:tbl>
    <w:p>
      <w:pPr>
        <w:spacing w:after="0"/>
      </w:pPr>
    </w:p>
    <w:p>
      <w:r>
        <w:t>Stage: product case study and proposed PRD. Pricing, adoption, conversion, and retention figures are proposed or original research inputs where labeled; no launched user cohort is implied.</w:t>
      </w:r>
    </w:p>
    <w:p>
      <w:r>
        <w:br w:type="page"/>
      </w:r>
    </w:p>
    <w:p>
      <w:pPr>
        <w:pStyle w:val="Heading1"/>
      </w:pPr>
      <w:r>
        <w:rPr>
          <w:color w:val="000000"/>
        </w:rPr>
        <w:t>Discovery and decision moments</w:t>
      </w:r>
    </w:p>
    <w:p>
      <w:r>
        <w:t>The discovery research reports 52M target investors, 3.4 accounts per investor, 67% using spreadsheets, and 76% willingness to pay. These findings motivate a cross-account planning product. The initial commercial test focuses on reachable users with an imminent decision; the broad market estimate and stated willingness to pay remain separate from observed customer acquisition and paid conversion.</w:t>
      </w:r>
    </w:p>
    <w:p>
      <w:pPr>
        <w:pStyle w:val="Heading2"/>
      </w:pPr>
      <w:r>
        <w:rPr>
          <w:color w:val="000000"/>
        </w:rPr>
        <w:t>Primary and secondary users</w:t>
      </w:r>
    </w:p>
    <w:p>
      <w:r>
        <w:t>Marcus, the original illustrative primary persona, is a 28-year-old software engineer with a workplace retirement plan, Roth IRA, taxable brokerage, and high-yield savings account. A bonus or compensation change creates an immediate decision. His job is to compare uses of incremental money without rebuilding a spreadsheet. The critical constraint is that payroll contributions, liquid cash, and account balances are not interchangeable.</w:t>
      </w:r>
    </w:p>
    <w:p>
      <w:r>
        <w:t>Priya, the original goal-oriented persona, wants a down payment within four years. Her useful comparison is the accessible balance at that date, not the largest total balance across retirement and taxable accounts. A user with one passive workplace account and no active planning question remains outside the initial segment.</w:t>
      </w:r>
    </w:p>
    <w:p>
      <w:pPr>
        <w:pStyle w:val="Heading2"/>
      </w:pPr>
      <w:r>
        <w:rPr>
          <w:color w:val="000000"/>
        </w:rPr>
        <w:t>Validation plan</w:t>
      </w:r>
    </w:p>
    <w:p>
      <w:pPr>
        <w:ind w:left="187" w:hanging="187"/>
      </w:pPr>
      <w:r>
        <w:rPr>
          <w:b/>
        </w:rPr>
        <w:t xml:space="preserve">• </w:t>
      </w:r>
      <w:r>
        <w:t>Recruit 12–15 target users with an actual decision due within 60 days. Include manual spreadsheet users, current planning-tool users, and people unwilling to link accounts.</w:t>
      </w:r>
    </w:p>
    <w:p>
      <w:pPr>
        <w:ind w:left="187" w:hanging="187"/>
      </w:pPr>
      <w:r>
        <w:rPr>
          <w:b/>
        </w:rPr>
        <w:t xml:space="preserve">• </w:t>
      </w:r>
      <w:r>
        <w:t>Ask each participant to explain a recent allocation decision and demonstrate the existing workflow. Record account types, unknown inputs, time spent, and whether the decision was actually made.</w:t>
      </w:r>
    </w:p>
    <w:p>
      <w:pPr>
        <w:ind w:left="187" w:hanging="187"/>
      </w:pPr>
      <w:r>
        <w:rPr>
          <w:b/>
        </w:rPr>
        <w:t xml:space="preserve">• </w:t>
      </w:r>
      <w:r>
        <w:t>Test the same decision in a prototype and the current tool. Measure completion and comprehension, not whether participants like the interface.</w:t>
      </w:r>
    </w:p>
    <w:p>
      <w:pPr>
        <w:ind w:left="187" w:hanging="187"/>
      </w:pPr>
      <w:r>
        <w:rPr>
          <w:b/>
        </w:rPr>
        <w:t xml:space="preserve">• </w:t>
      </w:r>
      <w:r>
        <w:t>Offer a paid continuation after a successful comparison. Distinguish willingness to try, stated willingness to pay, and an actual purchase.</w:t>
      </w:r>
    </w:p>
    <w:p>
      <w:r>
        <w:t>The most important discovery question is whether the task recurs often enough to sustain a subscription. Track bonus, payroll-change, tax-year, and goal-review moments separately. Three scenario runs can represent either value or repeated confusion; the research must distinguish them.</w:t>
      </w:r>
    </w:p>
    <w:p>
      <w:r>
        <w:br w:type="page"/>
      </w:r>
    </w:p>
    <w:p>
      <w:pPr>
        <w:pStyle w:val="Heading1"/>
      </w:pPr>
      <w:r>
        <w:rPr>
          <w:color w:val="000000"/>
        </w:rPr>
        <w:t>Experience and scenario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104"/>
        <w:gridCol w:w="3384"/>
      </w:tblGrid>
      <w:tr>
        <w:trPr>
          <w:cantSplit/>
          <w:tblHeader/>
        </w:trPr>
        <w:tc>
          <w:tcPr>
            <w:tcW w:type="dxa" w:w="158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Step</w:t>
            </w:r>
          </w:p>
        </w:tc>
        <w:tc>
          <w:tcPr>
            <w:tcW w:type="dxa" w:w="410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Required input or output</w:t>
            </w:r>
          </w:p>
        </w:tc>
        <w:tc>
          <w:tcPr>
            <w:tcW w:type="dxa" w:w="338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Failure behavior</w:t>
            </w:r>
          </w:p>
        </w:tc>
      </w:tr>
      <w:tr>
        <w:trPr>
          <w:cantSplit/>
        </w:trPr>
        <w:tc>
          <w:tcPr>
            <w:tcW w:type="dxa" w:w="15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Build the account set</w:t>
            </w:r>
          </w:p>
        </w:tc>
        <w:tc>
          <w:tcPr>
            <w:tcW w:type="dxa" w:w="410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Account type, balance, source, timestamp, contribution history, and user confirmation.</w:t>
            </w:r>
          </w:p>
        </w:tc>
        <w:tc>
          <w:tcPr>
            <w:tcW w:type="dxa" w:w="33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Manual entry remains fully usable if linking fails.</w:t>
            </w:r>
          </w:p>
        </w:tc>
      </w:tr>
      <w:tr>
        <w:trPr>
          <w:cantSplit/>
        </w:trPr>
        <w:tc>
          <w:tcPr>
            <w:tcW w:type="dxa" w:w="15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Define the decision</w:t>
            </w:r>
          </w:p>
        </w:tc>
        <w:tc>
          <w:tcPr>
            <w:tcW w:type="dxa" w:w="410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Available cash or payroll deferral change, horizon, goal, and comparison alternatives.</w:t>
            </w:r>
          </w:p>
        </w:tc>
        <w:tc>
          <w:tcPr>
            <w:tcW w:type="dxa" w:w="33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Do not treat a cash bonus as a direct 401(k) deposit.</w:t>
            </w:r>
          </w:p>
        </w:tc>
      </w:tr>
      <w:tr>
        <w:trPr>
          <w:cantSplit/>
        </w:trPr>
        <w:tc>
          <w:tcPr>
            <w:tcW w:type="dxa" w:w="15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 assumptions</w:t>
            </w:r>
          </w:p>
        </w:tc>
        <w:tc>
          <w:tcPr>
            <w:tcW w:type="dxa" w:w="410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Returns, inflation, fees, contribution timing, and supported tax rules.</w:t>
            </w:r>
          </w:p>
        </w:tc>
        <w:tc>
          <w:tcPr>
            <w:tcW w:type="dxa" w:w="33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Highlight missing eligibility or contribution history before calculation.</w:t>
            </w:r>
          </w:p>
        </w:tc>
      </w:tr>
      <w:tr>
        <w:trPr>
          <w:cantSplit/>
        </w:trPr>
        <w:tc>
          <w:tcPr>
            <w:tcW w:type="dxa" w:w="15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Compare A and B</w:t>
            </w:r>
          </w:p>
        </w:tc>
        <w:tc>
          <w:tcPr>
            <w:tcW w:type="dxa" w:w="410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Same horizon and contribution budget; account balances, accessible funds, and assumptions shown together.</w:t>
            </w:r>
          </w:p>
        </w:tc>
        <w:tc>
          <w:tcPr>
            <w:tcW w:type="dxa" w:w="33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Flag incomparable cash-flow assumptions instead of declaring a winner.</w:t>
            </w:r>
          </w:p>
        </w:tc>
      </w:tr>
      <w:tr>
        <w:trPr>
          <w:cantSplit/>
        </w:trPr>
        <w:tc>
          <w:tcPr>
            <w:tcW w:type="dxa" w:w="15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Save and revisit</w:t>
            </w:r>
          </w:p>
        </w:tc>
        <w:tc>
          <w:tcPr>
            <w:tcW w:type="dxa" w:w="410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Input snapshot, rule version, calculation version, and a user-written decision note.</w:t>
            </w:r>
          </w:p>
        </w:tc>
        <w:tc>
          <w:tcPr>
            <w:tcW w:type="dxa" w:w="33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 refresh creates a new run; it does not silently rewrite a saved scenario.</w:t>
            </w:r>
          </w:p>
        </w:tc>
      </w:tr>
    </w:tbl>
    <w:p>
      <w:pPr>
        <w:spacing w:after="0"/>
      </w:pPr>
    </w:p>
    <w:p>
      <w:pPr>
        <w:pStyle w:val="Heading2"/>
      </w:pPr>
      <w:r>
        <w:rPr>
          <w:color w:val="000000"/>
        </w:rPr>
        <w:t>Illustrative interaction</w:t>
      </w:r>
    </w:p>
    <w:p>
      <w:r>
        <w:t>Marcus chooses “compare a $500 monthly contribution.” Scenario A directs it to a supported retirement account; scenario B splits it between retirement and savings. CapStack presents the total modeled balance, money accessible at the goal date, and contribution-capacity warnings under identical assumptions. It explains which differences come from return assumptions and which come from account treatment. It does not call one allocation universally optimal.</w:t>
      </w:r>
    </w:p>
    <w:p>
      <w:pPr>
        <w:pStyle w:val="Heading2"/>
      </w:pPr>
      <w:r>
        <w:rPr>
          <w:color w:val="000000"/>
        </w:rPr>
        <w:t>Trust requirements</w:t>
      </w:r>
    </w:p>
    <w:p>
      <w:pPr>
        <w:ind w:left="187" w:hanging="187"/>
      </w:pPr>
      <w:r>
        <w:rPr>
          <w:b/>
        </w:rPr>
        <w:t xml:space="preserve">• </w:t>
      </w:r>
      <w:r>
        <w:t>Display the data timestamp at account level. A stale balance must never appear as a live value.</w:t>
      </w:r>
    </w:p>
    <w:p>
      <w:pPr>
        <w:ind w:left="187" w:hanging="187"/>
      </w:pPr>
      <w:r>
        <w:rPr>
          <w:b/>
        </w:rPr>
        <w:t xml:space="preserve">• </w:t>
      </w:r>
      <w:r>
        <w:t>Use nominal dollars by default with an explicit today’s-dollars toggle; label both the chart and exported summary consistently.</w:t>
      </w:r>
    </w:p>
    <w:p>
      <w:pPr>
        <w:ind w:left="187" w:hanging="187"/>
      </w:pPr>
      <w:r>
        <w:rPr>
          <w:b/>
        </w:rPr>
        <w:t xml:space="preserve">• </w:t>
      </w:r>
      <w:r>
        <w:t>Keep assumptions visible beside the result. A precise dollar output is not a guarantee of a precise future outcome.</w:t>
      </w:r>
    </w:p>
    <w:p>
      <w:pPr>
        <w:ind w:left="187" w:hanging="187"/>
      </w:pPr>
      <w:r>
        <w:rPr>
          <w:b/>
        </w:rPr>
        <w:t xml:space="preserve">• </w:t>
      </w:r>
      <w:r>
        <w:t>Unknown contribution history is “unknown,” not zero. Unsupported account or tax situations remain visible and are excluded from affected conclusions.</w:t>
      </w:r>
    </w:p>
    <w:p>
      <w:r>
        <w:t>The first-use sequence ends in a side-by-side comparison. Moving comparison to a later phase would postpone the core value the user was promised.</w:t>
      </w:r>
    </w:p>
    <w:p>
      <w:r>
        <w:br w:type="page"/>
      </w:r>
    </w:p>
    <w:p>
      <w:pPr>
        <w:pStyle w:val="Heading1"/>
      </w:pPr>
      <w:r>
        <w:rPr>
          <w:color w:val="000000"/>
        </w:rPr>
        <w:t>Requirements and release priorities</w:t>
      </w:r>
    </w:p>
    <w:p>
      <w:pPr>
        <w:pStyle w:val="Heading2"/>
      </w:pPr>
      <w:r>
        <w:rPr>
          <w:color w:val="000000"/>
        </w:rPr>
        <w:t>P0 Complete the comparison loop</w:t>
      </w:r>
    </w:p>
    <w:p>
      <w:r>
        <w:t>CS01 Account setup: Given manual or connected accounts, the user can confirm type, currency, balance date, and duplicates before creating a scenario. A manually entered version of an already connected account triggers a merge review rather than double-counting assets.</w:t>
      </w:r>
    </w:p>
    <w:p>
      <w:r>
        <w:t>CS02 Calculation: Given the same input snapshot and calculation version, repeated runs return the same result to the cent. All alternatives use the same return, fee, inflation, and timing conventions unless the user explicitly changes them. Empty inputs, negative horizons, contributions above available cash, and unsupported currencies produce field-specific errors.</w:t>
      </w:r>
    </w:p>
    <w:p>
      <w:r>
        <w:t>CS03 Comparison: The user can save and compare two scenarios with a common horizon and budget. Outputs distinguish contributed principal from modeled growth and accessible balances from retirement balances. Changes to assumptions are called out next to the affected results.</w:t>
      </w:r>
    </w:p>
    <w:p>
      <w:r>
        <w:t>CS04 Contribution checks: The application stores tax year, account classification, confirmed year-to-date contributions, employer-plan information, and relevant eligibility inputs. It aggregates applicable limits across supported account groups. Unconfirmed eligibility blocks a “within limit” conclusion. Annual rule updates require review and regression tests. [C5, C6]</w:t>
      </w:r>
    </w:p>
    <w:p>
      <w:r>
        <w:t>CS05 Save and export: A saved scenario contains the input snapshot, model and rule versions, run timestamp, and exclusions. A shareable image or export excludes institution credentials and account identifiers by default. Deleting an account explains which saved scenarios retain a historical snapshot and offers deletion of those snapshots.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3384"/>
        <w:gridCol w:w="4752"/>
      </w:tblGrid>
      <w:tr>
        <w:trPr>
          <w:cantSplit/>
          <w:tblHeader/>
        </w:trPr>
        <w:tc>
          <w:tcPr>
            <w:tcW w:type="dxa" w:w="93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Priority</w:t>
            </w:r>
          </w:p>
        </w:tc>
        <w:tc>
          <w:tcPr>
            <w:tcW w:type="dxa" w:w="338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Capability</w:t>
            </w:r>
          </w:p>
        </w:tc>
        <w:tc>
          <w:tcPr>
            <w:tcW w:type="dxa" w:w="475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Decision</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P0</w:t>
            </w:r>
          </w:p>
        </w:tc>
        <w:tc>
          <w:tcPr>
            <w:tcW w:type="dxa" w:w="33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Manual entry and comparison</w:t>
            </w:r>
          </w:p>
        </w:tc>
        <w:tc>
          <w:tcPr>
            <w:tcW w:type="dxa" w:w="47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Necessary to test the core loop without waiting for all provider coverage.</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P0</w:t>
            </w:r>
          </w:p>
        </w:tc>
        <w:tc>
          <w:tcPr>
            <w:tcW w:type="dxa" w:w="33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Supported read-only aggregation</w:t>
            </w:r>
          </w:p>
        </w:tc>
        <w:tc>
          <w:tcPr>
            <w:tcW w:type="dxa" w:w="47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Eligible providers only; coverage verified before being advertised.</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P1</w:t>
            </w:r>
          </w:p>
        </w:tc>
        <w:tc>
          <w:tcPr>
            <w:tcW w:type="dxa" w:w="33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Goal milestones and richer comparison history</w:t>
            </w:r>
          </w:p>
        </w:tc>
        <w:tc>
          <w:tcPr>
            <w:tcW w:type="dxa" w:w="47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Add after baseline comprehension and accuracy gates.</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P2</w:t>
            </w:r>
          </w:p>
        </w:tc>
        <w:tc>
          <w:tcPr>
            <w:tcW w:type="dxa" w:w="33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Personalized allocation ranking and detailed tax optimization</w:t>
            </w:r>
          </w:p>
        </w:tc>
        <w:tc>
          <w:tcPr>
            <w:tcW w:type="dxa" w:w="47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Require separate product, modeling, and legal review.</w:t>
            </w:r>
          </w:p>
        </w:tc>
      </w:tr>
    </w:tbl>
    <w:p>
      <w:pPr>
        <w:spacing w:after="0"/>
      </w:pPr>
    </w:p>
    <w:p>
      <w:r>
        <w:br w:type="page"/>
      </w:r>
    </w:p>
    <w:p>
      <w:pPr>
        <w:pStyle w:val="Heading1"/>
      </w:pPr>
      <w:r>
        <w:rPr>
          <w:color w:val="000000"/>
        </w:rPr>
        <w:t>Projection model and numerical validation</w:t>
      </w:r>
    </w:p>
    <w:p>
      <w:r>
        <w:t>Use a deterministic monthly projection for the initial release. For each account, the next balance equals the current balance multiplied by one plus the monthly growth rate, plus the end-of-month contribution, less explicitly modeled withdrawals or fees. The monthly rate is derived from the selected annual effective rate. All calculations use a consistent rounding policy; display rounding must not change internal balances.</w:t>
      </w:r>
    </w:p>
    <w:p>
      <w:pPr>
        <w:pStyle w:val="Heading2"/>
      </w:pPr>
      <w:r>
        <w:rPr>
          <w:color w:val="000000"/>
        </w:rPr>
        <w:t>Model boundaries</w:t>
      </w:r>
    </w:p>
    <w:p>
      <w:pPr>
        <w:ind w:left="187" w:hanging="187"/>
      </w:pPr>
      <w:r>
        <w:rPr>
          <w:b/>
        </w:rPr>
        <w:t xml:space="preserve">• </w:t>
      </w:r>
      <w:r>
        <w:t>The original 7% real-return assumption remains a selectable scenario input rather than an unlabeled expected outcome. Show sensitivity to lower returns and clearly separate nominal and real assumptions.</w:t>
      </w:r>
    </w:p>
    <w:p>
      <w:pPr>
        <w:ind w:left="187" w:hanging="187"/>
      </w:pPr>
      <w:r>
        <w:rPr>
          <w:b/>
        </w:rPr>
        <w:t xml:space="preserve">• </w:t>
      </w:r>
      <w:r>
        <w:t>Tax-free, tax-deferred, and taxable are account classifications, not a complete tax model. Show pretax balances in V1 and clearly label exclusions. Do not imply after-tax superiority without modeling taxes.</w:t>
      </w:r>
    </w:p>
    <w:p>
      <w:pPr>
        <w:ind w:left="187" w:hanging="187"/>
      </w:pPr>
      <w:r>
        <w:rPr>
          <w:b/>
        </w:rPr>
        <w:t xml:space="preserve">• </w:t>
      </w:r>
      <w:r>
        <w:t>Contribution timing is monthly and at period end in the initial model. Payroll deferrals and employer matches require explicit schedule and plan assumptions.</w:t>
      </w:r>
    </w:p>
    <w:p>
      <w:pPr>
        <w:ind w:left="187" w:hanging="187"/>
      </w:pPr>
      <w:r>
        <w:rPr>
          <w:b/>
        </w:rPr>
        <w:t xml:space="preserve">• </w:t>
      </w:r>
      <w:r>
        <w:t>A brokerage-to-IRA transfer may be a new contribution; a rollover is a different event. Do not infer tax treatment from a balance movement. Unsupported events are excluded from capacity calculations.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6984"/>
      </w:tblGrid>
      <w:tr>
        <w:trPr>
          <w:cantSplit/>
          <w:tblHeader/>
        </w:trPr>
        <w:tc>
          <w:tcPr>
            <w:tcW w:type="dxa" w:w="208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Test case</w:t>
            </w:r>
          </w:p>
        </w:tc>
        <w:tc>
          <w:tcPr>
            <w:tcW w:type="dxa" w:w="698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Expected result or invariant</w:t>
            </w:r>
          </w:p>
        </w:tc>
      </w:tr>
      <w:tr>
        <w:trPr>
          <w:cantSplit/>
        </w:trPr>
        <w:tc>
          <w:tcPr>
            <w:tcW w:type="dxa" w:w="20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Zero return</w:t>
            </w:r>
          </w:p>
        </w:tc>
        <w:tc>
          <w:tcPr>
            <w:tcW w:type="dxa" w:w="69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Start $10,000 plus 12 end-of-month deposits of $500 produces $16,000 before fees or withdrawals.</w:t>
            </w:r>
          </w:p>
        </w:tc>
      </w:tr>
      <w:tr>
        <w:trPr>
          <w:cantSplit/>
        </w:trPr>
        <w:tc>
          <w:tcPr>
            <w:tcW w:type="dxa" w:w="20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One-year growth</w:t>
            </w:r>
          </w:p>
        </w:tc>
        <w:tc>
          <w:tcPr>
            <w:tcW w:type="dxa" w:w="69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Start $10,000, no deposits, 6% annual effective return produces $10,600 after 12 months.</w:t>
            </w:r>
          </w:p>
        </w:tc>
      </w:tr>
      <w:tr>
        <w:trPr>
          <w:cantSplit/>
        </w:trPr>
        <w:tc>
          <w:tcPr>
            <w:tcW w:type="dxa" w:w="20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Scenario equivalence</w:t>
            </w:r>
          </w:p>
        </w:tc>
        <w:tc>
          <w:tcPr>
            <w:tcW w:type="dxa" w:w="69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Identical inputs and equal rates across accounts preserve the same total projected value.</w:t>
            </w:r>
          </w:p>
        </w:tc>
      </w:tr>
      <w:tr>
        <w:trPr>
          <w:cantSplit/>
        </w:trPr>
        <w:tc>
          <w:tcPr>
            <w:tcW w:type="dxa" w:w="20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Budget conservation</w:t>
            </w:r>
          </w:p>
        </w:tc>
        <w:tc>
          <w:tcPr>
            <w:tcW w:type="dxa" w:w="69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Allocated contributions plus unallocated cash equal the stated available budget.</w:t>
            </w:r>
          </w:p>
        </w:tc>
      </w:tr>
      <w:tr>
        <w:trPr>
          <w:cantSplit/>
        </w:trPr>
        <w:tc>
          <w:tcPr>
            <w:tcW w:type="dxa" w:w="20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Historical reproducibility</w:t>
            </w:r>
          </w:p>
        </w:tc>
        <w:tc>
          <w:tcPr>
            <w:tcW w:type="dxa" w:w="69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 saved scenario uses its saved rules and inputs, even after current tax rules change.</w:t>
            </w:r>
          </w:p>
        </w:tc>
      </w:tr>
    </w:tbl>
    <w:p>
      <w:pPr>
        <w:spacing w:after="0"/>
      </w:pPr>
    </w:p>
    <w:p>
      <w:r>
        <w:t>Compare boundary cases with independently calculated reference outputs before any user pilot. Test zero and negative returns, zero horizon, leap-year dates, missing values, rule-year changes, rounding, duplicate accounts, and contributions at exactly the limit. Goal dates must use accessible balances where accessibility is part of the user’s question.</w:t>
      </w:r>
    </w:p>
    <w:p>
      <w:r>
        <w:t>Monte Carlo simulation, tax-loss harvesting, security selection, and a single opaque “tax efficiency score” are deferred. Those features would add apparent precision before the simpler model is understood and validated.</w:t>
      </w:r>
    </w:p>
    <w:p>
      <w:r>
        <w:br w:type="page"/>
      </w:r>
    </w:p>
    <w:p>
      <w:pPr>
        <w:pStyle w:val="Heading1"/>
      </w:pPr>
      <w:r>
        <w:rPr>
          <w:color w:val="000000"/>
        </w:rPr>
        <w:t>Data integration and product boundaries</w:t>
      </w:r>
    </w:p>
    <w:p>
      <w:r>
        <w:t>Proposed flow: user-authorized account data → normalized account snapshot → explicit user confirmation → versioned calculation engine → comparison and saved scenario. Keep the projection engine independent of the account-linking provider so the same model works for manual and linked inputs.</w:t>
      </w:r>
    </w:p>
    <w:p>
      <w:r>
        <w:t>Plaid exposes holdings, investment transactions, refresh operations, and update events. These are building blocks rather than proof of complete coverage or a complete tax-year contribution ledger. Validate the data contract and freshness for each supported provider. Maintain a coverage matrix with account types, known gaps, refresh behavior, and manual correction paths. [C4]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6912"/>
      </w:tblGrid>
      <w:tr>
        <w:trPr>
          <w:cantSplit/>
          <w:tblHeader/>
        </w:trPr>
        <w:tc>
          <w:tcPr>
            <w:tcW w:type="dxa" w:w="216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Failure mode</w:t>
            </w:r>
          </w:p>
        </w:tc>
        <w:tc>
          <w:tcPr>
            <w:tcW w:type="dxa" w:w="691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Required behavior</w:t>
            </w:r>
          </w:p>
        </w:tc>
      </w:tr>
      <w:tr>
        <w:trPr>
          <w:cantSplit/>
        </w:trPr>
        <w:tc>
          <w:tcPr>
            <w:tcW w:type="dxa" w:w="216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Expired authorization</w:t>
            </w:r>
          </w:p>
        </w:tc>
        <w:tc>
          <w:tcPr>
            <w:tcW w:type="dxa" w:w="69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Show reconnect status; retain the last confirmed snapshot with its age; do not fabricate an update.</w:t>
            </w:r>
          </w:p>
        </w:tc>
      </w:tr>
      <w:tr>
        <w:trPr>
          <w:cantSplit/>
        </w:trPr>
        <w:tc>
          <w:tcPr>
            <w:tcW w:type="dxa" w:w="216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Partial data</w:t>
            </w:r>
          </w:p>
        </w:tc>
        <w:tc>
          <w:tcPr>
            <w:tcW w:type="dxa" w:w="69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Mark missing holdings or contribution history; totals must disclose excluded accounts.</w:t>
            </w:r>
          </w:p>
        </w:tc>
      </w:tr>
      <w:tr>
        <w:trPr>
          <w:cantSplit/>
        </w:trPr>
        <w:tc>
          <w:tcPr>
            <w:tcW w:type="dxa" w:w="216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Duplicate linkage</w:t>
            </w:r>
          </w:p>
        </w:tc>
        <w:tc>
          <w:tcPr>
            <w:tcW w:type="dxa" w:w="69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Prompt the user to reconcile likely duplicates before calculating a combined total.</w:t>
            </w:r>
          </w:p>
        </w:tc>
      </w:tr>
      <w:tr>
        <w:trPr>
          <w:cantSplit/>
        </w:trPr>
        <w:tc>
          <w:tcPr>
            <w:tcW w:type="dxa" w:w="216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Provider outage</w:t>
            </w:r>
          </w:p>
        </w:tc>
        <w:tc>
          <w:tcPr>
            <w:tcW w:type="dxa" w:w="69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Allow manual review and scenario modeling; retry with bounded backoff and visible status.</w:t>
            </w:r>
          </w:p>
        </w:tc>
      </w:tr>
      <w:tr>
        <w:trPr>
          <w:cantSplit/>
        </w:trPr>
        <w:tc>
          <w:tcPr>
            <w:tcW w:type="dxa" w:w="216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Deletion or revocation</w:t>
            </w:r>
          </w:p>
        </w:tc>
        <w:tc>
          <w:tcPr>
            <w:tcW w:type="dxa" w:w="69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Stop future pulls, revoke provider access where supported, and apply the disclosed deletion policy.</w:t>
            </w:r>
          </w:p>
        </w:tc>
      </w:tr>
    </w:tbl>
    <w:p>
      <w:pPr>
        <w:spacing w:after="0"/>
      </w:pPr>
    </w:p>
    <w:p>
      <w:pPr>
        <w:pStyle w:val="Heading2"/>
      </w:pPr>
      <w:r>
        <w:rPr>
          <w:color w:val="000000"/>
        </w:rPr>
        <w:t>Tax year and regulatory review</w:t>
      </w:r>
    </w:p>
    <w:p>
      <w:r>
        <w:t>For 2026, the IRS lists a $24,500 base employee 401(k) deferral limit and a $7,500 IRA limit. Catch-up provisions and eligibility require separate handling. Employer contributions and employee deferrals have distinct limits; applicable employee deferrals generally aggregate across plans. Future-year values must be labeled unavailable until published and reviewed. [C5, C6]</w:t>
      </w:r>
    </w:p>
    <w:p>
      <w:r>
        <w:t>Not holding assets does not, by itself, establish that a paid product falls outside investment-adviser regulation. The SEC describes advice, compensation, and business activity as relevant elements. Product counsel should assess the actual outputs and jurisdiction before release. A disclaimer cannot substitute for that assessment. The proposed V1 comparison tool avoids trade execution and individualized security recommendations, while leaving the legal conclusion to qualified review. [C7]</w:t>
      </w:r>
    </w:p>
    <w:p>
      <w:r>
        <w:t>Minimize retained identifiers, encrypt provider tokens, isolate users’ records, and keep financial details out of analytics logs. Use a documented deletion period and test the removal of active data and eventual backup expiry. Read-only access still exposes sensitive financial information.</w:t>
      </w:r>
    </w:p>
    <w:p>
      <w:r>
        <w:br w:type="page"/>
      </w:r>
    </w:p>
    <w:p>
      <w:pPr>
        <w:pStyle w:val="Heading1"/>
      </w:pPr>
      <w:r>
        <w:rPr>
          <w:color w:val="000000"/>
        </w:rPr>
        <w:t>Metrics and experiments</w:t>
      </w:r>
    </w:p>
    <w:p>
      <w:r>
        <w:t>Use completed, understood comparisons as the leading product signal. A valid comparison includes confirmed assumptions and a recorded decision takeaway. Measure task completion and comprehension together so repeated recalculation cannot inflate apparent value.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4752"/>
        <w:gridCol w:w="2664"/>
      </w:tblGrid>
      <w:tr>
        <w:trPr>
          <w:cantSplit/>
          <w:tblHeader/>
        </w:trPr>
        <w:tc>
          <w:tcPr>
            <w:tcW w:type="dxa" w:w="165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Metric</w:t>
            </w:r>
          </w:p>
        </w:tc>
        <w:tc>
          <w:tcPr>
            <w:tcW w:type="dxa" w:w="475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Denominator and event</w:t>
            </w:r>
          </w:p>
        </w:tc>
        <w:tc>
          <w:tcPr>
            <w:tcW w:type="dxa" w:w="266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Proposed gate</w:t>
            </w:r>
          </w:p>
        </w:tc>
      </w:tr>
      <w:tr>
        <w:trPr>
          <w:cantSplit/>
        </w:trPr>
        <w:tc>
          <w:tcPr>
            <w:tcW w:type="dxa" w:w="16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Activation</w:t>
            </w:r>
          </w:p>
        </w:tc>
        <w:tc>
          <w:tcPr>
            <w:tcW w:type="dxa" w:w="47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New users who complete and save an A/B comparison within seven days / eligible new users.</w:t>
            </w:r>
          </w:p>
        </w:tc>
        <w:tc>
          <w:tcPr>
            <w:tcW w:type="dxa" w:w="26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≥65% in closed beta.</w:t>
            </w:r>
          </w:p>
        </w:tc>
      </w:tr>
      <w:tr>
        <w:trPr>
          <w:cantSplit/>
        </w:trPr>
        <w:tc>
          <w:tcPr>
            <w:tcW w:type="dxa" w:w="16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Comprehension</w:t>
            </w:r>
          </w:p>
        </w:tc>
        <w:tc>
          <w:tcPr>
            <w:tcW w:type="dxa" w:w="47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Users who correctly explain two assumptions and a key tradeoff / users completing the task.</w:t>
            </w:r>
          </w:p>
        </w:tc>
        <w:tc>
          <w:tcPr>
            <w:tcW w:type="dxa" w:w="266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≥80% in moderated testing.</w:t>
            </w:r>
          </w:p>
        </w:tc>
      </w:tr>
      <w:tr>
        <w:trPr>
          <w:cantSplit/>
        </w:trPr>
        <w:tc>
          <w:tcPr>
            <w:tcW w:type="dxa" w:w="16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Decision use</w:t>
            </w:r>
          </w:p>
        </w:tc>
        <w:tc>
          <w:tcPr>
            <w:tcW w:type="dxa" w:w="47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Users reporting that the comparison informed an actual decision / activated users with a decision due.</w:t>
            </w:r>
          </w:p>
        </w:tc>
        <w:tc>
          <w:tcPr>
            <w:tcW w:type="dxa" w:w="26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Measure baseline before committing to a scale target.</w:t>
            </w:r>
          </w:p>
        </w:tc>
      </w:tr>
      <w:tr>
        <w:trPr>
          <w:cantSplit/>
        </w:trPr>
        <w:tc>
          <w:tcPr>
            <w:tcW w:type="dxa" w:w="16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Retention</w:t>
            </w:r>
          </w:p>
        </w:tc>
        <w:tc>
          <w:tcPr>
            <w:tcW w:type="dxa" w:w="47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Activated users returning for a meaningful comparison in days 28–35 / activated cohort.</w:t>
            </w:r>
          </w:p>
        </w:tc>
        <w:tc>
          <w:tcPr>
            <w:tcW w:type="dxa" w:w="266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Retain &gt;40% D30 as an original target.</w:t>
            </w:r>
          </w:p>
        </w:tc>
      </w:tr>
      <w:tr>
        <w:trPr>
          <w:cantSplit/>
        </w:trPr>
        <w:tc>
          <w:tcPr>
            <w:tcW w:type="dxa" w:w="16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Conversion</w:t>
            </w:r>
          </w:p>
        </w:tc>
        <w:tc>
          <w:tcPr>
            <w:tcW w:type="dxa" w:w="47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Users paying after the trial / eligible trial users, separated by monthly and annual plan.</w:t>
            </w:r>
          </w:p>
        </w:tc>
        <w:tc>
          <w:tcPr>
            <w:tcW w:type="dxa" w:w="26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Test original 25% target; do not assume it in forecasts.</w:t>
            </w:r>
          </w:p>
        </w:tc>
      </w:tr>
    </w:tbl>
    <w:p>
      <w:pPr>
        <w:spacing w:after="0"/>
      </w:pPr>
    </w:p>
    <w:p>
      <w:pPr>
        <w:pStyle w:val="Heading2"/>
      </w:pPr>
      <w:r>
        <w:rPr>
          <w:color w:val="000000"/>
        </w:rPr>
        <w:t>Experiment design</w:t>
      </w:r>
    </w:p>
    <w:p>
      <w:r>
        <w:t>Run a moderated comparison with 12–15 users first. Counterbalance the order of CapStack and the existing workaround, using a participant’s permitted or simulated account situation. Measure time to a correct comparison, errors, and confidence calibration. Do not interpret this sample as a statistically powered retention experiment.</w:t>
      </w:r>
    </w:p>
    <w:p>
      <w:r>
        <w:t>Then run a proposed 50-user closed beta for at least six weeks. Log setup_started, account_confirmed, comparison_completed, assumption_changed, scenario_saved, reconnect_failed, and paid_started. Include model version and input completeness, not raw account balances. Analyze manual and linked users separately.</w:t>
      </w:r>
    </w:p>
    <w:p>
      <w:r>
        <w:t>The original 3+ scenarios per active user per month remains a diagnostic target. The reported 2× conversion relationship for users with three early scenarios should be tied to its original cohort evidence before use as a predictive claim. Guardrails retain &lt;8% linking errors and &lt;2% user-reported misleading projections, alongside zero known critical calculation defects. Surveys alone cannot validate financial correctness.</w:t>
      </w:r>
    </w:p>
    <w:p>
      <w:r>
        <w:t>After the model and comprehension gates pass, compare a guided first scenario with a blank builder. Predefine activation as the primary metric and require sample-size planning before treating an A/B result as conclusive.</w:t>
      </w:r>
    </w:p>
    <w:p>
      <w:r>
        <w:br w:type="page"/>
      </w:r>
    </w:p>
    <w:p>
      <w:pPr>
        <w:pStyle w:val="Heading1"/>
      </w:pPr>
      <w:r>
        <w:rPr>
          <w:color w:val="000000"/>
        </w:rPr>
        <w:t>Positioning and subscription economics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888"/>
        <w:gridCol w:w="3600"/>
      </w:tblGrid>
      <w:tr>
        <w:trPr>
          <w:cantSplit/>
          <w:tblHeader/>
        </w:trPr>
        <w:tc>
          <w:tcPr>
            <w:tcW w:type="dxa" w:w="158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Alternative</w:t>
            </w:r>
          </w:p>
        </w:tc>
        <w:tc>
          <w:tcPr>
            <w:tcW w:type="dxa" w:w="388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What it already does</w:t>
            </w:r>
          </w:p>
        </w:tc>
        <w:tc>
          <w:tcPr>
            <w:tcW w:type="dxa" w:w="360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CapStack must demonstrate</w:t>
            </w:r>
          </w:p>
        </w:tc>
      </w:tr>
      <w:tr>
        <w:trPr>
          <w:cantSplit/>
        </w:trPr>
        <w:tc>
          <w:tcPr>
            <w:tcW w:type="dxa" w:w="15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Empower</w:t>
            </w:r>
          </w:p>
        </w:tc>
        <w:tc>
          <w:tcPr>
            <w:tcW w:type="dxa" w:w="38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Retirement planning scenarios and linked accounts. [C1, C2]</w:t>
            </w:r>
          </w:p>
        </w:tc>
        <w:tc>
          <w:tcPr>
            <w:tcW w:type="dxa" w:w="36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Faster accumulation-stage comparisons with a clear contribution decision as the entry point.</w:t>
            </w:r>
          </w:p>
        </w:tc>
      </w:tr>
      <w:tr>
        <w:trPr>
          <w:cantSplit/>
        </w:trPr>
        <w:tc>
          <w:tcPr>
            <w:tcW w:type="dxa" w:w="15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Boldin</w:t>
            </w:r>
          </w:p>
        </w:tc>
        <w:tc>
          <w:tcPr>
            <w:tcW w:type="dxa" w:w="38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Linked accounts, multiple scenarios, tax projections, and comparison; PlannerPlus $144 annually. [C3]</w:t>
            </w:r>
          </w:p>
        </w:tc>
        <w:tc>
          <w:tcPr>
            <w:tcW w:type="dxa" w:w="36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 narrower task with less setup, without assuming breadth is undesirable for all users.</w:t>
            </w:r>
          </w:p>
        </w:tc>
      </w:tr>
      <w:tr>
        <w:trPr>
          <w:cantSplit/>
        </w:trPr>
        <w:tc>
          <w:tcPr>
            <w:tcW w:type="dxa" w:w="15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Spreadsheet</w:t>
            </w:r>
          </w:p>
        </w:tc>
        <w:tc>
          <w:tcPr>
            <w:tcW w:type="dxa" w:w="38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Flexible models and user control.</w:t>
            </w:r>
          </w:p>
        </w:tc>
        <w:tc>
          <w:tcPr>
            <w:tcW w:type="dxa" w:w="36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Comparable transparency with fewer formula and maintenance errors.</w:t>
            </w:r>
          </w:p>
        </w:tc>
      </w:tr>
      <w:tr>
        <w:trPr>
          <w:cantSplit/>
        </w:trPr>
        <w:tc>
          <w:tcPr>
            <w:tcW w:type="dxa" w:w="15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Brokerage tools</w:t>
            </w:r>
          </w:p>
        </w:tc>
        <w:tc>
          <w:tcPr>
            <w:tcW w:type="dxa" w:w="38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Account-specific planning and transaction context.</w:t>
            </w:r>
          </w:p>
        </w:tc>
        <w:tc>
          <w:tcPr>
            <w:tcW w:type="dxa" w:w="36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An understandable combined comparison across the user’s existing accounts.</w:t>
            </w:r>
          </w:p>
        </w:tc>
      </w:tr>
    </w:tbl>
    <w:p>
      <w:pPr>
        <w:spacing w:after="0"/>
      </w:pPr>
    </w:p>
    <w:p>
      <w:pPr>
        <w:pStyle w:val="Heading2"/>
      </w:pPr>
      <w:r>
        <w:rPr>
          <w:color w:val="000000"/>
        </w:rPr>
        <w:t>Revenue assumptions</w:t>
      </w:r>
    </w:p>
    <w:p>
      <w:r>
        <w:t>Retain the proposed Free, $12 monthly Pro, and $99 annual Pro structure for pricing tests. Free should allow a complete first comparison; paid value can come from ongoing saved comparisons and refresh convenience. Artificially blocking the core comparison would prevent users from experiencing why they should pay.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312"/>
        <w:gridCol w:w="3528"/>
      </w:tblGrid>
      <w:tr>
        <w:trPr>
          <w:cantSplit/>
          <w:tblHeader/>
        </w:trPr>
        <w:tc>
          <w:tcPr>
            <w:tcW w:type="dxa" w:w="223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Illustrative paid users</w:t>
            </w:r>
          </w:p>
        </w:tc>
        <w:tc>
          <w:tcPr>
            <w:tcW w:type="dxa" w:w="331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Plan mix</w:t>
            </w:r>
          </w:p>
        </w:tc>
        <w:tc>
          <w:tcPr>
            <w:tcW w:type="dxa" w:w="352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Annualized revenue</w:t>
            </w:r>
          </w:p>
        </w:tc>
      </w:tr>
      <w:tr>
        <w:trPr>
          <w:cantSplit/>
        </w:trPr>
        <w:tc>
          <w:tcPr>
            <w:tcW w:type="dxa" w:w="223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1,000</w:t>
            </w:r>
          </w:p>
        </w:tc>
        <w:tc>
          <w:tcPr>
            <w:tcW w:type="dxa" w:w="33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All monthly at $12</w:t>
            </w:r>
          </w:p>
        </w:tc>
        <w:tc>
          <w:tcPr>
            <w:tcW w:type="dxa" w:w="35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$144,000</w:t>
            </w:r>
          </w:p>
        </w:tc>
      </w:tr>
      <w:tr>
        <w:trPr>
          <w:cantSplit/>
        </w:trPr>
        <w:tc>
          <w:tcPr>
            <w:tcW w:type="dxa" w:w="223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10,000</w:t>
            </w:r>
          </w:p>
        </w:tc>
        <w:tc>
          <w:tcPr>
            <w:tcW w:type="dxa" w:w="33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All monthly at $12</w:t>
            </w:r>
          </w:p>
        </w:tc>
        <w:tc>
          <w:tcPr>
            <w:tcW w:type="dxa" w:w="35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$1,440,000</w:t>
            </w:r>
          </w:p>
        </w:tc>
      </w:tr>
      <w:tr>
        <w:trPr>
          <w:cantSplit/>
        </w:trPr>
        <w:tc>
          <w:tcPr>
            <w:tcW w:type="dxa" w:w="223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10,000</w:t>
            </w:r>
          </w:p>
        </w:tc>
        <w:tc>
          <w:tcPr>
            <w:tcW w:type="dxa" w:w="33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All annual at $99</w:t>
            </w:r>
          </w:p>
        </w:tc>
        <w:tc>
          <w:tcPr>
            <w:tcW w:type="dxa" w:w="35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$990,000</w:t>
            </w:r>
          </w:p>
        </w:tc>
      </w:tr>
      <w:tr>
        <w:trPr>
          <w:cantSplit/>
        </w:trPr>
        <w:tc>
          <w:tcPr>
            <w:tcW w:type="dxa" w:w="223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10,000</w:t>
            </w:r>
          </w:p>
        </w:tc>
        <w:tc>
          <w:tcPr>
            <w:tcW w:type="dxa" w:w="33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50% monthly and 50% annual</w:t>
            </w:r>
          </w:p>
        </w:tc>
        <w:tc>
          <w:tcPr>
            <w:tcW w:type="dxa" w:w="35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$1,215,000</w:t>
            </w:r>
          </w:p>
        </w:tc>
      </w:tr>
    </w:tbl>
    <w:p>
      <w:pPr>
        <w:spacing w:after="0"/>
      </w:pPr>
    </w:p>
    <w:p>
      <w:r>
        <w:t>These are revenue sensitivities, not demand forecasts. The original 52M × 5% = 2.6M calculation is an adoption assumption, not a measured addressable paying segment. A reachable initial market should count target users reached through permitted communities, qualified signups, activation, and paid conversion.</w:t>
      </w:r>
    </w:p>
    <w:p>
      <w:r>
        <w:t>At an illustrative 80% contribution margin, $12 monthly pricing yields $9.60 monthly contribution and a six-month CAC payback ceiling of $57.60. The $99 annual plan yields $6.60 monthly contribution at the same assumed margin and a $39.60 ceiling. Replace the assumptions with aggregation quotes, payment costs, support costs, and observed plan mix before buying acquisition.</w:t>
      </w:r>
    </w:p>
    <w:p>
      <w:r>
        <w:t>The original $10K MRR target requires about 834 all-monthly subscribers. A 500-person beta converting at 25% produces 125 subscribers and $1,500 MRR. The acquisition plan must bridge that gap rather than presenting both targets as automatically consistent.</w:t>
      </w:r>
    </w:p>
    <w:p>
      <w:r>
        <w:br w:type="page"/>
      </w:r>
    </w:p>
    <w:p>
      <w:pPr>
        <w:pStyle w:val="Heading1"/>
      </w:pPr>
      <w:r>
        <w:rPr>
          <w:color w:val="000000"/>
        </w:rPr>
        <w:t>Roadmap risks and product judgment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4464"/>
        <w:gridCol w:w="3312"/>
      </w:tblGrid>
      <w:tr>
        <w:trPr>
          <w:cantSplit/>
          <w:tblHeader/>
        </w:trPr>
        <w:tc>
          <w:tcPr>
            <w:tcW w:type="dxa" w:w="129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Phase</w:t>
            </w:r>
          </w:p>
        </w:tc>
        <w:tc>
          <w:tcPr>
            <w:tcW w:type="dxa" w:w="446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Build or learning objective</w:t>
            </w:r>
          </w:p>
        </w:tc>
        <w:tc>
          <w:tcPr>
            <w:tcW w:type="dxa" w:w="331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Exit gate</w:t>
            </w:r>
          </w:p>
        </w:tc>
      </w:tr>
      <w:tr>
        <w:trPr>
          <w:cantSplit/>
        </w:trPr>
        <w:tc>
          <w:tcPr>
            <w:tcW w:type="dxa" w:w="12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Weeks 1–2</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Observe decisions, map data coverage, review product boundaries.</w:t>
            </w:r>
          </w:p>
        </w:tc>
        <w:tc>
          <w:tcPr>
            <w:tcW w:type="dxa" w:w="33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 repeated use case and a supported calculation contract.</w:t>
            </w:r>
          </w:p>
        </w:tc>
      </w:tr>
      <w:tr>
        <w:trPr>
          <w:cantSplit/>
        </w:trPr>
        <w:tc>
          <w:tcPr>
            <w:tcW w:type="dxa" w:w="129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Weeks 3–5</w:t>
            </w:r>
          </w:p>
        </w:tc>
        <w:tc>
          <w:tcPr>
            <w:tcW w:type="dxa" w:w="446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Manual entry, deterministic model, A/B comparison, reference tests.</w:t>
            </w:r>
          </w:p>
        </w:tc>
        <w:tc>
          <w:tcPr>
            <w:tcW w:type="dxa" w:w="33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All numerical invariants pass and users understand results.</w:t>
            </w:r>
          </w:p>
        </w:tc>
      </w:tr>
      <w:tr>
        <w:trPr>
          <w:cantSplit/>
        </w:trPr>
        <w:tc>
          <w:tcPr>
            <w:tcW w:type="dxa" w:w="12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Weeks 6–8</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Selected provider connections, rule-year controls, save and deletion flows.</w:t>
            </w:r>
          </w:p>
        </w:tc>
        <w:tc>
          <w:tcPr>
            <w:tcW w:type="dxa" w:w="33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Coverage and permissions tested; no critical model or privacy defect.</w:t>
            </w:r>
          </w:p>
        </w:tc>
      </w:tr>
      <w:tr>
        <w:trPr>
          <w:cantSplit/>
        </w:trPr>
        <w:tc>
          <w:tcPr>
            <w:tcW w:type="dxa" w:w="129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Weeks 9–12</w:t>
            </w:r>
          </w:p>
        </w:tc>
        <w:tc>
          <w:tcPr>
            <w:tcW w:type="dxa" w:w="446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50-user beta, task support, decision-use interviews, paid continuation.</w:t>
            </w:r>
          </w:p>
        </w:tc>
        <w:tc>
          <w:tcPr>
            <w:tcW w:type="dxa" w:w="33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Comprehension, activation, and integrity gates met.</w:t>
            </w:r>
          </w:p>
        </w:tc>
      </w:tr>
      <w:tr>
        <w:trPr>
          <w:cantSplit/>
        </w:trPr>
        <w:tc>
          <w:tcPr>
            <w:tcW w:type="dxa" w:w="12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 13 onward</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Consider larger beta and goal features.</w:t>
            </w:r>
          </w:p>
        </w:tc>
        <w:tc>
          <w:tcPr>
            <w:tcW w:type="dxa" w:w="33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Evidence of recurring decisions and plausible subscription economics.</w:t>
            </w:r>
          </w:p>
        </w:tc>
      </w:tr>
    </w:tbl>
    <w:p>
      <w:pPr>
        <w:spacing w:after="0"/>
      </w:pPr>
    </w:p>
    <w:p>
      <w:pPr>
        <w:pStyle w:val="Heading2"/>
      </w:pPr>
      <w:r>
        <w:rPr>
          <w:color w:val="000000"/>
        </w:rPr>
        <w:t>Risk response</w:t>
      </w:r>
    </w:p>
    <w:p>
      <w:pPr>
        <w:ind w:left="187" w:hanging="187"/>
      </w:pPr>
      <w:r>
        <w:rPr>
          <w:b/>
        </w:rPr>
        <w:t xml:space="preserve">• </w:t>
      </w:r>
      <w:r>
        <w:t>Calculation risk: block release on incorrect account aggregation, budget conservation, or tax-year handling. Publish model limitations beside the output.</w:t>
      </w:r>
    </w:p>
    <w:p>
      <w:pPr>
        <w:ind w:left="187" w:hanging="187"/>
      </w:pPr>
      <w:r>
        <w:rPr>
          <w:b/>
        </w:rPr>
        <w:t xml:space="preserve">• </w:t>
      </w:r>
      <w:r>
        <w:t>Retention risk: if users return only once a year, test an annual planning product or different packaging before adding notifications to manufacture activity.</w:t>
      </w:r>
    </w:p>
    <w:p>
      <w:pPr>
        <w:ind w:left="187" w:hanging="187"/>
      </w:pPr>
      <w:r>
        <w:rPr>
          <w:b/>
        </w:rPr>
        <w:t xml:space="preserve">• </w:t>
      </w:r>
      <w:r>
        <w:t>Coverage risk: if linking dominates support, prioritize the manual comparison experience and narrow the advertised provider set.</w:t>
      </w:r>
    </w:p>
    <w:p>
      <w:pPr>
        <w:ind w:left="187" w:hanging="187"/>
      </w:pPr>
      <w:r>
        <w:rPr>
          <w:b/>
        </w:rPr>
        <w:t xml:space="preserve">• </w:t>
      </w:r>
      <w:r>
        <w:t>Competitive risk: benchmark the same task against Boldin and Empower. A generic claim of independence is insufficient differentiation.</w:t>
      </w:r>
    </w:p>
    <w:p>
      <w:pPr>
        <w:pStyle w:val="Heading2"/>
      </w:pPr>
      <w:r>
        <w:rPr>
          <w:color w:val="000000"/>
        </w:rPr>
        <w:t>The product decisions I would defend</w:t>
      </w:r>
    </w:p>
    <w:p>
      <w:r>
        <w:t>Comparison belongs in P0 because it is the reason to open CapStack. Manual entry belongs in P0 because it separates the usefulness of the model from the reliability of a connector. I would defer ranked recommendations and an opaque tax score until their logic and implications are reviewed. Those decisions preserve the core cross-account idea while making the first release easier to validate.</w:t>
      </w:r>
    </w:p>
    <w:p>
      <w:r>
        <w:t>Open questions before investment: how frequently the target user faces the decision; what setup burden is acceptable; which account types have reliable contribution data; whether $12 monthly demand survives comparison with existing planners; and whether users understand the distinction between modeled balance and money available to spend. Assign each question a research owner and a release decision rather than treating it as background risk.</w:t>
      </w:r>
    </w:p>
    <w:p>
      <w:r>
        <w:br w:type="page"/>
      </w:r>
    </w:p>
    <w:p>
      <w:pPr>
        <w:pStyle w:val="Heading1"/>
      </w:pPr>
      <w:r>
        <w:rPr>
          <w:color w:val="000000"/>
        </w:rPr>
        <w:t>Research references</w:t>
      </w:r>
    </w:p>
    <w:p>
      <w:r>
        <w:t>External research checked in September 2026. Bracketed references identify the source supporting the adjacent claim. Product documentation establishes stated capabilities; proposed architecture, tests, targets, and business scenarios are product recommendations.</w:t>
      </w:r>
    </w:p>
    <w:p>
      <w:pPr>
        <w:keepNext/>
      </w:pPr>
      <w:r>
        <w:rPr>
          <w:b/>
        </w:rPr>
        <w:t xml:space="preserve">C1  </w:t>
      </w:r>
      <w:hyperlink r:id="rId10">
        <w:r>
          <w:rPr>
            <w:color w:val="145A83"/>
          </w:rPr>
          <w:t>Empower Retirement Planner</w:t>
        </w:r>
      </w:hyperlink>
    </w:p>
    <w:p>
      <w:pPr>
        <w:spacing w:after="200"/>
      </w:pPr>
      <w:r>
        <w:t>Current scenario planning proposition.</w:t>
      </w:r>
    </w:p>
    <w:p>
      <w:pPr>
        <w:keepNext/>
      </w:pPr>
      <w:r>
        <w:rPr>
          <w:b/>
        </w:rPr>
        <w:t xml:space="preserve">C2  </w:t>
      </w:r>
      <w:hyperlink r:id="rId11">
        <w:r>
          <w:rPr>
            <w:color w:val="145A83"/>
          </w:rPr>
          <w:t>Empower account linking</w:t>
        </w:r>
      </w:hyperlink>
    </w:p>
    <w:p>
      <w:pPr>
        <w:spacing w:after="200"/>
      </w:pPr>
      <w:r>
        <w:t>Linking retirement, investment, and other account types.</w:t>
      </w:r>
    </w:p>
    <w:p>
      <w:pPr>
        <w:keepNext/>
      </w:pPr>
      <w:r>
        <w:rPr>
          <w:b/>
        </w:rPr>
        <w:t xml:space="preserve">C3  </w:t>
      </w:r>
      <w:hyperlink r:id="rId12">
        <w:r>
          <w:rPr>
            <w:color w:val="145A83"/>
          </w:rPr>
          <w:t>Boldin pricing and features</w:t>
        </w:r>
      </w:hyperlink>
    </w:p>
    <w:p>
      <w:pPr>
        <w:spacing w:after="200"/>
      </w:pPr>
      <w:r>
        <w:t>PlannerPlus at $144 annually, linked accounts, and side-by-side scenarios.</w:t>
      </w:r>
    </w:p>
    <w:p>
      <w:pPr>
        <w:keepNext/>
      </w:pPr>
      <w:r>
        <w:rPr>
          <w:b/>
        </w:rPr>
        <w:t xml:space="preserve">C4  </w:t>
      </w:r>
      <w:hyperlink r:id="rId13">
        <w:r>
          <w:rPr>
            <w:color w:val="145A83"/>
          </w:rPr>
          <w:t>Plaid Investments API</w:t>
        </w:r>
      </w:hyperlink>
    </w:p>
    <w:p>
      <w:pPr>
        <w:spacing w:after="200"/>
      </w:pPr>
      <w:r>
        <w:t>Holdings, investment transactions, refresh endpoints, and update events.</w:t>
      </w:r>
    </w:p>
    <w:p>
      <w:pPr>
        <w:keepNext/>
      </w:pPr>
      <w:r>
        <w:rPr>
          <w:b/>
        </w:rPr>
        <w:t xml:space="preserve">C5  </w:t>
      </w:r>
      <w:hyperlink r:id="rId14">
        <w:r>
          <w:rPr>
            <w:color w:val="145A83"/>
          </w:rPr>
          <w:t>IRS retirement limits for 2026</w:t>
        </w:r>
      </w:hyperlink>
    </w:p>
    <w:p>
      <w:pPr>
        <w:spacing w:after="200"/>
      </w:pPr>
      <w:r>
        <w:t>Annual limits and eligibility distinctions for supported tax-year rules.</w:t>
      </w:r>
    </w:p>
    <w:p>
      <w:pPr>
        <w:keepNext/>
      </w:pPr>
      <w:r>
        <w:rPr>
          <w:b/>
        </w:rPr>
        <w:t xml:space="preserve">C6  </w:t>
      </w:r>
      <w:hyperlink r:id="rId15">
        <w:r>
          <w:rPr>
            <w:color w:val="145A83"/>
          </w:rPr>
          <w:t>IRS elective deferral and contribution limits</w:t>
        </w:r>
      </w:hyperlink>
    </w:p>
    <w:p>
      <w:pPr>
        <w:spacing w:after="200"/>
      </w:pPr>
      <w:r>
        <w:t>Employee deferrals, employer contributions, and aggregation across plans.</w:t>
      </w:r>
    </w:p>
    <w:p>
      <w:pPr>
        <w:keepNext/>
      </w:pPr>
      <w:r>
        <w:rPr>
          <w:b/>
        </w:rPr>
        <w:t xml:space="preserve">C7  </w:t>
      </w:r>
      <w:hyperlink r:id="rId16">
        <w:r>
          <w:rPr>
            <w:color w:val="145A83"/>
          </w:rPr>
          <w:t>SEC Staff Legal Bulletin 11</w:t>
        </w:r>
      </w:hyperlink>
    </w:p>
    <w:p>
      <w:pPr>
        <w:spacing w:after="200"/>
      </w:pPr>
      <w:r>
        <w:t>Investment adviser definition; securities advice, compensation, and business activity.</w:t>
      </w:r>
    </w:p>
    <w:p>
      <w:pPr>
        <w:pStyle w:val="Heading2"/>
      </w:pPr>
      <w:r>
        <w:rPr>
          <w:color w:val="000000"/>
        </w:rPr>
        <w:t>Original case study research</w:t>
      </w:r>
    </w:p>
    <w:p>
      <w:r>
        <w:t>The original one-pager and PRD remain the source for the initial personas, discovery findings, pricing hypotheses, and targets. The revision adds current external research and proposed validation. An experiment described as proposed has not been represented as completed research.</w:t>
      </w:r>
    </w:p>
    <w:sectPr>
      <w:headerReference w:type="default" r:id="rId7"/>
      <w:footerReference w:type="default" r:id="rId8"/>
      <w:pgSz w:w="12240" w:h="15840" w:orient="portrait"/>
      <w:pgMar w:top="1080" w:right="1584" w:bottom="108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2"/>
      </w:pBdr>
      <w:spacing w:after="0" w:before="80"/>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7B6C" w:sz="4" w:space="2"/>
      </w:pBdr>
      <w:spacing w:after="80" w:befor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bullet"/>
      <w:lvlText w:val="–"/>
      <w:lvlJc w:val="left"/>
      <w:pPr>
        <w:ind w:left="90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docDefaults>
  <w:style w:type="paragraph" w:styleId="Title">
    <w:name w:val="Title"/>
    <w:basedOn w:val="Normal"/>
    <w:next w:val="Normal"/>
    <w:qFormat/>
    <w:pPr>
      <w:keepNext/>
      <w:spacing w:before="0" w:after="140" w:line="269" w:lineRule="auto"/>
    </w:pPr>
    <w:rPr>
      <w:rFonts w:ascii="Arial" w:hAnsi="Arial"/>
      <w:b/>
      <w:color w:val="000000"/>
      <w:sz w:val="52"/>
      <w:szCs w:val="56"/>
    </w:rPr>
  </w:style>
  <w:style w:type="paragraph" w:styleId="Heading1">
    <w:name w:val="Heading 1"/>
    <w:basedOn w:val="Normal"/>
    <w:next w:val="Normal"/>
    <w:qFormat/>
    <w:pPr>
      <w:keepNext/>
      <w:spacing w:before="180" w:after="140" w:line="269" w:lineRule="auto"/>
    </w:pPr>
    <w:rPr>
      <w:rFonts w:ascii="Arial" w:hAnsi="Arial"/>
      <w:b/>
      <w:color w:val="000000"/>
      <w:sz w:val="34"/>
      <w:szCs w:val="32"/>
    </w:rPr>
  </w:style>
  <w:style w:type="paragraph" w:styleId="Heading2">
    <w:name w:val="Heading 2"/>
    <w:basedOn w:val="Normal"/>
    <w:next w:val="Normal"/>
    <w:qFormat/>
    <w:pPr>
      <w:keepNext/>
      <w:spacing w:before="180" w:after="140" w:line="269" w:lineRule="auto"/>
    </w:pPr>
    <w:rPr>
      <w:rFonts w:ascii="Arial" w:hAnsi="Arial"/>
      <w:b/>
      <w:color w:val="000000"/>
      <w:sz w:val="23"/>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00000"/>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Heading3">
    <w:name w:val="Heading 3"/>
    <w:basedOn w:val="Normal"/>
    <w:next w:val="Normal"/>
    <w:qFormat/>
    <w:pPr>
      <w:spacing w:after="80" w:before="180"/>
      <w:outlineLvl w:val="2"/>
    </w:pPr>
    <w:rPr>
      <w:rFonts w:ascii="Arial" w:cs="Arial" w:eastAsia="Arial" w:hAnsi="Arial"/>
      <w:b/>
      <w:bCs/>
      <w:color w:val="000000"/>
      <w:sz w:val="24"/>
      <w:szCs w:val="24"/>
    </w:rPr>
  </w:style>
  <w:style w:type="paragraph" w:customStyle="1" w:styleId="Normal">
    <w:name w:val="Normal"/>
    <w:pPr>
      <w:spacing w:before="0" w:after="140" w:line="269" w:lineRule="auto"/>
    </w:pPr>
    <w:rPr>
      <w:rFonts w:ascii="Arial" w:hAnsi="Arial"/>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empower.com/tools/retirement-planner" TargetMode="External"/><Relationship Id="rId11" Type="http://schemas.openxmlformats.org/officeDocument/2006/relationships/hyperlink" Target="https://www.empower.com/tools/link-accounts" TargetMode="External"/><Relationship Id="rId12" Type="http://schemas.openxmlformats.org/officeDocument/2006/relationships/hyperlink" Target="https://www.boldin.com/retirement/pricing/" TargetMode="External"/><Relationship Id="rId13" Type="http://schemas.openxmlformats.org/officeDocument/2006/relationships/hyperlink" Target="https://plaid.com/docs/api/products/investments/" TargetMode="External"/><Relationship Id="rId14" Type="http://schemas.openxmlformats.org/officeDocument/2006/relationships/hyperlink" Target="https://www.irs.gov/newsroom/401k-limit-increases-to-24500-for-2026-ira-limit-increases-to-7500" TargetMode="External"/><Relationship Id="rId15" Type="http://schemas.openxmlformats.org/officeDocument/2006/relationships/hyperlink" Target="https://www.irs.gov/retirement-plans/plan-participant-employee/retirement-topics-401k-and-profit-sharing-plan-contribution-limits" TargetMode="External"/><Relationship Id="rId16" Type="http://schemas.openxmlformats.org/officeDocument/2006/relationships/hyperlink" Target="https://www.sec.gov/interps/legal/slbim11.ht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Anish Gudipaati</dc:creator>
  <cp:lastModifiedBy>Un-named</cp:lastModifiedBy>
  <cp:revision>1</cp:revision>
  <dcterms:created xsi:type="dcterms:W3CDTF">2026-05-24T23:35:17.539Z</dcterms:created>
  <dcterms:modified xsi:type="dcterms:W3CDTF">2026-05-24T23:35:17.556Z</dcterms:modified>
  <dc:title>CapStack Product Requirements Document</dc:title>
  <dc:subject>Cross account scenario planning for active retail investors</dc:subject>
</cp:coreProperties>
</file>

<file path=docProps/custom.xml><?xml version="1.0" encoding="utf-8"?>
<Properties xmlns="http://schemas.openxmlformats.org/officeDocument/2006/custom-properties" xmlns:vt="http://schemas.openxmlformats.org/officeDocument/2006/docPropsVTypes"/>
</file>