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000000"/>
        </w:rPr>
        <w:t>SiteFlow Product Requirements Document</w:t>
      </w:r>
    </w:p>
    <w:p>
      <w:r>
        <w:t>Workflow automation for independent clinical research sites</w:t>
      </w:r>
    </w:p>
    <w:p>
      <w:pPr>
        <w:spacing w:after="280"/>
      </w:pPr>
      <w:r>
        <w:t>Anish Gudipaati  |  Version 2  |  September 2026</w:t>
      </w:r>
    </w:p>
    <w:p>
      <w:pPr>
        <w:pStyle w:val="Heading1"/>
      </w:pPr>
      <w:r>
        <w:rPr>
          <w:color w:val="000000"/>
        </w:rPr>
        <w:t>Product decision and opportunity</w:t>
      </w:r>
    </w:p>
    <w:p>
      <w:r>
        <w:t>SiteFlow is a proposed mobile workflow product for clinical research coordinators at small independent sites. I would test whether a visit-to-review workflow can reduce the coordinator’s reconciliation work enough to justify a paid product alongside existing site software. The product remains centered on mobile intake, regulatory preparation, and principal investigator review.</w:t>
      </w:r>
    </w:p>
    <w:p>
      <w:r>
        <w:t>The initial release should support one approved workflow within one study at each pilot site. A coordinator captures the visit checklist, reviews a prepared documentation packet, and routes the exact record version to the authorized reviewer. Sponsor EDC entry remains an explicit external step until an approved integration exists. This boundary makes the proposed benefit measurable without claiming to eliminate every duplicate entry.</w:t>
      </w:r>
    </w:p>
    <w:p>
      <w:pPr>
        <w:pStyle w:val="Heading2"/>
      </w:pPr>
      <w:r>
        <w:rPr>
          <w:color w:val="000000"/>
        </w:rPr>
        <w:t>What changed after competitive research</w:t>
      </w:r>
    </w:p>
    <w:p>
      <w:r>
        <w:t>Veeva already offers site-focused eISF and CTMS capabilities, and Florence provides eRegulatory, eSource, and eConsent products. The opportunity therefore depends on a specific workflow advantage and adoption economics, rather than the absence of site software. Veeva’s free eISF tier is a particularly strong substitute for the proposed $199 monthly subscription. [S1–S3]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128"/>
      </w:tblGrid>
      <w:tr>
        <w:trPr>
          <w:cantSplit/>
          <w:tblHeader/>
        </w:trPr>
        <w:tc>
          <w:tcPr>
            <w:tcW w:type="dxa" w:w="194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Decision</w:t>
            </w:r>
          </w:p>
        </w:tc>
        <w:tc>
          <w:tcPr>
            <w:tcW w:type="dxa" w:w="71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Reason</w:t>
            </w:r>
          </w:p>
        </w:tc>
      </w:tr>
      <w:tr>
        <w:trPr>
          <w:cantSplit/>
        </w:trPr>
        <w:tc>
          <w:tcPr>
            <w:tcW w:type="dxa" w:w="194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Initial customer</w:t>
            </w:r>
          </w:p>
        </w:tc>
        <w:tc>
          <w:tcPr>
            <w:tcW w:type="dxa" w:w="71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Independent site with 1–10 active trials, a coordinator champion, and an identified investigator or director who can approve a pilot.</w:t>
            </w:r>
          </w:p>
        </w:tc>
      </w:tr>
      <w:tr>
        <w:trPr>
          <w:cantSplit/>
        </w:trPr>
        <w:tc>
          <w:tcPr>
            <w:tcW w:type="dxa" w:w="194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Initial workflow</w:t>
            </w:r>
          </w:p>
        </w:tc>
        <w:tc>
          <w:tcPr>
            <w:tcW w:type="dxa" w:w="71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Visit completion → documentation review → authorized investigator sign-off.</w:t>
            </w:r>
          </w:p>
        </w:tc>
      </w:tr>
      <w:tr>
        <w:trPr>
          <w:cantSplit/>
        </w:trPr>
        <w:tc>
          <w:tcPr>
            <w:tcW w:type="dxa" w:w="194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Primary outcome</w:t>
            </w:r>
          </w:p>
        </w:tc>
        <w:tc>
          <w:tcPr>
            <w:tcW w:type="dxa" w:w="71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Less total coordinator administration per completed visit, without higher correction or exception rates.</w:t>
            </w:r>
          </w:p>
        </w:tc>
      </w:tr>
      <w:tr>
        <w:trPr>
          <w:cantSplit/>
        </w:trPr>
        <w:tc>
          <w:tcPr>
            <w:tcW w:type="dxa" w:w="194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Investment gate</w:t>
            </w:r>
          </w:p>
        </w:tc>
        <w:tc>
          <w:tcPr>
            <w:tcW w:type="dxa" w:w="71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Demonstrate repeat use and paid demand before adding integrations or multi-site administration.</w:t>
            </w:r>
          </w:p>
        </w:tc>
      </w:tr>
    </w:tbl>
    <w:p>
      <w:pPr>
        <w:spacing w:after="0"/>
      </w:pPr>
    </w:p>
    <w:p>
      <w:r>
        <w:t>Stage: product case study and proposed PRD. The research findings, planning assumptions, and proposed experiments are distinguished throughout; launch targets do not describe shipped results.</w:t>
      </w:r>
    </w:p>
    <w:p>
      <w:r>
        <w:br w:type="page"/>
      </w:r>
    </w:p>
    <w:p>
      <w:pPr>
        <w:pStyle w:val="Heading1"/>
      </w:pPr>
      <w:r>
        <w:rPr>
          <w:color w:val="000000"/>
        </w:rPr>
        <w:t>Discovery and customer selection</w:t>
      </w:r>
    </w:p>
    <w:p>
      <w:r>
        <w:t>The original discovery work reviewed 53 sources across coordinator forums, software reviews, job reviews, and day-in-the-life videos. Its central themes are administrative burden, fragmented systems, delayed signatures, and coordinator overload. These observations guide the problem selection. Source frequency and emotional intensity are useful qualitative signals, but do not establish population prevalence or a representative severity score.</w:t>
      </w:r>
    </w:p>
    <w:p>
      <w:pPr>
        <w:pStyle w:val="Heading2"/>
      </w:pPr>
      <w:r>
        <w:rPr>
          <w:color w:val="000000"/>
        </w:rPr>
        <w:t>User and buying roles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6984"/>
      </w:tblGrid>
      <w:tr>
        <w:trPr>
          <w:cantSplit/>
          <w:tblHeader/>
        </w:trPr>
        <w:tc>
          <w:tcPr>
            <w:tcW w:type="dxa" w:w="208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Role</w:t>
            </w:r>
          </w:p>
        </w:tc>
        <w:tc>
          <w:tcPr>
            <w:tcW w:type="dxa" w:w="698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Job and constraint</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Coordinator</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Complete protocol-specific visit work and reconcile records while moving between clinical and administrative tasks. Needs visible task status and reliable recovery from interruptions.</w:t>
            </w:r>
          </w:p>
        </w:tc>
      </w:tr>
      <w:tr>
        <w:trPr>
          <w:cantSplit/>
        </w:trPr>
        <w:tc>
          <w:tcPr>
            <w:tcW w:type="dxa" w:w="20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Investigator or site director</w:t>
            </w:r>
          </w:p>
        </w:tc>
        <w:tc>
          <w:tcPr>
            <w:tcW w:type="dxa" w:w="69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Review work within delegated authority, oversee study conduct, approve spend, and assess adoption risk. May need institutional or sponsor approval.</w:t>
            </w:r>
          </w:p>
        </w:tc>
      </w:tr>
      <w:tr>
        <w:trPr>
          <w:cantSplit/>
        </w:trPr>
        <w:tc>
          <w:tcPr>
            <w:tcW w:type="dxa" w:w="208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Regulatory coordinator</w:t>
            </w:r>
          </w:p>
        </w:tc>
        <w:tc>
          <w:tcPr>
            <w:tcW w:type="dxa" w:w="698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Verify document versions and study requirements; prevent unreviewed material entering the authoritative binder.</w:t>
            </w:r>
          </w:p>
        </w:tc>
      </w:tr>
      <w:tr>
        <w:trPr>
          <w:cantSplit/>
        </w:trPr>
        <w:tc>
          <w:tcPr>
            <w:tcW w:type="dxa" w:w="208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Sponsor or monitor</w:t>
            </w:r>
          </w:p>
        </w:tc>
        <w:tc>
          <w:tcPr>
            <w:tcW w:type="dxa" w:w="698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Inspect authorized study records and resolve queries. Does not receive broad default access across the site.</w:t>
            </w:r>
          </w:p>
        </w:tc>
      </w:tr>
    </w:tbl>
    <w:p>
      <w:pPr>
        <w:spacing w:after="0"/>
      </w:pPr>
    </w:p>
    <w:p>
      <w:pPr>
        <w:pStyle w:val="Heading2"/>
      </w:pPr>
      <w:r>
        <w:rPr>
          <w:color w:val="000000"/>
        </w:rPr>
        <w:t>Discovery that changes the build</w:t>
      </w:r>
    </w:p>
    <w:p>
      <w:r>
        <w:t>Recruit six sites for an initial validation study, including paper-heavy practices and sites already using eISF software. At each, interview a coordinator and the economic buyer separately. Observe an eligible visit workflow with permission and without collecting unnecessary patient information. Record task times, system transitions, interruption points, and which documents are authoritative.</w:t>
      </w:r>
    </w:p>
    <w:p>
      <w:pPr>
        <w:ind w:left="187" w:hanging="187"/>
      </w:pPr>
      <w:r>
        <w:rPr>
          <w:b/>
        </w:rPr>
        <w:t xml:space="preserve">• </w:t>
      </w:r>
      <w:r>
        <w:t>Ask the coordinator to demonstrate the last delayed visit packet, including every workaround, rather than asking whether an app sounds useful.</w:t>
      </w:r>
    </w:p>
    <w:p>
      <w:pPr>
        <w:ind w:left="187" w:hanging="187"/>
      </w:pPr>
      <w:r>
        <w:rPr>
          <w:b/>
        </w:rPr>
        <w:t xml:space="preserve">• </w:t>
      </w:r>
      <w:r>
        <w:t>Ask the buyer what purchase, privacy, sponsor, and security approvals a $199 monthly tool would actually require.</w:t>
      </w:r>
    </w:p>
    <w:p>
      <w:pPr>
        <w:ind w:left="187" w:hanging="187"/>
      </w:pPr>
      <w:r>
        <w:rPr>
          <w:b/>
        </w:rPr>
        <w:t xml:space="preserve">• </w:t>
      </w:r>
      <w:r>
        <w:t>Test whether sites will run a paid pilot while keeping their existing eISF. If value depends on replacing the whole stack, reconsider the initial scope.</w:t>
      </w:r>
    </w:p>
    <w:p>
      <w:r>
        <w:t>The research record should connect each observation to a source, date, workflow, and product implication. For example, repeated complaints about delayed signatures support testing a review queue; they do not by themselves establish that the queue reduces regulatory risk. Current vendor and regulatory references are listed at the end of this document.</w:t>
      </w:r>
    </w:p>
    <w:p>
      <w:r>
        <w:br w:type="page"/>
      </w:r>
    </w:p>
    <w:p>
      <w:pPr>
        <w:pStyle w:val="Heading1"/>
      </w:pPr>
      <w:r>
        <w:rPr>
          <w:color w:val="000000"/>
        </w:rPr>
        <w:t>Workflow and experience requirements</w:t>
      </w:r>
    </w:p>
    <w:p>
      <w:r>
        <w:t>The experience must make record state obvious. A saved draft, a synchronized record, a reviewed packet, and a signed record are different states. Completion should never be inferred from a spinner disappearing or a reminder being sent.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2880"/>
        <w:gridCol w:w="5256"/>
      </w:tblGrid>
      <w:tr>
        <w:trPr>
          <w:cantSplit/>
          <w:tblHeader/>
        </w:trPr>
        <w:tc>
          <w:tcPr>
            <w:tcW w:type="dxa" w:w="93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Step</w:t>
            </w:r>
          </w:p>
        </w:tc>
        <w:tc>
          <w:tcPr>
            <w:tcW w:type="dxa" w:w="288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User action</w:t>
            </w:r>
          </w:p>
        </w:tc>
        <w:tc>
          <w:tcPr>
            <w:tcW w:type="dxa" w:w="525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Required behavior</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Prepare</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Choose study, visit, and approved checklist.</w:t>
            </w:r>
          </w:p>
        </w:tc>
        <w:tc>
          <w:tcPr>
            <w:tcW w:type="dxa" w:w="52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Display study identifier, template version, required fields, and authorized role.</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Capture</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Enter permitted observations and checklist items.</w:t>
            </w:r>
          </w:p>
        </w:tc>
        <w:tc>
          <w:tcPr>
            <w:tcW w:type="dxa" w:w="52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Save field-level progress; distinguish required, missing, and not-applicable values.</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Resolve</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 the prepared packet.</w:t>
            </w:r>
          </w:p>
        </w:tc>
        <w:tc>
          <w:tcPr>
            <w:tcW w:type="dxa" w:w="52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Expose source links, changed fields, missing documents, and unresolved exceptions.</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Route</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Request investigator review.</w:t>
            </w:r>
          </w:p>
        </w:tc>
        <w:tc>
          <w:tcPr>
            <w:tcW w:type="dxa" w:w="52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Choose an authorized reviewer; record routing time and the exact submitted version.</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Approve or return with a reason.</w:t>
            </w:r>
          </w:p>
        </w:tc>
        <w:tc>
          <w:tcPr>
            <w:tcW w:type="dxa" w:w="525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Preserve the submitted version; any later material edit requires renewed review.</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Close</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Export and reconcile external obligations.</w:t>
            </w:r>
          </w:p>
        </w:tc>
        <w:tc>
          <w:tcPr>
            <w:tcW w:type="dxa" w:w="525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Show export status and outstanding EDC or binder tasks separately from internal completion.</w:t>
            </w:r>
          </w:p>
        </w:tc>
      </w:tr>
    </w:tbl>
    <w:p>
      <w:pPr>
        <w:spacing w:after="0"/>
      </w:pPr>
    </w:p>
    <w:p>
      <w:pPr>
        <w:pStyle w:val="Heading2"/>
      </w:pPr>
      <w:r>
        <w:rPr>
          <w:color w:val="000000"/>
        </w:rPr>
        <w:t>Illustrative screen sequence</w:t>
      </w:r>
    </w:p>
    <w:p>
      <w:r>
        <w:t>Today view: assigned visits, overdue review requests, and sync state. Visit workspace: checklist, current document version, and a persistent save indicator. Review packet: source evidence beside prepared fields, with unresolved items above the approval action. Investigator queue: study, due date, changes, and the reason a review is required. These are interface specifications, not screenshots of a shipped product.</w:t>
      </w:r>
    </w:p>
    <w:p>
      <w:pPr>
        <w:pStyle w:val="Heading2"/>
      </w:pPr>
      <w:r>
        <w:rPr>
          <w:color w:val="000000"/>
        </w:rPr>
        <w:t>Critical edge cases</w:t>
      </w:r>
    </w:p>
    <w:p>
      <w:pPr>
        <w:ind w:left="187" w:hanging="187"/>
      </w:pPr>
      <w:r>
        <w:rPr>
          <w:b/>
        </w:rPr>
        <w:t xml:space="preserve">• </w:t>
      </w:r>
      <w:r>
        <w:t>Offline device: label changes as pending; allow draft capture only on approved encrypted devices; block signing until the server has the final version.</w:t>
      </w:r>
    </w:p>
    <w:p>
      <w:pPr>
        <w:ind w:left="187" w:hanging="187"/>
      </w:pPr>
      <w:r>
        <w:rPr>
          <w:b/>
        </w:rPr>
        <w:t xml:space="preserve">• </w:t>
      </w:r>
      <w:r>
        <w:t>Concurrent edits: preserve both versions, identify the conflicting fields, and require explicit reconciliation. Never silently apply last-write-wins to regulated data.</w:t>
      </w:r>
    </w:p>
    <w:p>
      <w:pPr>
        <w:ind w:left="187" w:hanging="187"/>
      </w:pPr>
      <w:r>
        <w:rPr>
          <w:b/>
        </w:rPr>
        <w:t xml:space="preserve">• </w:t>
      </w:r>
      <w:r>
        <w:t>Wrong participant or study: require explicit context confirmation before capture; restrict moving records across studies and retain the correction trail.</w:t>
      </w:r>
    </w:p>
    <w:p>
      <w:pPr>
        <w:ind w:left="187" w:hanging="187"/>
      </w:pPr>
      <w:r>
        <w:rPr>
          <w:b/>
        </w:rPr>
        <w:t xml:space="preserve">• </w:t>
      </w:r>
      <w:r>
        <w:t>Urgent clinical issue: direct users to the site’s established safety and reporting procedures. SiteFlow reminders are not a substitute for adverse-event reporting.</w:t>
      </w:r>
    </w:p>
    <w:p>
      <w:r>
        <w:br w:type="page"/>
      </w:r>
    </w:p>
    <w:p>
      <w:pPr>
        <w:pStyle w:val="Heading1"/>
      </w:pPr>
      <w:r>
        <w:rPr>
          <w:color w:val="000000"/>
        </w:rPr>
        <w:t>Scope and acceptance criteria</w:t>
      </w:r>
    </w:p>
    <w:p>
      <w:r>
        <w:t>P0 requirements define release blockers. P1 capabilities follow only when the pilot demonstrates value. The original three-feature scope remains, with narrower and testable claims.</w:t>
      </w:r>
    </w:p>
    <w:p>
      <w:pPr>
        <w:pStyle w:val="Heading2"/>
      </w:pPr>
      <w:r>
        <w:rPr>
          <w:color w:val="000000"/>
        </w:rPr>
        <w:t>P0 Mobile intake</w:t>
      </w:r>
    </w:p>
    <w:p>
      <w:r>
        <w:t>SF01: Given an authorized coordinator and an active study template, the system accepts only permitted field types and units, records the template version, and preserves entered values after an interrupted session. Required omissions remain visibly unresolved. Repeated save requests with the same operation identifier create one logical update.</w:t>
      </w:r>
    </w:p>
    <w:p>
      <w:r>
        <w:t>SF02: Given a lost connection, the device identifies pending changes and the last successful sync. Reconnection either confirms the server version or exposes a conflict for review. A test with two devices editing the same field must preserve both values and their authors. Clinical offline use is gated on device management and validation.</w:t>
      </w:r>
    </w:p>
    <w:p>
      <w:pPr>
        <w:pStyle w:val="Heading2"/>
      </w:pPr>
      <w:r>
        <w:rPr>
          <w:color w:val="000000"/>
        </w:rPr>
        <w:t>P0 Documentation preparation</w:t>
      </w:r>
    </w:p>
    <w:p>
      <w:r>
        <w:t>SF03: A configured event creates a draft entry in the designated study workflow. The entry retains the source reference, generating rule version, author, and timestamp. A coordinator can correct or reject it before filing. An unsupported event creates an exception task instead of an invented document. No claim of automatic regulatory compliance is made.</w:t>
      </w:r>
    </w:p>
    <w:p>
      <w:pPr>
        <w:pStyle w:val="Heading2"/>
      </w:pPr>
      <w:r>
        <w:rPr>
          <w:color w:val="000000"/>
        </w:rPr>
        <w:t>P0 Investigator review</w:t>
      </w:r>
    </w:p>
    <w:p>
      <w:r>
        <w:t>SF04: Only a currently authorized reviewer can sign a submitted record. The review identifies the record version and signature meaning. A material edit after signature invalidates completion for the edited version and creates a new review request while retaining the earlier signed record. SF05: exported records include their relevant metadata and change history and can be retrieved after site offboarding according to the agreed retention policy.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3312"/>
        <w:gridCol w:w="4824"/>
      </w:tblGrid>
      <w:tr>
        <w:trPr>
          <w:cantSplit/>
          <w:tblHeader/>
        </w:trPr>
        <w:tc>
          <w:tcPr>
            <w:tcW w:type="dxa" w:w="93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Priority</w:t>
            </w:r>
          </w:p>
        </w:tc>
        <w:tc>
          <w:tcPr>
            <w:tcW w:type="dxa" w:w="331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Deferred scope</w:t>
            </w:r>
          </w:p>
        </w:tc>
        <w:tc>
          <w:tcPr>
            <w:tcW w:type="dxa" w:w="482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Why</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P1</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Reusable protocol setup and richer reminders</w:t>
            </w:r>
          </w:p>
        </w:tc>
        <w:tc>
          <w:tcPr>
            <w:tcW w:type="dxa" w:w="482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Reduce rollout effort after the workflow proves useful.</w:t>
            </w:r>
          </w:p>
        </w:tc>
      </w:tr>
      <w:tr>
        <w:trPr>
          <w:cantSplit/>
        </w:trPr>
        <w:tc>
          <w:tcPr>
            <w:tcW w:type="dxa" w:w="93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P2</w:t>
            </w:r>
          </w:p>
        </w:tc>
        <w:tc>
          <w:tcPr>
            <w:tcW w:type="dxa" w:w="33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Sponsor EDC integration</w:t>
            </w:r>
          </w:p>
        </w:tc>
        <w:tc>
          <w:tcPr>
            <w:tcW w:type="dxa" w:w="482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Requires system-specific access, mapping, validation, and sponsor agreement.</w:t>
            </w:r>
          </w:p>
        </w:tc>
      </w:tr>
      <w:tr>
        <w:trPr>
          <w:cantSplit/>
        </w:trPr>
        <w:tc>
          <w:tcPr>
            <w:tcW w:type="dxa" w:w="93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P2</w:t>
            </w:r>
          </w:p>
        </w:tc>
        <w:tc>
          <w:tcPr>
            <w:tcW w:type="dxa" w:w="33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Multi-site reporting and financial operations</w:t>
            </w:r>
          </w:p>
        </w:tc>
        <w:tc>
          <w:tcPr>
            <w:tcW w:type="dxa" w:w="482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Different permissions and buyer needs; expands the implementation burden.</w:t>
            </w:r>
          </w:p>
        </w:tc>
      </w:tr>
    </w:tbl>
    <w:p>
      <w:pPr>
        <w:spacing w:after="0"/>
      </w:pPr>
    </w:p>
    <w:p>
      <w:r>
        <w:br w:type="page"/>
      </w:r>
    </w:p>
    <w:p>
      <w:pPr>
        <w:pStyle w:val="Heading1"/>
      </w:pPr>
      <w:r>
        <w:rPr>
          <w:color w:val="000000"/>
        </w:rPr>
        <w:t>Architecture and operational controls</w:t>
      </w:r>
    </w:p>
    <w:p>
      <w:r>
        <w:t>Proposed data flow: authenticated client → study-scoped workflow service → versioned record store and audit service → review queue → controlled export. Templates and rules are configuration with version history. External integrations are adapters with explicit failures, rather than hidden dependencies of the core save path.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7200"/>
      </w:tblGrid>
      <w:tr>
        <w:trPr>
          <w:cantSplit/>
          <w:tblHeader/>
        </w:trPr>
        <w:tc>
          <w:tcPr>
            <w:tcW w:type="dxa" w:w="187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Entity</w:t>
            </w:r>
          </w:p>
        </w:tc>
        <w:tc>
          <w:tcPr>
            <w:tcW w:type="dxa" w:w="720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Minimum data and invariant</w:t>
            </w:r>
          </w:p>
        </w:tc>
      </w:tr>
      <w:tr>
        <w:trPr>
          <w:cantSplit/>
        </w:trPr>
        <w:tc>
          <w:tcPr>
            <w:tcW w:type="dxa" w:w="187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Study and template</w:t>
            </w:r>
          </w:p>
        </w:tc>
        <w:tc>
          <w:tcPr>
            <w:tcW w:type="dxa" w:w="72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Study ID, site ID, protocol and template versions, active dates. A record always retains the version used to create it.</w:t>
            </w:r>
          </w:p>
        </w:tc>
      </w:tr>
      <w:tr>
        <w:trPr>
          <w:cantSplit/>
        </w:trPr>
        <w:tc>
          <w:tcPr>
            <w:tcW w:type="dxa" w:w="187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Visit record</w:t>
            </w:r>
          </w:p>
        </w:tc>
        <w:tc>
          <w:tcPr>
            <w:tcW w:type="dxa" w:w="72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Subject code, visit ID, permitted observations, author, capture time, sync state, version. Subject codes may still be identifiable and require protection.</w:t>
            </w:r>
          </w:p>
        </w:tc>
      </w:tr>
      <w:tr>
        <w:trPr>
          <w:cantSplit/>
        </w:trPr>
        <w:tc>
          <w:tcPr>
            <w:tcW w:type="dxa" w:w="187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 and signature</w:t>
            </w:r>
          </w:p>
        </w:tc>
        <w:tc>
          <w:tcPr>
            <w:tcW w:type="dxa" w:w="72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Reviewer identity, authority, record version, meaning, timestamp, and disposition. Prior signatures are never overwritten.</w:t>
            </w:r>
          </w:p>
        </w:tc>
      </w:tr>
      <w:tr>
        <w:trPr>
          <w:cantSplit/>
        </w:trPr>
        <w:tc>
          <w:tcPr>
            <w:tcW w:type="dxa" w:w="187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Audit event</w:t>
            </w:r>
          </w:p>
        </w:tc>
        <w:tc>
          <w:tcPr>
            <w:tcW w:type="dxa" w:w="72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Actor, action, record reference, old and new values or their version references, reason, and server timestamp. End users cannot edit audit history.</w:t>
            </w:r>
          </w:p>
        </w:tc>
      </w:tr>
    </w:tbl>
    <w:p>
      <w:pPr>
        <w:spacing w:after="0"/>
      </w:pPr>
    </w:p>
    <w:p>
      <w:pPr>
        <w:pStyle w:val="Heading2"/>
      </w:pPr>
      <w:r>
        <w:rPr>
          <w:color w:val="000000"/>
        </w:rPr>
        <w:t>Validation and privacy requirements</w:t>
      </w:r>
    </w:p>
    <w:p>
      <w:r>
        <w:t>FDA guidance treats trustworthy electronic records as a combination of controls and intended-use validation; timestamps alone are insufficient. The release plan therefore requires traceability from each regulated requirement to evidence, role-based access tests, change controls, export verification, and documented recovery procedures. The site must determine applicability with its qualified compliance reviewers. [S4, S5]</w:t>
      </w:r>
    </w:p>
    <w:p>
      <w:r>
        <w:t>If SiteFlow processes protected health information on behalf of a HIPAA covered entity or business associate, appropriate business associate agreements and safeguards are required. Encryption does not remove that assessment. A demonstration can use simulated records; real clinical data remains gated on agreements, risk assessment, and approved operating procedures. [S6]</w:t>
      </w:r>
    </w:p>
    <w:p>
      <w:pPr>
        <w:ind w:left="187" w:hanging="187"/>
      </w:pPr>
      <w:r>
        <w:rPr>
          <w:b/>
        </w:rPr>
        <w:t xml:space="preserve">• </w:t>
      </w:r>
      <w:r>
        <w:t>Proposed service targets: 99.5% monthly availability; online save p95 under two seconds on the documented test network; alert on failed durable saves. These are acceptance targets, not contractual SLAs.</w:t>
      </w:r>
    </w:p>
    <w:p>
      <w:pPr>
        <w:ind w:left="187" w:hanging="187"/>
      </w:pPr>
      <w:r>
        <w:rPr>
          <w:b/>
        </w:rPr>
        <w:t xml:space="preserve">• </w:t>
      </w:r>
      <w:r>
        <w:t>Recovery proposal: encrypted backups, quarterly restore exercises, RPO no worse than 15 minutes and RTO within four hours for server incidents. Confirm acceptability with pilot sites.</w:t>
      </w:r>
    </w:p>
    <w:p>
      <w:pPr>
        <w:ind w:left="187" w:hanging="187"/>
      </w:pPr>
      <w:r>
        <w:rPr>
          <w:b/>
        </w:rPr>
        <w:t xml:space="preserve">• </w:t>
      </w:r>
      <w:r>
        <w:t>Define study-specific retention, legal holds, access revocation, and export ownership before onboarding. Never apply a universal deletion period to all trial records.</w:t>
      </w:r>
    </w:p>
    <w:p>
      <w:r>
        <w:br w:type="page"/>
      </w:r>
    </w:p>
    <w:p>
      <w:pPr>
        <w:pStyle w:val="Heading1"/>
      </w:pPr>
      <w:r>
        <w:rPr>
          <w:color w:val="000000"/>
        </w:rPr>
        <w:t>Measurement and validation plan</w:t>
      </w:r>
    </w:p>
    <w:p>
      <w:r>
        <w:t>Use completed eligible visits as the unit of work. Compare total administrative time, including rework and external reconciliation, so moving labor to another screen cannot appear as a productivity win.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4464"/>
        <w:gridCol w:w="2880"/>
      </w:tblGrid>
      <w:tr>
        <w:trPr>
          <w:cantSplit/>
          <w:tblHeader/>
        </w:trPr>
        <w:tc>
          <w:tcPr>
            <w:tcW w:type="dxa" w:w="17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Metric</w:t>
            </w:r>
          </w:p>
        </w:tc>
        <w:tc>
          <w:tcPr>
            <w:tcW w:type="dxa" w:w="446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Definition</w:t>
            </w:r>
          </w:p>
        </w:tc>
        <w:tc>
          <w:tcPr>
            <w:tcW w:type="dxa" w:w="288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Proposed pilot gate</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Administrative time</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Active coordinator minutes from intake through reconciliation per eligible visit; report site-level medians.</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At least 30% median reduction with no deterioration in completeness.</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Record completeness</w:t>
            </w:r>
          </w:p>
        </w:tc>
        <w:tc>
          <w:tcPr>
            <w:tcW w:type="dxa" w:w="44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Visits with all required reviewed items at the agreed deadline / eligible visits.</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No lower than the site baseline.</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Review delay</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Elapsed hours from ready-for-review to valid review; report p50 and p90.</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Improve versus each site’s baseline; retain &lt;4 hours as an aspirational target.</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Weekly active use</w:t>
            </w:r>
          </w:p>
        </w:tc>
        <w:tc>
          <w:tcPr>
            <w:tcW w:type="dxa" w:w="44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Sessions containing a meaningful CRC capture or review action, excluding login and background sync.</w:t>
            </w:r>
          </w:p>
        </w:tc>
        <w:tc>
          <w:tcPr>
            <w:tcW w:type="dxa" w:w="288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Retain original target of ≥4 active CRC sessions/site/week by Day 90.</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Paid continuation</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Pilot sites that accept the proposed paid continuation / sites completing the pilot.</w:t>
            </w:r>
          </w:p>
        </w:tc>
        <w:tc>
          <w:tcPr>
            <w:tcW w:type="dxa" w:w="288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At least 3 of the initial 6 sites, with buyer objections documented.</w:t>
            </w:r>
          </w:p>
        </w:tc>
      </w:tr>
    </w:tbl>
    <w:p>
      <w:pPr>
        <w:spacing w:after="0"/>
      </w:pPr>
    </w:p>
    <w:p>
      <w:pPr>
        <w:pStyle w:val="Heading2"/>
      </w:pPr>
      <w:r>
        <w:rPr>
          <w:color w:val="000000"/>
        </w:rPr>
        <w:t>Study design</w:t>
      </w:r>
    </w:p>
    <w:p>
      <w:r>
        <w:t>Observe two baseline weeks and four pilot weeks, targeting at least 20 comparable visits per site in each period where feasible. Keep protocol and visit type comparable and log staffing or study changes. Analyze paired site medians and ranges; do not treat hundreds of visits at one site as hundreds of independent customer validations. This pilot informs a go or no-go decision rather than proving population-wide efficacy.</w:t>
      </w:r>
    </w:p>
    <w:p>
      <w:r>
        <w:t>Events: visit_started, intake_saved, sync_failed, conflict_resolved, packet_submitted, review_returned, review_signed, export_completed. Include pseudonymous site and study identifiers, template version, and elapsed time; exclude patient narrative from analytics. Measure active time with idle detection and corroborate a sample through observation.</w:t>
      </w:r>
    </w:p>
    <w:p>
      <w:r>
        <w:t>Original goals remain stretch hypotheses: 80% less clipboard transcription, 95% of supported capture events without manual binder updates, 25 paid sites in 90 days, 50% less binder time, &gt;70% investigator adoption, and CRC NPS &gt;50. Each requires a baseline, a defined denominator, and measured pilot evidence before appearing as an outcome.</w:t>
      </w:r>
    </w:p>
    <w:p>
      <w:r>
        <w:br w:type="page"/>
      </w:r>
    </w:p>
    <w:p>
      <w:pPr>
        <w:pStyle w:val="Heading1"/>
      </w:pPr>
      <w:r>
        <w:rPr>
          <w:color w:val="000000"/>
        </w:rPr>
        <w:t>Competition and economic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816"/>
        <w:gridCol w:w="3528"/>
      </w:tblGrid>
      <w:tr>
        <w:trPr>
          <w:cantSplit/>
          <w:tblHeader/>
        </w:trPr>
        <w:tc>
          <w:tcPr>
            <w:tcW w:type="dxa" w:w="17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Alternative</w:t>
            </w:r>
          </w:p>
        </w:tc>
        <w:tc>
          <w:tcPr>
            <w:tcW w:type="dxa" w:w="381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Established capability</w:t>
            </w:r>
          </w:p>
        </w:tc>
        <w:tc>
          <w:tcPr>
            <w:tcW w:type="dxa" w:w="352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Testable SiteFlow advantage</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Veeva SiteVault</w:t>
            </w:r>
          </w:p>
        </w:tc>
        <w:tc>
          <w:tcPr>
            <w:tcW w:type="dxa" w:w="381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Site-focused eISF; free tier through 20 active studies; related CTMS and eConsent offerings. [S1, S2]</w:t>
            </w:r>
          </w:p>
        </w:tc>
        <w:tc>
          <w:tcPr>
            <w:tcW w:type="dxa" w:w="35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Faster visit-to-review completion in the chosen workflow, including setup and training costs.</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Florence</w:t>
            </w:r>
          </w:p>
        </w:tc>
        <w:tc>
          <w:tcPr>
            <w:tcW w:type="dxa" w:w="381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eRegulatory, eSource, and eConsent capabilities. [S3]</w:t>
            </w:r>
          </w:p>
        </w:tc>
        <w:tc>
          <w:tcPr>
            <w:tcW w:type="dxa" w:w="35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Lower implementation burden for a small practice; benchmark on the same tasks.</w:t>
            </w:r>
          </w:p>
        </w:tc>
      </w:tr>
      <w:tr>
        <w:trPr>
          <w:cantSplit/>
        </w:trPr>
        <w:tc>
          <w:tcPr>
            <w:tcW w:type="dxa" w:w="17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Paper and spreadsheet</w:t>
            </w:r>
          </w:p>
        </w:tc>
        <w:tc>
          <w:tcPr>
            <w:tcW w:type="dxa" w:w="381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Familiar and customizable; low incremental subscription cost.</w:t>
            </w:r>
          </w:p>
        </w:tc>
        <w:tc>
          <w:tcPr>
            <w:tcW w:type="dxa" w:w="352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Reliable versioning and handoffs without adding reconciliation work.</w:t>
            </w:r>
          </w:p>
        </w:tc>
      </w:tr>
      <w:tr>
        <w:trPr>
          <w:cantSplit/>
        </w:trPr>
        <w:tc>
          <w:tcPr>
            <w:tcW w:type="dxa" w:w="17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Existing sponsor EDC</w:t>
            </w:r>
          </w:p>
        </w:tc>
        <w:tc>
          <w:tcPr>
            <w:tcW w:type="dxa" w:w="381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Required study-specific data collection workflow.</w:t>
            </w:r>
          </w:p>
        </w:tc>
        <w:tc>
          <w:tcPr>
            <w:tcW w:type="dxa" w:w="352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Complementary site workflow; no replacement claim before integration approval.</w:t>
            </w:r>
          </w:p>
        </w:tc>
      </w:tr>
    </w:tbl>
    <w:p>
      <w:pPr>
        <w:spacing w:after="0"/>
      </w:pPr>
    </w:p>
    <w:p>
      <w:pPr>
        <w:pStyle w:val="Heading2"/>
      </w:pPr>
      <w:r>
        <w:rPr>
          <w:color w:val="000000"/>
        </w:rPr>
        <w:t>Revenue sensitivity</w:t>
      </w:r>
    </w:p>
    <w:p>
      <w:r>
        <w:t>The original 9,700-site estimate is retained as a planning input, not a verified count derived by treating trial records as unique independent sites. A defensible market model must deduplicate operating locations and identify independence, active trial count, geography, and software eligibility.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1512"/>
        <w:gridCol w:w="4464"/>
      </w:tblGrid>
      <w:tr>
        <w:trPr>
          <w:cantSplit/>
          <w:tblHeader/>
        </w:trPr>
        <w:tc>
          <w:tcPr>
            <w:tcW w:type="dxa" w:w="3096"/>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Adoption of 9,700 sites</w:t>
            </w:r>
          </w:p>
        </w:tc>
        <w:tc>
          <w:tcPr>
            <w:tcW w:type="dxa" w:w="151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Paying sites</w:t>
            </w:r>
          </w:p>
        </w:tc>
        <w:tc>
          <w:tcPr>
            <w:tcW w:type="dxa" w:w="446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Annual recurring revenue at $199 monthly</w:t>
            </w:r>
          </w:p>
        </w:tc>
      </w:tr>
      <w:tr>
        <w:trPr>
          <w:cantSplit/>
        </w:trPr>
        <w:tc>
          <w:tcPr>
            <w:tcW w:type="dxa" w:w="30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w:t>
            </w:r>
          </w:p>
        </w:tc>
        <w:tc>
          <w:tcPr>
            <w:tcW w:type="dxa" w:w="15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97</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$231,636</w:t>
            </w:r>
          </w:p>
        </w:tc>
      </w:tr>
      <w:tr>
        <w:trPr>
          <w:cantSplit/>
        </w:trPr>
        <w:tc>
          <w:tcPr>
            <w:tcW w:type="dxa" w:w="3096"/>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3%</w:t>
            </w:r>
          </w:p>
        </w:tc>
        <w:tc>
          <w:tcPr>
            <w:tcW w:type="dxa" w:w="151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291</w:t>
            </w:r>
          </w:p>
        </w:tc>
        <w:tc>
          <w:tcPr>
            <w:tcW w:type="dxa" w:w="446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$694,908</w:t>
            </w:r>
          </w:p>
        </w:tc>
      </w:tr>
      <w:tr>
        <w:trPr>
          <w:cantSplit/>
        </w:trPr>
        <w:tc>
          <w:tcPr>
            <w:tcW w:type="dxa" w:w="3096"/>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5%</w:t>
            </w:r>
          </w:p>
        </w:tc>
        <w:tc>
          <w:tcPr>
            <w:tcW w:type="dxa" w:w="151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485</w:t>
            </w:r>
          </w:p>
        </w:tc>
        <w:tc>
          <w:tcPr>
            <w:tcW w:type="dxa" w:w="446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$1,158,180</w:t>
            </w:r>
          </w:p>
        </w:tc>
      </w:tr>
    </w:tbl>
    <w:p>
      <w:pPr>
        <w:spacing w:after="0"/>
      </w:pPr>
    </w:p>
    <w:p>
      <w:r>
        <w:t>At 25 paying sites, monthly recurring revenue is $4,975 and annualized recurring revenue is $59,700. These calculations correct the original $11.6M figure at 5% adoption. They are scenarios, not forecasts. The original ~20K, ~25K, and 30K coordinator figures use different implied staffing assumptions; site count is the consistent revenue denominator.</w:t>
      </w:r>
    </w:p>
    <w:p>
      <w:r>
        <w:t>At an illustrative $40 per hour of coordinator time, the subscription alone requires about five hours of monthly savings to break even. Implementation and training add to that threshold. At an assumed 80% contribution margin, monthly contribution is $159.20 and six-month CAC payback implies acquisition cost of at most $955.20 before onboarding cost. Measure support time and validation effort before accepting these margin assumptions.</w:t>
      </w:r>
    </w:p>
    <w:p>
      <w:r>
        <w:br w:type="page"/>
      </w:r>
    </w:p>
    <w:p>
      <w:pPr>
        <w:pStyle w:val="Heading1"/>
      </w:pPr>
      <w:r>
        <w:rPr>
          <w:color w:val="000000"/>
        </w:rPr>
        <w:t>Execution plan and release gates</w:t>
      </w:r>
    </w:p>
    <w:p>
      <w:r>
        <w:t>Use a 13-week planning sequence, with regulated use governed by exit criteria rather than a fixed launch promise. Proposed resourcing is a product lead, designer, two engineers, a clinical workflow adviser, and qualified privacy and compliance review. These are required roles, not a staffed team.</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8"/>
        <w:gridCol w:w="4104"/>
        <w:gridCol w:w="3600"/>
      </w:tblGrid>
      <w:tr>
        <w:trPr>
          <w:cantSplit/>
          <w:tblHeader/>
        </w:trPr>
        <w:tc>
          <w:tcPr>
            <w:tcW w:type="dxa" w:w="1368"/>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Phase</w:t>
            </w:r>
          </w:p>
        </w:tc>
        <w:tc>
          <w:tcPr>
            <w:tcW w:type="dxa" w:w="4104"/>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Work</w:t>
            </w:r>
          </w:p>
        </w:tc>
        <w:tc>
          <w:tcPr>
            <w:tcW w:type="dxa" w:w="360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Exit gate</w:t>
            </w:r>
          </w:p>
        </w:tc>
      </w:tr>
      <w:tr>
        <w:trPr>
          <w:cantSplit/>
        </w:trPr>
        <w:tc>
          <w:tcPr>
            <w:tcW w:type="dxa" w:w="136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1–2</w:t>
            </w:r>
          </w:p>
        </w:tc>
        <w:tc>
          <w:tcPr>
            <w:tcW w:type="dxa" w:w="410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Interview and observe sites; document workflow and procurement; establish record boundaries.</w:t>
            </w:r>
          </w:p>
        </w:tc>
        <w:tc>
          <w:tcPr>
            <w:tcW w:type="dxa" w:w="36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A repeated pain point, identified buyer, approved pilot protocol, and a task benchmark.</w:t>
            </w:r>
          </w:p>
        </w:tc>
      </w:tr>
      <w:tr>
        <w:trPr>
          <w:cantSplit/>
        </w:trPr>
        <w:tc>
          <w:tcPr>
            <w:tcW w:type="dxa" w:w="136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Weeks 3–5</w:t>
            </w:r>
          </w:p>
        </w:tc>
        <w:tc>
          <w:tcPr>
            <w:tcW w:type="dxa" w:w="410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Prototype intake and review with simulated data; model permissions, versions, and conflict resolution.</w:t>
            </w:r>
          </w:p>
        </w:tc>
        <w:tc>
          <w:tcPr>
            <w:tcW w:type="dxa" w:w="36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Users complete the core sequence without moderator intervention; critical failure states exercised.</w:t>
            </w:r>
          </w:p>
        </w:tc>
      </w:tr>
      <w:tr>
        <w:trPr>
          <w:cantSplit/>
        </w:trPr>
        <w:tc>
          <w:tcPr>
            <w:tcW w:type="dxa" w:w="1368"/>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Weeks 6–9</w:t>
            </w:r>
          </w:p>
        </w:tc>
        <w:tc>
          <w:tcPr>
            <w:tcW w:type="dxa" w:w="4104"/>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Implement controlled pilot scope, audit history, export, and recovery; perform validation and privacy review.</w:t>
            </w:r>
          </w:p>
        </w:tc>
        <w:tc>
          <w:tcPr>
            <w:tcW w:type="dxa" w:w="360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Required agreements and test evidence accepted; no unresolved critical data-integrity defect.</w:t>
            </w:r>
          </w:p>
        </w:tc>
      </w:tr>
      <w:tr>
        <w:trPr>
          <w:cantSplit/>
        </w:trPr>
        <w:tc>
          <w:tcPr>
            <w:tcW w:type="dxa" w:w="1368"/>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Weeks 10–13</w:t>
            </w:r>
          </w:p>
        </w:tc>
        <w:tc>
          <w:tcPr>
            <w:tcW w:type="dxa" w:w="4104"/>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Run a limited pilot, investigate exceptions, measure total work, and test paid continuation.</w:t>
            </w:r>
          </w:p>
        </w:tc>
        <w:tc>
          <w:tcPr>
            <w:tcW w:type="dxa" w:w="360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Outcome and integrity gates met; support economics documented before expansion.</w:t>
            </w:r>
          </w:p>
        </w:tc>
      </w:tr>
    </w:tbl>
    <w:p>
      <w:pPr>
        <w:spacing w:after="0"/>
      </w:pPr>
    </w:p>
    <w:p>
      <w:pPr>
        <w:pStyle w:val="Heading2"/>
      </w:pPr>
      <w:r>
        <w:rPr>
          <w:color w:val="000000"/>
        </w:rPr>
        <w:t>Experiment sequence</w:t>
      </w:r>
    </w:p>
    <w:p>
      <w:pPr>
        <w:ind w:left="187" w:hanging="187"/>
      </w:pPr>
      <w:r>
        <w:rPr>
          <w:b/>
        </w:rPr>
        <w:t xml:space="preserve">• </w:t>
      </w:r>
      <w:r>
        <w:t>Workflow usability: eight coordinators complete the same visit task in the prototype and current process. Counterbalance order and document errors as well as time.</w:t>
      </w:r>
    </w:p>
    <w:p>
      <w:pPr>
        <w:ind w:left="187" w:hanging="187"/>
      </w:pPr>
      <w:r>
        <w:rPr>
          <w:b/>
        </w:rPr>
        <w:t xml:space="preserve">• </w:t>
      </w:r>
      <w:r>
        <w:t>Buyer test: present the $199 price with explicit implementation requirements. Record paid-pilot acceptance or rejection; a positive interview is not willingness to pay.</w:t>
      </w:r>
    </w:p>
    <w:p>
      <w:pPr>
        <w:ind w:left="187" w:hanging="187"/>
      </w:pPr>
      <w:r>
        <w:rPr>
          <w:b/>
        </w:rPr>
        <w:t xml:space="preserve">• </w:t>
      </w:r>
      <w:r>
        <w:t>Reminder test: only after a baseline exists, compare timed review reminders across eligible study periods. Track nuisance alerts and inappropriate escalations alongside delay reduction.</w:t>
      </w:r>
    </w:p>
    <w:p>
      <w:pPr>
        <w:pStyle w:val="Heading2"/>
      </w:pPr>
      <w:r>
        <w:rPr>
          <w:color w:val="000000"/>
        </w:rPr>
        <w:t>Stop or narrow the product</w:t>
      </w:r>
    </w:p>
    <w:p>
      <w:r>
        <w:t>Pause clinical use after any lost record, unauthorized disclosure, or invalid signature state. Narrow the scope if templates require extensive per-study custom engineering. Reconsider the business if time savings disappear after accounting for duplicate sponsor entry, or if sites prefer their existing free tool even after seeing the workflow difference. Expansion requires a clear answer to these objections.</w:t>
      </w:r>
    </w:p>
    <w:p>
      <w:r>
        <w:br w:type="page"/>
      </w:r>
    </w:p>
    <w:p>
      <w:pPr>
        <w:pStyle w:val="Heading1"/>
      </w:pPr>
      <w:r>
        <w:rPr>
          <w:color w:val="000000"/>
        </w:rPr>
        <w:t>Product judgment and unresolved decisions</w:t>
      </w:r>
    </w:p>
    <w:p>
      <w:pPr>
        <w:pStyle w:val="Heading2"/>
      </w:pPr>
      <w:r>
        <w:rPr>
          <w:color w:val="000000"/>
        </w:rPr>
        <w:t>Decisions worth defending</w:t>
      </w:r>
    </w:p>
    <w:p>
      <w:r>
        <w:t>I would preserve sponsor EDC as an explicit boundary because a universal integration promise would hide the hardest implementation dependency. I would treat regulatory automation as preparation and routing, with authorized review, because a correctly formatted document is not evidence that its clinical content or process is compliant. I would measure end-to-end work because a fast intake screen can still create downstream rework.</w:t>
      </w:r>
    </w:p>
    <w:p>
      <w:pPr>
        <w:pStyle w:val="Heading2"/>
      </w:pPr>
      <w:r>
        <w:rPr>
          <w:color w:val="000000"/>
        </w:rPr>
        <w:t>Highest priority open questions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3960"/>
        <w:gridCol w:w="2160"/>
      </w:tblGrid>
      <w:tr>
        <w:trPr>
          <w:cantSplit/>
          <w:tblHeader/>
        </w:trPr>
        <w:tc>
          <w:tcPr>
            <w:tcW w:type="dxa" w:w="2952"/>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Question</w:t>
            </w:r>
          </w:p>
        </w:tc>
        <w:tc>
          <w:tcPr>
            <w:tcW w:type="dxa" w:w="396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Evidence needed</w:t>
            </w:r>
          </w:p>
        </w:tc>
        <w:tc>
          <w:tcPr>
            <w:tcW w:type="dxa" w:w="2160"/>
            <w:vAlign w:val="center"/>
            <w:tcMar>
              <w:top w:w="85" w:type="dxa"/>
              <w:bottom w:w="85" w:type="dxa"/>
              <w:left w:w="85" w:type="dxa"/>
              <w:right w:w="85" w:type="dxa"/>
            </w:tcMar>
            <w:shd w:fill="16344A"/>
          </w:tcPr>
          <w:p>
            <w:pPr>
              <w:spacing w:after="0" w:before="0" w:line="259" w:lineRule="auto"/>
            </w:pPr>
            <w:r>
              <w:rPr>
                <w:rFonts w:ascii="Arial" w:hAnsi="Arial"/>
                <w:b/>
                <w:color w:val="FFFFFF"/>
                <w:sz w:val="18"/>
              </w:rPr>
              <w:t>Decision owner</w:t>
            </w:r>
          </w:p>
        </w:tc>
      </w:tr>
      <w:tr>
        <w:trPr>
          <w:cantSplit/>
        </w:trPr>
        <w:tc>
          <w:tcPr>
            <w:tcW w:type="dxa" w:w="29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Which workflow earns a paid place beside existing tools?</w:t>
            </w:r>
          </w:p>
        </w:tc>
        <w:tc>
          <w:tcPr>
            <w:tcW w:type="dxa" w:w="39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Observed task comparison at sites already using eISF.</w:t>
            </w:r>
          </w:p>
        </w:tc>
        <w:tc>
          <w:tcPr>
            <w:tcW w:type="dxa" w:w="21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Product and clinical adviser</w:t>
            </w:r>
          </w:p>
        </w:tc>
      </w:tr>
      <w:tr>
        <w:trPr>
          <w:cantSplit/>
        </w:trPr>
        <w:tc>
          <w:tcPr>
            <w:tcW w:type="dxa" w:w="29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Can each site approve real-data use?</w:t>
            </w:r>
          </w:p>
        </w:tc>
        <w:tc>
          <w:tcPr>
            <w:tcW w:type="dxa" w:w="396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Study, sponsor, privacy, and validation requirements.</w:t>
            </w:r>
          </w:p>
        </w:tc>
        <w:tc>
          <w:tcPr>
            <w:tcW w:type="dxa" w:w="216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Site leadership and qualified reviewers</w:t>
            </w:r>
          </w:p>
        </w:tc>
      </w:tr>
      <w:tr>
        <w:trPr>
          <w:cantSplit/>
        </w:trPr>
        <w:tc>
          <w:tcPr>
            <w:tcW w:type="dxa" w:w="2952"/>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Is offline clinical capture essential?</w:t>
            </w:r>
          </w:p>
        </w:tc>
        <w:tc>
          <w:tcPr>
            <w:tcW w:type="dxa" w:w="39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Frequency and consequences of connectivity loss.</w:t>
            </w:r>
          </w:p>
        </w:tc>
        <w:tc>
          <w:tcPr>
            <w:tcW w:type="dxa" w:w="2160"/>
            <w:vAlign w:val="center"/>
            <w:tcMar>
              <w:top w:w="85" w:type="dxa"/>
              <w:bottom w:w="85" w:type="dxa"/>
              <w:left w:w="85" w:type="dxa"/>
              <w:right w:w="85" w:type="dxa"/>
            </w:tcMar>
            <w:shd w:fill="FFFFFF"/>
          </w:tcPr>
          <w:p>
            <w:pPr>
              <w:spacing w:after="0" w:before="0" w:line="259" w:lineRule="auto"/>
            </w:pPr>
            <w:r>
              <w:rPr>
                <w:rFonts w:ascii="Arial" w:hAnsi="Arial"/>
                <w:b w:val="0"/>
                <w:color w:val="222222"/>
                <w:sz w:val="18"/>
              </w:rPr>
              <w:t>Product and engineering</w:t>
            </w:r>
          </w:p>
        </w:tc>
      </w:tr>
      <w:tr>
        <w:trPr>
          <w:cantSplit/>
        </w:trPr>
        <w:tc>
          <w:tcPr>
            <w:tcW w:type="dxa" w:w="2952"/>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Does $199 cover onboarding and support?</w:t>
            </w:r>
          </w:p>
        </w:tc>
        <w:tc>
          <w:tcPr>
            <w:tcW w:type="dxa" w:w="396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Per-site implementation hours, support tickets, and gross contribution.</w:t>
            </w:r>
          </w:p>
        </w:tc>
        <w:tc>
          <w:tcPr>
            <w:tcW w:type="dxa" w:w="2160"/>
            <w:vAlign w:val="center"/>
            <w:tcMar>
              <w:top w:w="85" w:type="dxa"/>
              <w:bottom w:w="85" w:type="dxa"/>
              <w:left w:w="85" w:type="dxa"/>
              <w:right w:w="85" w:type="dxa"/>
            </w:tcMar>
            <w:shd w:fill="F3F6F8"/>
          </w:tcPr>
          <w:p>
            <w:pPr>
              <w:spacing w:after="0" w:before="0" w:line="259" w:lineRule="auto"/>
            </w:pPr>
            <w:r>
              <w:rPr>
                <w:rFonts w:ascii="Arial" w:hAnsi="Arial"/>
                <w:b w:val="0"/>
                <w:color w:val="222222"/>
                <w:sz w:val="18"/>
              </w:rPr>
              <w:t>Product and commercial lead</w:t>
            </w:r>
          </w:p>
        </w:tc>
      </w:tr>
    </w:tbl>
    <w:p>
      <w:pPr>
        <w:spacing w:after="0"/>
      </w:pPr>
    </w:p>
    <w:p>
      <w:pPr>
        <w:pStyle w:val="Heading2"/>
      </w:pPr>
      <w:r>
        <w:rPr>
          <w:color w:val="000000"/>
        </w:rPr>
        <w:t>What a successful next iteration would establish</w:t>
      </w:r>
    </w:p>
    <w:p>
      <w:r>
        <w:t>A strong next iteration would produce an annotated discovery corpus, a task-level comparison against the site’s actual alternative, a tested prototype, a traceable acceptance-test pack, and paid-pilot decisions. Those artifacts would show whether the coordinator problem supports the proposed business. No pilot interviews, implementation outcomes, or customer commitments are implied by this PRD.</w:t>
      </w:r>
    </w:p>
    <w:p>
      <w:pPr>
        <w:pStyle w:val="Heading2"/>
      </w:pPr>
      <w:r>
        <w:rPr>
          <w:color w:val="000000"/>
        </w:rPr>
        <w:t>Research interpretation</w:t>
      </w:r>
    </w:p>
    <w:p>
      <w:r>
        <w:t>Public product documentation establishes what vendors advertise and support. It does not prove that their workflows are easy or difficult at a particular site. The original discovery observations about frustration remain useful, but SiteFlow’s competitive claim should be tested against current products and the specific customer workflow. The selected case remains clinical site operations throughout.</w:t>
      </w:r>
    </w:p>
    <w:p>
      <w:r>
        <w:br w:type="page"/>
      </w:r>
    </w:p>
    <w:p>
      <w:pPr>
        <w:pStyle w:val="Heading1"/>
      </w:pPr>
      <w:r>
        <w:rPr>
          <w:color w:val="000000"/>
        </w:rPr>
        <w:t>Research references</w:t>
      </w:r>
    </w:p>
    <w:p>
      <w:r>
        <w:t>External research checked in September 2026. Bracketed references identify the source supporting the adjacent claim. Product documentation establishes stated capabilities; proposed architecture, tests, targets, and business scenarios are product recommendations.</w:t>
      </w:r>
    </w:p>
    <w:p>
      <w:pPr>
        <w:keepNext/>
      </w:pPr>
      <w:r>
        <w:rPr>
          <w:b/>
        </w:rPr>
        <w:t xml:space="preserve">S1  </w:t>
      </w:r>
      <w:hyperlink r:id="rId10">
        <w:r>
          <w:rPr>
            <w:color w:val="145A83"/>
          </w:rPr>
          <w:t>Veeva SiteVault eISF</w:t>
        </w:r>
      </w:hyperlink>
    </w:p>
    <w:p>
      <w:pPr>
        <w:spacing w:after="200"/>
      </w:pPr>
      <w:r>
        <w:t>Product capabilities and free tier for sites with up to 20 active studies.</w:t>
      </w:r>
    </w:p>
    <w:p>
      <w:pPr>
        <w:keepNext/>
      </w:pPr>
      <w:r>
        <w:rPr>
          <w:b/>
        </w:rPr>
        <w:t xml:space="preserve">S2  </w:t>
      </w:r>
      <w:hyperlink r:id="rId11">
        <w:r>
          <w:rPr>
            <w:color w:val="145A83"/>
          </w:rPr>
          <w:t>Veeva SiteVault product overview</w:t>
        </w:r>
      </w:hyperlink>
    </w:p>
    <w:p>
      <w:pPr>
        <w:spacing w:after="200"/>
      </w:pPr>
      <w:r>
        <w:t>Site operations products and announced eSource direction.</w:t>
      </w:r>
    </w:p>
    <w:p>
      <w:pPr>
        <w:keepNext/>
      </w:pPr>
      <w:r>
        <w:rPr>
          <w:b/>
        </w:rPr>
        <w:t xml:space="preserve">S3  </w:t>
      </w:r>
      <w:hyperlink r:id="rId12">
        <w:r>
          <w:rPr>
            <w:color w:val="145A83"/>
          </w:rPr>
          <w:t>Florence eRegulatory overview</w:t>
        </w:r>
      </w:hyperlink>
    </w:p>
    <w:p>
      <w:pPr>
        <w:spacing w:after="200"/>
      </w:pPr>
      <w:r>
        <w:t>Existing eRegulatory, eSource, and eConsent capabilities.</w:t>
      </w:r>
    </w:p>
    <w:p>
      <w:pPr>
        <w:keepNext/>
      </w:pPr>
      <w:r>
        <w:rPr>
          <w:b/>
        </w:rPr>
        <w:t xml:space="preserve">S4  </w:t>
      </w:r>
      <w:hyperlink r:id="rId13">
        <w:r>
          <w:rPr>
            <w:color w:val="145A83"/>
          </w:rPr>
          <w:t>FDA electronic systems guidance October 2024</w:t>
        </w:r>
      </w:hyperlink>
    </w:p>
    <w:p>
      <w:pPr>
        <w:spacing w:after="200"/>
      </w:pPr>
      <w:r>
        <w:t>Regulatory context for electronic systems, records, and signatures.</w:t>
      </w:r>
    </w:p>
    <w:p>
      <w:pPr>
        <w:keepNext/>
      </w:pPr>
      <w:r>
        <w:rPr>
          <w:b/>
        </w:rPr>
        <w:t xml:space="preserve">S5  </w:t>
      </w:r>
      <w:hyperlink r:id="rId14">
        <w:r>
          <w:rPr>
            <w:color w:val="145A83"/>
          </w:rPr>
          <w:t>FDA computerized systems used in clinical trials</w:t>
        </w:r>
      </w:hyperlink>
    </w:p>
    <w:p>
      <w:pPr>
        <w:spacing w:after="200"/>
      </w:pPr>
      <w:r>
        <w:t>Record integrity, change history, access, validation, and recovery principles; read alongside current guidance.</w:t>
      </w:r>
    </w:p>
    <w:p>
      <w:pPr>
        <w:keepNext/>
      </w:pPr>
      <w:r>
        <w:rPr>
          <w:b/>
        </w:rPr>
        <w:t xml:space="preserve">S6  </w:t>
      </w:r>
      <w:hyperlink r:id="rId15">
        <w:r>
          <w:rPr>
            <w:color w:val="145A83"/>
          </w:rPr>
          <w:t>HHS guidance on HIPAA and cloud computing</w:t>
        </w:r>
      </w:hyperlink>
    </w:p>
    <w:p>
      <w:pPr>
        <w:spacing w:after="200"/>
      </w:pPr>
      <w:r>
        <w:t>Business associate agreements and safeguards where HIPAA applies.</w:t>
      </w:r>
    </w:p>
    <w:p>
      <w:pPr>
        <w:pStyle w:val="Heading2"/>
      </w:pPr>
      <w:r>
        <w:rPr>
          <w:color w:val="000000"/>
        </w:rPr>
        <w:t>Original case study research</w:t>
      </w:r>
    </w:p>
    <w:p>
      <w:r>
        <w:t>The original one-pager and PRD remain the source for the initial personas, discovery findings, pricing hypotheses, and targets. The revision adds current external research and proposed validation. An experiment described as proposed has not been represented as completed research.</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3E8" w:sz="6" w:space="4"/>
      </w:pBdr>
      <w:tabs>
        <w:tab w:val="right" w:pos="9026"/>
      </w:tabs>
      <w:spacing w:after="0" w:before="8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6" w:space="4"/>
      </w:pBdr>
      <w:tabs>
        <w:tab w:val="right" w:pos="9026"/>
      </w:tabs>
      <w:spacing w:after="80" w:before="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pPr>
      <w:keepNext/>
      <w:spacing w:before="0" w:after="140" w:line="269" w:lineRule="auto"/>
    </w:pPr>
    <w:rPr>
      <w:rFonts w:ascii="Arial" w:hAnsi="Arial"/>
      <w:b/>
      <w:color w:val="000000"/>
      <w:sz w:val="52"/>
      <w:szCs w:val="56"/>
    </w:rPr>
  </w:style>
  <w:style w:type="paragraph" w:styleId="Heading1">
    <w:name w:val="Heading 1"/>
    <w:basedOn w:val="Normal"/>
    <w:next w:val="Normal"/>
    <w:qFormat/>
    <w:pPr>
      <w:keepNext/>
      <w:spacing w:before="180" w:after="140" w:line="269" w:lineRule="auto"/>
    </w:pPr>
    <w:rPr>
      <w:rFonts w:ascii="Arial" w:hAnsi="Arial"/>
      <w:b/>
      <w:color w:val="000000"/>
      <w:sz w:val="34"/>
      <w:szCs w:val="32"/>
    </w:rPr>
  </w:style>
  <w:style w:type="paragraph" w:styleId="Heading2">
    <w:name w:val="Heading 2"/>
    <w:basedOn w:val="Normal"/>
    <w:next w:val="Normal"/>
    <w:qFormat/>
    <w:pPr>
      <w:keepNext/>
      <w:spacing w:before="180" w:after="140" w:line="269" w:lineRule="auto"/>
    </w:pPr>
    <w:rPr>
      <w:rFonts w:ascii="Arial" w:hAnsi="Arial"/>
      <w:b/>
      <w:color w:val="000000"/>
      <w:sz w:val="23"/>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00000"/>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00000"/>
      <w:sz w:val="26"/>
      <w:szCs w:val="26"/>
    </w:rPr>
  </w:style>
  <w:style w:type="paragraph" w:styleId="Heading3">
    <w:name w:val="Heading 3"/>
    <w:basedOn w:val="Normal"/>
    <w:next w:val="Normal"/>
    <w:qFormat/>
    <w:pPr>
      <w:spacing w:after="80" w:before="200"/>
      <w:outlineLvl w:val="2"/>
    </w:pPr>
    <w:rPr>
      <w:rFonts w:ascii="Arial" w:cs="Arial" w:eastAsia="Arial" w:hAnsi="Arial"/>
      <w:b/>
      <w:bCs/>
      <w:color w:val="000000"/>
      <w:sz w:val="22"/>
      <w:szCs w:val="22"/>
    </w:rPr>
  </w:style>
  <w:style w:type="paragraph" w:customStyle="1" w:styleId="Normal">
    <w:name w:val="Normal"/>
    <w:pPr>
      <w:spacing w:before="0" w:after="140" w:line="269" w:lineRule="auto"/>
    </w:pPr>
    <w:rPr>
      <w:rFonts w:ascii="Arial" w:hAnsi="Arial"/>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sites.veeva.com/solutions/eisf" TargetMode="External"/><Relationship Id="rId11" Type="http://schemas.openxmlformats.org/officeDocument/2006/relationships/hyperlink" Target="https://sites.veeva.com/" TargetMode="External"/><Relationship Id="rId12" Type="http://schemas.openxmlformats.org/officeDocument/2006/relationships/hyperlink" Target="https://www.florencehc.com/pillar-page-eregulatory/" TargetMode="External"/><Relationship Id="rId13" Type="http://schemas.openxmlformats.org/officeDocument/2006/relationships/hyperlink" Target="https://www.fda.gov/regulatory-information/search-fda-guidance-documents/electronic-systems-electronic-records-and-electronic-signatures-clinical-investigations-questions" TargetMode="External"/><Relationship Id="rId14" Type="http://schemas.openxmlformats.org/officeDocument/2006/relationships/hyperlink" Target="https://www.fda.gov/inspections-compliance-enforcement-and-criminal-investigations/fda-bioresearch-monitoring-information/guidance-industry-computerized-systems-used-clinical-trials" TargetMode="External"/><Relationship Id="rId15" Type="http://schemas.openxmlformats.org/officeDocument/2006/relationships/hyperlink" Target="https://www.hhs.gov/hipaa/for-professionals/special-topics/health-information-technology/cloud-computing/index.html"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Anish Gudipaati</dc:creator>
  <cp:lastModifiedBy>Un-named</cp:lastModifiedBy>
  <cp:revision>1</cp:revision>
  <dcterms:created xsi:type="dcterms:W3CDTF">2026-05-24T05:51:12.633Z</dcterms:created>
  <dcterms:modified xsi:type="dcterms:W3CDTF">2026-05-24T05:51:12.633Z</dcterms:modified>
  <dc:title>SiteFlow Product Requirements Document</dc:title>
  <dc:subject>Workflow automation for independent clinical research sites</dc:subject>
</cp:coreProperties>
</file>

<file path=docProps/custom.xml><?xml version="1.0" encoding="utf-8"?>
<Properties xmlns="http://schemas.openxmlformats.org/officeDocument/2006/custom-properties" xmlns:vt="http://schemas.openxmlformats.org/officeDocument/2006/docPropsVTypes"/>
</file>