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Phase 1 analysis workbook.</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changes in interest coverage, cash generation, leverage, peer position, forecasted financial ratios, and economic conditions contain useful information about future debt-service deterioration. Each observation represents one company at one quarterly decision date, using only information available at that time. The study measures how well the model ranks and estimates risk; it does not attempt to prove that any feature causes deterioration.</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planned feature groups using time-ordered, out-of-sample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time periods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1Q/4Q KPI forecasts built without future information</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Added value must appear before the final test period</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This is an observational prediction study. Feature importance therefore shows which variables helped the model make predictions after considering the other inputs. It does not prove that changing a balance-sheet item would cause the company's risk to rise or fall.</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financial statements and filing dates, while FRED/ALFRED supplies economic data such as interest rates and business-cycle measures. These public sources make the analysis easier to verify and reproduce at low cost, but they also create data challenges. Companies may use different SEC tags or labels for the same financial concept, filings become available at different times, previously published values may later be revised, and the dataset contains relatively few severely distressed companies. Every download is therefore recorded in a tracking file that identifies the source, download settings, retrieval time, file-integrity check, and software version.</w:t>
      </w:r>
    </w:p>
    <w:p>
      <w:pPr>
        <w:spacing w:after="120" w:line="264" w:lineRule="auto"/>
      </w:pPr>
      <w:r>
        <w:rPr>
          <w:rFonts w:ascii="Calibri" w:hAnsi="Calibri"/>
          <w:b w:val="0"/>
          <w:i w:val="0"/>
          <w:color w:val="202124"/>
          <w:sz w:val="21"/>
        </w:rPr>
        <w:t>Panel construction. SEC XBRL tags were mapped to consistent financial concepts and aligned to each company's fiscal quarters. Filing and availability dates were retained so the model could not use a number before it became public. This point-in-time rule is important because joining everything by calendar quarter can accidentally introduce future information. The final history contains 3,150 unique company-quarter decision records.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Use each value only after its public availability date</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the model from learning from late filings, later revisions, or future outcomes.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 values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valid blanks; estimate replacements within each training window</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Replacing every blank with zero creates false financial values, while using the full dataset would leak future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val="0"/>
          <w:i w:val="0"/>
          <w:color w:val="202124"/>
          <w:sz w:val="21"/>
        </w:rPr>
        <w:t>A deterioration event occurs when interest coverage falls below 1.5x and declines by at least 40% from its current level within the next four quarters. Requiring both conditions avoids treating a small decline from a strong starting point as a serious warning. Because neighboring quarters share part of the same four-quarter future window, the observations are related over time rather than fully independent.</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Sector exploratory findings: financial structure, trends, and seasonality</w:t>
      </w:r>
    </w:p>
    <w:p>
      <w:pPr>
        <w:pStyle w:val="Heading2"/>
        <w:keepNext/>
      </w:pPr>
      <w:r>
        <w:rPr>
          <w:rFonts w:ascii="Calibri" w:hAnsi="Calibri"/>
          <w:b/>
          <w:i w:val="0"/>
          <w:color w:val="17365D"/>
          <w:sz w:val="26"/>
        </w:rPr>
        <w:t>4.1 Cross-sectional financial profile</w:t>
      </w:r>
    </w:p>
    <w:p>
      <w:pPr>
        <w:spacing w:after="120" w:line="264" w:lineRule="auto"/>
      </w:pPr>
      <w:r>
        <w:rPr>
          <w:rFonts w:ascii="Calibri" w:hAnsi="Calibri"/>
          <w:b/>
          <w:i w:val="0"/>
          <w:color w:val="17365D"/>
          <w:sz w:val="21"/>
        </w:rPr>
        <w:t>Consumer Discretionary.</w:t>
      </w:r>
      <w:r>
        <w:rPr>
          <w:rFonts w:ascii="Calibri" w:hAnsi="Calibri"/>
          <w:b w:val="0"/>
          <w:i w:val="0"/>
          <w:color w:val="202124"/>
          <w:sz w:val="21"/>
        </w:rPr>
        <w:t xml:space="preserve"> Across the full panel, the typical Consumer Discretionary company had 5.25x interest coverage, a 10.12% free-cash-flow margin, and debt equal to 22.00% of assets. These averages describe a sector with greater normal debt-service capacity and internally generated cash than Utilities. The apparent strength is not uniform: 22.5% of company-quarter observations fell below 1.5x coverage, 16.4% had negative free-cash-flow margins, and 27.4% had debt above 40% of assets. The interquartile range in coverage was 11.51x, nearly five times the Utilities spread of 2.32x. Financially, this means the sector contains both highly resilient firms and materially weaker tail cases; the median alone understates issuer-specific risk.</w:t>
      </w:r>
    </w:p>
    <w:p>
      <w:pPr>
        <w:spacing w:after="120" w:line="264" w:lineRule="auto"/>
      </w:pPr>
      <w:r>
        <w:rPr>
          <w:rFonts w:ascii="Calibri" w:hAnsi="Calibri"/>
          <w:b/>
          <w:i w:val="0"/>
          <w:color w:val="17365D"/>
          <w:sz w:val="21"/>
        </w:rPr>
        <w:t>Utilities.</w:t>
      </w:r>
      <w:r>
        <w:rPr>
          <w:rFonts w:ascii="Calibri" w:hAnsi="Calibri"/>
          <w:b w:val="0"/>
          <w:i w:val="0"/>
          <w:color w:val="202124"/>
          <w:sz w:val="21"/>
        </w:rPr>
        <w:t xml:space="preserve"> The full-panel Utilities median was 1.81x interest coverage, a -4.00% free-cash-flow margin, and 33.69% debt-to-assets. Coverage was below 1.5x in 43.5% of observations and free cash flow was negative in 55.6%. These levels are consistent with a capital-intensive business model in which large infrastructure investment is frequently financed externally. Negative free cash flow is therefore not automatically evidence of distress. It becomes more informative when paired with falling coverage, rising leverage, weak liquidity, or an unfavorable refinancing environment. Utilities also had stronger clustering around their sector norms, so relatively small changes can matter even when their absolute ratios look less dispersed.</w:t>
      </w:r>
    </w:p>
    <w:tbl>
      <w:tblPr>
        <w:tblStyle w:val="TableGrid"/>
        <w:tblW w:type="dxa" w:w="9360"/>
        <w:jc w:val="left"/>
        <w:tblLayout w:type="fixed"/>
        <w:tblLook w:firstColumn="1" w:firstRow="1" w:lastColumn="0" w:lastRow="0" w:noHBand="0" w:noVBand="1" w:val="04A0"/>
        <w:tblInd w:w="120" w:type="dxa"/>
      </w:tblPr>
      <w:tblGrid>
        <w:gridCol w:w="2100"/>
        <w:gridCol w:w="1900"/>
        <w:gridCol w:w="1500"/>
        <w:gridCol w:w="3860"/>
      </w:tblGrid>
      <w:tr>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Exploratory indicator</w:t>
            </w:r>
          </w:p>
        </w:tc>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Consumer Discretionary</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Utilities</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reading</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interest coverage</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5.25x</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1.81x</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Utilities operate with a thinner recurring debt-service cushion.</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10.12%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-4.00%</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Utility capital spending often exceeds internally generated cash.</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debt/assets</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22.00%</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33.69%</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The regulated asset base generally supports more structural leverage.</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Coverage below 1.5x</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22.5%</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43.5%</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A common absolute threshold carries different base rates by sector.</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Negative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16.4%</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55.6%</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deficits require operating and capital-expenditure context.</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Observed deterioration label</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20.7%</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Similar event rates arise from different financial structures.</w:t>
            </w:r>
          </w:p>
        </w:tc>
      </w:tr>
    </w:tbl>
    <w:p>
      <w:pPr>
        <w:spacing w:after="0"/>
      </w:pPr>
    </w:p>
    <w:p>
      <w:pPr>
        <w:pStyle w:val="Heading2"/>
        <w:keepNext/>
      </w:pPr>
      <w:r>
        <w:rPr>
          <w:rFonts w:ascii="Calibri" w:hAnsi="Calibri"/>
          <w:b/>
          <w:i w:val="0"/>
          <w:color w:val="17365D"/>
          <w:sz w:val="26"/>
        </w:rPr>
        <w:t>4.2 Time-series and regime findings</w:t>
      </w:r>
    </w:p>
    <w:p>
      <w:pPr>
        <w:keepNext/>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sector_kpi_time_series.png"/>
                    <pic:cNvPicPr/>
                  </pic:nvPicPr>
                  <pic:blipFill>
                    <a:blip r:embed="rId13"/>
                    <a:stretch>
                      <a:fillRect/>
                    </a:stretch>
                  </pic:blipFill>
                  <pic:spPr>
                    <a:xfrm>
                      <a:off x="0" y="0"/>
                      <a:ext cx="5760720" cy="4800600"/>
                    </a:xfrm>
                    <a:prstGeom prst="rect"/>
                  </pic:spPr>
                </pic:pic>
              </a:graphicData>
            </a:graphic>
          </wp:inline>
        </w:drawing>
      </w:r>
    </w:p>
    <w:p>
      <w:pPr>
        <w:spacing w:after="160"/>
        <w:jc w:val="center"/>
      </w:pPr>
      <w:r>
        <w:rPr>
          <w:rFonts w:ascii="Calibri" w:hAnsi="Calibri"/>
          <w:b w:val="0"/>
          <w:i/>
          <w:color w:val="667085"/>
          <w:sz w:val="17"/>
        </w:rPr>
        <w:t>Figure 3. Annual medians summarize sector conditions; they do not imply that every issuer followed the median path.</w:t>
      </w:r>
    </w:p>
    <w:p>
      <w:pPr>
        <w:spacing w:after="120" w:line="264" w:lineRule="auto"/>
      </w:pPr>
      <w:r>
        <w:rPr>
          <w:rFonts w:ascii="Calibri" w:hAnsi="Calibri"/>
          <w:b/>
          <w:i w:val="0"/>
          <w:color w:val="17365D"/>
          <w:sz w:val="21"/>
        </w:rPr>
        <w:t>Consumer Discretionary trajectory.</w:t>
      </w:r>
      <w:r>
        <w:rPr>
          <w:rFonts w:ascii="Calibri" w:hAnsi="Calibri"/>
          <w:b w:val="0"/>
          <w:i w:val="0"/>
          <w:color w:val="202124"/>
          <w:sz w:val="21"/>
        </w:rPr>
        <w:t xml:space="preserve"> Median coverage declined from 5.42x in fiscal 2012 to 3.57x in 2019, then recovered sharply and peaked at 9.19x in 2022 before moderating to 6.34x in 2024. That improvement did not translate into equally strong cash conversion: median free-cash-flow margin fell from 18.6% in 2019 to 6.0% in 2024, while debt-to-assets rose into 2021–2022 and then eased. The combined reading is more nuanced than the coverage line alone. Post-pandemic earnings recovery strengthened the ability to pay interest, but weakening cash conversion and still-elevated leverage indicate less balance-sheet flexibility than the coverage peak suggests. The deterioration-label rate was 29.3% in 2020–2021 versus 22.7% in 2017–2019, consistent with greater cyclical exposure and uneven issuer recovery.</w:t>
      </w:r>
    </w:p>
    <w:p>
      <w:pPr>
        <w:spacing w:after="120" w:line="264" w:lineRule="auto"/>
      </w:pPr>
      <w:r>
        <w:rPr>
          <w:rFonts w:ascii="Calibri" w:hAnsi="Calibri"/>
          <w:b/>
          <w:i w:val="0"/>
          <w:color w:val="17365D"/>
          <w:sz w:val="21"/>
        </w:rPr>
        <w:t>Utilities trajectory.</w:t>
      </w:r>
      <w:r>
        <w:rPr>
          <w:rFonts w:ascii="Calibri" w:hAnsi="Calibri"/>
          <w:b w:val="0"/>
          <w:i w:val="0"/>
          <w:color w:val="202124"/>
          <w:sz w:val="21"/>
        </w:rPr>
        <w:t xml:space="preserve"> Median coverage rose from 0.85x in 2019 to 3.04x in 2023, then eased to 2.73x in 2024. At the same time, free-cash-flow margin deteriorated from -2.7% to -12.4%, and debt-to-assets increased from 32.1% to 38.9%. The sector therefore shows improving accounting coverage alongside a growing financing requirement. This divergence can occur when operating earnings improve but sustained capital expenditure and debt-funded investment absorb cash. For surveillance, the relevant question is not whether one ratio is good or bad in isolation, but whether earnings, cash generation, leverage, and funding costs remain mutually supportable.</w:t>
      </w:r>
    </w:p>
    <w:p>
      <w:pPr>
        <w:spacing w:after="120" w:line="264" w:lineRule="auto"/>
      </w:pPr>
      <w:r>
        <w:rPr>
          <w:rFonts w:ascii="Calibri" w:hAnsi="Calibri"/>
          <w:b/>
          <w:i w:val="0"/>
          <w:color w:val="17365D"/>
          <w:sz w:val="21"/>
        </w:rPr>
        <w:t>Event interpretation.</w:t>
      </w:r>
      <w:r>
        <w:rPr>
          <w:rFonts w:ascii="Calibri" w:hAnsi="Calibri"/>
          <w:b w:val="0"/>
          <w:i w:val="0"/>
          <w:color w:val="202124"/>
          <w:sz w:val="21"/>
        </w:rPr>
        <w:t xml:space="preserve"> Consumer Discretionary recorded 92 distinct deterioration episode starts, compared with 101 for Utilities, despite similar row-level label prevalence. Utilities therefore experienced slightly more separate transitions into deterioration, while Consumer Discretionary showed more pronounced regime sensitivity. Because the label requires both sub-1.5x coverage and a 40% decline, higher recent Utility coverage mechanically reduced the recent event rate even as free cash flow and leverage weakened. This is an important limitation of any single outcome definition and supports monitoring the component KPIs alongside the model probability.</w:t>
      </w:r>
    </w:p>
    <w:p>
      <w:pPr>
        <w:pStyle w:val="Heading2"/>
        <w:keepNext/>
      </w:pPr>
      <w:r>
        <w:rPr>
          <w:rFonts w:ascii="Calibri" w:hAnsi="Calibri"/>
          <w:b/>
          <w:i w:val="0"/>
          <w:color w:val="17365D"/>
          <w:sz w:val="26"/>
        </w:rPr>
        <w:t>4.3 Fiscal-quarter patterns and persistence</w:t>
      </w:r>
    </w:p>
    <w:p>
      <w:pPr>
        <w:keepNext/>
        <w:jc w:val="center"/>
      </w:pPr>
      <w:r>
        <w:drawing>
          <wp:inline xmlns:a="http://schemas.openxmlformats.org/drawingml/2006/main" xmlns:pic="http://schemas.openxmlformats.org/drawingml/2006/picture">
            <wp:extent cx="5760720" cy="2263140"/>
            <wp:docPr id="4" name="Picture 4"/>
            <wp:cNvGraphicFramePr>
              <a:graphicFrameLocks noChangeAspect="1"/>
            </wp:cNvGraphicFramePr>
            <a:graphic>
              <a:graphicData uri="http://schemas.openxmlformats.org/drawingml/2006/picture">
                <pic:pic>
                  <pic:nvPicPr>
                    <pic:cNvPr id="0" name="sector_kpi_fiscal_quarter.png"/>
                    <pic:cNvPicPr/>
                  </pic:nvPicPr>
                  <pic:blipFill>
                    <a:blip r:embed="rId14"/>
                    <a:stretch>
                      <a:fillRect/>
                    </a:stretch>
                  </pic:blipFill>
                  <pic:spPr>
                    <a:xfrm>
                      <a:off x="0" y="0"/>
                      <a:ext cx="5760720" cy="2263140"/>
                    </a:xfrm>
                    <a:prstGeom prst="rect"/>
                  </pic:spPr>
                </pic:pic>
              </a:graphicData>
            </a:graphic>
          </wp:inline>
        </w:drawing>
      </w:r>
    </w:p>
    <w:p>
      <w:pPr>
        <w:spacing w:after="160"/>
        <w:jc w:val="center"/>
      </w:pPr>
      <w:r>
        <w:rPr>
          <w:rFonts w:ascii="Calibri" w:hAnsi="Calibri"/>
          <w:b w:val="0"/>
          <w:i/>
          <w:color w:val="667085"/>
          <w:sz w:val="17"/>
        </w:rPr>
        <w:t>Figure 4. Standardized fiscal-quarter medians. Trailing-twelve-month construction intentionally smooths quarter-specific noise.</w:t>
      </w:r>
    </w:p>
    <w:p>
      <w:pPr>
        <w:spacing w:after="120" w:line="264" w:lineRule="auto"/>
      </w:pPr>
      <w:r>
        <w:rPr>
          <w:rFonts w:ascii="Calibri" w:hAnsi="Calibri"/>
          <w:b w:val="0"/>
          <w:i w:val="0"/>
          <w:color w:val="202124"/>
          <w:sz w:val="21"/>
        </w:rPr>
        <w:t>There is little evidence of strong recurring seasonality in the three central KPIs. Consumer Discretionary coverage ranges only from 4.98x to 5.27x across FQ1–FQ4, free-cash-flow margin from 9.1% to 11.3%, and debt-to-assets from 21.7% to 22.4%. Utilities are even steadier: coverage ranges from 1.79x to 1.84x, free-cash-flow margin from -4.2% to -3.8%, and leverage from 33.4% to 34.0%. The modest Consumer Discretionary FQ4 cash-flow decline may reflect working-capital timing or issuer mix, but it is too small to treat as a reliable seasonal trading signal without company-level testing.</w:t>
      </w:r>
    </w:p>
    <w:p>
      <w:pPr>
        <w:spacing w:after="120" w:line="264" w:lineRule="auto"/>
      </w:pPr>
      <w:r>
        <w:rPr>
          <w:rFonts w:ascii="Calibri" w:hAnsi="Calibri"/>
          <w:b/>
          <w:i w:val="0"/>
          <w:color w:val="17365D"/>
          <w:sz w:val="21"/>
        </w:rPr>
        <w:t>Methodological implication.</w:t>
      </w:r>
      <w:r>
        <w:rPr>
          <w:rFonts w:ascii="Calibri" w:hAnsi="Calibri"/>
          <w:b w:val="0"/>
          <w:i w:val="0"/>
          <w:color w:val="202124"/>
          <w:sz w:val="21"/>
        </w:rPr>
        <w:t xml:space="preserve"> The weak quarter pattern is expected because the ratios use trailing-twelve-month values, which combine four quarters and reduce seasonal noise. The stronger empirical feature is persistence: recent KPI levels contain substantial information about the next quarter. This explains why a random-walk forecast was difficult to beat for one-quarter cash-flow margin and coverage, while a local-level model was more suitable for gradual leverage changes and four-quarter horizons. Sector-specific baselines, changes from each company's own history, and macro conditions are therefore more defensible than broad seasonal adjustments.</w:t>
      </w:r>
    </w:p>
    <w:p>
      <w:pPr>
        <w:pStyle w:val="Heading1"/>
        <w:keepNext/>
      </w:pPr>
      <w:r>
        <w:rPr>
          <w:rFonts w:ascii="Calibri" w:hAnsi="Calibri"/>
          <w:b/>
          <w:i w:val="0"/>
          <w:color w:val="17365D"/>
          <w:sz w:val="32"/>
        </w:rPr>
        <w:t>5.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Estimates an underlying financial level while allowing quarterly reporting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noisy ratios when the company's true condition changes gradually.</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the financial level and its direction of change to move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gradual operating or leverage trends, but can be unstable with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Dynamic regression model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Adds economic variables to a time-series model whose financial level changes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w:t>
            </w:r>
          </w:p>
        </w:tc>
      </w:tr>
    </w:tbl>
    <w:p>
      <w:pPr>
        <w:spacing w:after="0"/>
      </w:pPr>
    </w:p>
    <w:p>
      <w:pPr>
        <w:spacing w:after="120" w:line="264" w:lineRule="auto"/>
      </w:pPr>
      <w:r>
        <w:rPr>
          <w:rFonts w:ascii="Calibri" w:hAnsi="Calibri"/>
          <w:b w:val="0"/>
          <w:i w:val="0"/>
          <w:color w:val="202124"/>
          <w:sz w:val="21"/>
        </w:rPr>
        <w:t>Forecast models are compared using root mean squared error (RMSE), which summarizes the typical size of forecast mistakes while giving larger errors more weight. The study also checks whether forecast ranges contain the eventual result as often as intended. These ranges matter because one point forecast can look more certain than it really is. Several four-quarter ranges were too narrow, so forecast uncertainty remains a limitation.</w:t>
      </w:r>
    </w:p>
    <w:p>
      <w:pPr>
        <w:pStyle w:val="Heading1"/>
        <w:keepNext/>
      </w:pPr>
      <w:r>
        <w:rPr>
          <w:rFonts w:ascii="Calibri" w:hAnsi="Calibri"/>
          <w:b/>
          <w:i w:val="0"/>
          <w:color w:val="17365D"/>
          <w:sz w:val="32"/>
        </w:rPr>
        <w:t>6.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i w:val="0"/>
          <w:color w:val="17365D"/>
          <w:sz w:val="21"/>
        </w:rPr>
        <w:t>How information was added to the model.</w:t>
      </w:r>
      <w:r>
        <w:rPr>
          <w:rFonts w:ascii="Calibri" w:hAnsi="Calibri"/>
          <w:b w:val="0"/>
          <w:i w:val="0"/>
          <w:color w:val="202124"/>
          <w:sz w:val="21"/>
        </w:rPr>
        <w:t xml:space="preserve"> Before testing began, the research plan specified five groups of information to examine: (1) each company's current and past financial ratios, (2) its position relative to companies in the same sector, (3) forecasts of where its ratios may be heading, built without using future information, (4) economic conditions such as interest rates and business-cycle measures, and (5) a small number of sector-specific combinations.</w:t>
      </w:r>
    </w:p>
    <w:p>
      <w:pPr>
        <w:spacing w:after="120" w:line="264" w:lineRule="auto"/>
      </w:pPr>
      <w:r>
        <w:rPr>
          <w:rFonts w:ascii="Calibri" w:hAnsi="Calibri"/>
          <w:b/>
          <w:i w:val="0"/>
          <w:color w:val="17365D"/>
          <w:sz w:val="21"/>
        </w:rPr>
        <w:t>Why test the groups separately?</w:t>
      </w:r>
      <w:r>
        <w:rPr>
          <w:rFonts w:ascii="Calibri" w:hAnsi="Calibri"/>
          <w:b w:val="0"/>
          <w:i w:val="0"/>
          <w:color w:val="202124"/>
          <w:sz w:val="21"/>
        </w:rPr>
        <w:t xml:space="preserve"> Adding one group at a time shows whether it improves predictions and reduces cherry-picking. Peer comparisons use the correct sector benchmark; forecasts describe direction; economic variables capture shared pressures; and a few sector combinations allow the same signal to matter differently in each industry without testing thousands of unplanned relationships.</w:t>
      </w:r>
    </w:p>
    <w:p>
      <w:pPr>
        <w:spacing w:after="120" w:line="264" w:lineRule="auto"/>
      </w:pPr>
      <w:r>
        <w:rPr>
          <w:rFonts w:ascii="Calibri" w:hAnsi="Calibri"/>
          <w:b/>
          <w:i w:val="0"/>
          <w:color w:val="17365D"/>
          <w:sz w:val="21"/>
        </w:rPr>
        <w:t>Why accuracy alone is misleading.</w:t>
      </w:r>
      <w:r>
        <w:rPr>
          <w:rFonts w:ascii="Calibri" w:hAnsi="Calibri"/>
          <w:b w:val="0"/>
          <w:i w:val="0"/>
          <w:color w:val="202124"/>
          <w:sz w:val="21"/>
        </w:rPr>
        <w:t xml:space="preserve"> Deterioration occurred in about 21% of observations. Predicting “no deterioration” every time would therefore appear roughly 79% accurate while finding no important cases. PR-AUC measures how well actual deterioration cases are ranked ahead of non-events. Recall is the share of actual cases detected; precision is the share of alerts that became cases. Top-decile lift compares the highest-risk 10% with the portfolio average. Brier score measures probability error, while calibration checks whether predicted risks match observed frequencies. The measures answer different questions and should be reviewed together.</w:t>
      </w:r>
    </w:p>
    <w:p>
      <w:pPr>
        <w:pStyle w:val="Heading1"/>
        <w:keepNext/>
      </w:pPr>
      <w:r>
        <w:rPr>
          <w:rFonts w:ascii="Calibri" w:hAnsi="Calibri"/>
          <w:b/>
          <w:i w:val="0"/>
          <w:color w:val="17365D"/>
          <w:sz w:val="32"/>
        </w:rPr>
        <w:t>7. Temporal validation, leakage prevention, and champion selection</w:t>
      </w:r>
    </w:p>
    <w:p>
      <w:pPr>
        <w:spacing w:after="120" w:line="264" w:lineRule="auto"/>
      </w:pPr>
      <w:r>
        <w:rPr>
          <w:rFonts w:ascii="Calibri" w:hAnsi="Calibri"/>
          <w:b w:val="0"/>
          <w:i w:val="0"/>
          <w:color w:val="202124"/>
          <w:sz w:val="21"/>
        </w:rPr>
        <w:t>Three expanding training windows simulate how the model would have been rebuilt and tested as time moved forward. Data preparation, probability adjustment, model fitting, and forecasting are repeated separately inside each window. Outcomes that would not yet have been known are excluded. Out-of-fold means that every development prediction came from a model that was not trained on that observation. Historical rows without a defensible out-of-sample prediction remain unscored.</w:t>
      </w:r>
    </w:p>
    <w:p>
      <w:pPr>
        <w:spacing w:after="120" w:line="264" w:lineRule="auto"/>
      </w:pPr>
      <w:r>
        <w:rPr>
          <w:rFonts w:ascii="Calibri" w:hAnsi="Calibri"/>
          <w:b w:val="0"/>
          <w:i w:val="0"/>
          <w:color w:val="202124"/>
          <w:sz w:val="21"/>
        </w:rPr>
        <w:t>The final model was chosen first by development PR-AUC, then by probability reliability, stability across sectors and time, interpretability, and simplicity. The 2023-and-later holdout was kept untouched until the model choice was recorded. Its higher 35.45% alert rate is treated as evidence that the later period differed from development, not as permission to adjust the threshold after seeing the answer.</w:t>
      </w:r>
    </w:p>
    <w:p>
      <w:pPr>
        <w:keepNext/>
        <w:jc w:val="center"/>
      </w:pPr>
      <w:r>
        <w:drawing>
          <wp:inline xmlns:a="http://schemas.openxmlformats.org/drawingml/2006/main" xmlns:pic="http://schemas.openxmlformats.org/drawingml/2006/picture">
            <wp:extent cx="5760720" cy="2810108"/>
            <wp:docPr id="5" name="Picture 5"/>
            <wp:cNvGraphicFramePr>
              <a:graphicFrameLocks noChangeAspect="1"/>
            </wp:cNvGraphicFramePr>
            <a:graphic>
              <a:graphicData uri="http://schemas.openxmlformats.org/drawingml/2006/picture">
                <pic:pic>
                  <pic:nvPicPr>
                    <pic:cNvPr id="0" name="temporal_fold_stability.png"/>
                    <pic:cNvPicPr/>
                  </pic:nvPicPr>
                  <pic:blipFill>
                    <a:blip r:embed="rId15"/>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5. Temporal OOF results expose regime sensitivity that a random split would conceal.</w:t>
      </w:r>
    </w:p>
    <w:p>
      <w:pPr>
        <w:pStyle w:val="Heading1"/>
        <w:keepNext/>
      </w:pPr>
      <w:r>
        <w:rPr>
          <w:rFonts w:ascii="Calibri" w:hAnsi="Calibri"/>
          <w:b/>
          <w:i w:val="0"/>
          <w:color w:val="17365D"/>
          <w:sz w:val="32"/>
        </w:rPr>
        <w:t>8.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i w:val="0"/>
          <w:color w:val="17365D"/>
          <w:sz w:val="21"/>
        </w:rPr>
        <w:t>Model performance is not the same as sector risk.</w:t>
      </w:r>
      <w:r>
        <w:rPr>
          <w:rFonts w:ascii="Calibri" w:hAnsi="Calibri"/>
          <w:b w:val="0"/>
          <w:i w:val="0"/>
          <w:color w:val="202124"/>
          <w:sz w:val="21"/>
        </w:rPr>
        <w:t xml:space="preserve"> Consumer Discretionary's higher PR-AUC (0.468 versus 0.332) means the model was better at placing that sector's actual deterioration cases above its non-events. It does not mean that every Consumer Discretionary company is riskier, or that the sector has weaker average finances. The exploratory results show the opposite at the median: Consumer Discretionary has stronger coverage, better free cash flow, and lower leverage. Those median ratios describe the typical company; PR-AUC describes how accurately the model separates the weaker companies from the stronger companies within a sector.</w:t>
      </w:r>
    </w:p>
    <w:p>
      <w:pPr>
        <w:spacing w:after="120" w:line="264" w:lineRule="auto"/>
      </w:pPr>
      <w:r>
        <w:rPr>
          <w:rFonts w:ascii="Calibri" w:hAnsi="Calibri"/>
          <w:b/>
          <w:i w:val="0"/>
          <w:color w:val="17365D"/>
          <w:sz w:val="21"/>
        </w:rPr>
        <w:t>Why can stronger median KPIs coexist with deterioration risk?</w:t>
      </w:r>
      <w:r>
        <w:rPr>
          <w:rFonts w:ascii="Calibri" w:hAnsi="Calibri"/>
          <w:b w:val="0"/>
          <w:i w:val="0"/>
          <w:color w:val="202124"/>
          <w:sz w:val="21"/>
        </w:rPr>
        <w:t xml:space="preserve"> Consumer Discretionary had wider differences between companies and greater sensitivity to economic cycles. Most firms can therefore look financially strong while a smaller group experiences sharp declines. The study's event definition also requires both coverage below 1.5x and a decline of at least 40%, so it measures a transition into serious deterioration rather than a sector's normal financial structure. Across the full history, the event rate was only slightly higher for Consumer Discretionary (22.2%) than Utilities (20.7%). At the latest snapshot, both sectors generated 11 alerts; Consumer Discretionary had six observed events versus four for Utilities and a modestly higher average predicted risk (29.36% versus 26.91%). Utilities had weaker typical ratios, but their ratios were more tightly clustered and often persistently low, making new deterioration cases harder for the model to distinguish. The lower Utilities PR-AUC and precision therefore indicate weaker classification—not proof that Utilities are safer.</w:t>
      </w:r>
    </w:p>
    <w:p>
      <w:pPr>
        <w:spacing w:after="120" w:line="264" w:lineRule="auto"/>
      </w:pPr>
      <w:r>
        <w:rPr>
          <w:rFonts w:ascii="Calibri" w:hAnsi="Calibri"/>
          <w:b w:val="0"/>
          <w:i w:val="0"/>
          <w:color w:val="202124"/>
          <w:sz w:val="21"/>
        </w:rPr>
        <w:t>The Utilities Brier score was slightly better despite weaker PR-AUC and precision. In plain language, the average size of its probability errors was smaller, but the model was less successful at ordering the companies that actually deteriorated above those that did not. This is why ranking quality and probability accuracy must be reviewed separately, and why the weaker Utilities result limits how confidently the model should be applied to that sector.</w:t>
      </w:r>
    </w:p>
    <w:p>
      <w:pPr>
        <w:keepNext/>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holdout_sector_performance.png"/>
                    <pic:cNvPicPr/>
                  </pic:nvPicPr>
                  <pic:blipFill>
                    <a:blip r:embed="rId16"/>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6. Locked-holdout sector results. Higher PR-AUC, recall, and precision are better.</w:t>
      </w:r>
    </w:p>
    <w:p>
      <w:pPr>
        <w:pStyle w:val="Heading2"/>
        <w:keepNext/>
      </w:pPr>
      <w:r>
        <w:rPr>
          <w:rFonts w:ascii="Calibri" w:hAnsi="Calibri"/>
          <w:b/>
          <w:i w:val="0"/>
          <w:color w:val="17365D"/>
          <w:sz w:val="26"/>
        </w:rPr>
        <w:t>8.1 Hypothesis findings</w:t>
      </w:r>
    </w:p>
    <w:p>
      <w:pPr>
        <w:spacing w:after="120" w:line="264" w:lineRule="auto"/>
      </w:pPr>
      <w:r>
        <w:rPr>
          <w:rFonts w:ascii="Calibri" w:hAnsi="Calibri"/>
          <w:b w:val="0"/>
          <w:i w:val="0"/>
          <w:color w:val="202124"/>
          <w:sz w:val="21"/>
        </w:rPr>
        <w:t>The three hypotheses introduced at the beginning of the study were evaluated using the time-ordered development tests and the untouched final holdout. The conclusions below distinguish strong evidence from mixed evidence.</w:t>
      </w:r>
    </w:p>
    <w:tbl>
      <w:tblPr>
        <w:tblStyle w:val="TableGrid"/>
        <w:tblW w:type="dxa" w:w="9360"/>
        <w:jc w:val="left"/>
        <w:tblLayout w:type="fixed"/>
        <w:tblLook w:firstColumn="1" w:firstRow="1" w:lastColumn="0" w:lastRow="0" w:noHBand="0" w:noVBand="1" w:val="04A0"/>
        <w:tblInd w:w="120" w:type="dxa"/>
      </w:tblPr>
      <w:tblGrid>
        <w:gridCol w:w="2300"/>
        <w:gridCol w:w="1500"/>
        <w:gridCol w:w="5560"/>
      </w:tblGrid>
      <w:tr>
        <w:tc>
          <w:tcPr>
            <w:tcW w:type="dxa" w:w="23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Conclusion</w:t>
            </w:r>
          </w:p>
        </w:tc>
        <w:tc>
          <w:tcPr>
            <w:tcW w:type="dxa" w:w="5560"/>
            <w:shd w:fill="EAF1F8"/>
            <w:vAlign w:val="center"/>
            <w:tcMar>
              <w:top w:w="80" w:type="dxa"/>
              <w:bottom w:w="80" w:type="dxa"/>
              <w:start w:w="120" w:type="dxa"/>
              <w:end w:w="120" w:type="dxa"/>
            </w:tcMar>
          </w:tcPr>
          <w:p>
            <w:pPr>
              <w:spacing w:after="0"/>
            </w:pPr>
            <w:r>
              <w:rPr>
                <w:rFonts w:ascii="Calibri" w:hAnsi="Calibri"/>
                <w:b/>
                <w:i w:val="0"/>
                <w:color w:val="17365D"/>
                <w:sz w:val="18"/>
              </w:rPr>
              <w:t>Evidence and interpretation</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average development PR-AUC increased from 0.332 with current fundamentals alone to 0.416 with macroeconomic variables and limited interactions. The broader feature set exceeded the current-only model in every reported time-period and sector slice. This supports combining company, peer, and economic information for risk ranking.</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Partially 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adding all KPI forecasts increased average development PR-AUC from 0.389 for historical-and-peer information to 0.417. However, the improvement did not appear in every time period, and forecast additions did not improve logistic regression. Forecasts contributed useful information in some settings, but the evidence is not strong enough to claim that they always improve the model.</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H3: Performance changes by sector and time period</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Results varied across the three development windows and between sectors. On the final holdout, Consumer Discretionary PR-AUC was 0.468 with 0.439 precision, while Utilities PR-AUC was 0.332 with 0.225 precision. These differences support separate sector and time-period reporting rather than relying only on one overall score.</w:t>
            </w:r>
          </w:p>
        </w:tc>
      </w:tr>
    </w:tbl>
    <w:p>
      <w:pPr>
        <w:spacing w:after="0"/>
      </w:pPr>
    </w:p>
    <w:p>
      <w:pPr>
        <w:spacing w:after="120" w:line="264" w:lineRule="auto"/>
      </w:pPr>
      <w:r>
        <w:rPr>
          <w:rFonts w:ascii="Calibri" w:hAnsi="Calibri"/>
          <w:b w:val="0"/>
          <w:i w:val="0"/>
          <w:color w:val="202124"/>
          <w:sz w:val="21"/>
        </w:rPr>
        <w:t>Overall, the study supports the value of combining several types of information and confirms that model performance depends on sector and time period. Forecast features appear promising but require further testing before they should be treated as a consistently reliable improvement.</w:t>
      </w:r>
    </w:p>
    <w:p>
      <w:pPr>
        <w:pStyle w:val="Heading1"/>
        <w:keepNext/>
      </w:pPr>
      <w:r>
        <w:rPr>
          <w:rFonts w:ascii="Calibri" w:hAnsi="Calibri"/>
          <w:b/>
          <w:i w:val="0"/>
          <w:color w:val="17365D"/>
          <w:sz w:val="32"/>
        </w:rPr>
        <w:t>9.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7" name="Picture 7"/>
            <wp:cNvGraphicFramePr>
              <a:graphicFrameLocks noChangeAspect="1"/>
            </wp:cNvGraphicFramePr>
            <a:graphic>
              <a:graphicData uri="http://schemas.openxmlformats.org/drawingml/2006/picture">
                <pic:pic>
                  <pic:nvPicPr>
                    <pic:cNvPr id="0" name="top_risk_companies.png"/>
                    <pic:cNvPicPr/>
                  </pic:nvPicPr>
                  <pic:blipFill>
                    <a:blip r:embed="rId17"/>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7.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Analysis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60 unique companies, 3,150 unique decision records, and 93 model-performance records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evidence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analysis workbook, publication figures, source documentation, and automated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and the stage execution records. External data originate from SEC EDGAR and FRED/ALFRED under their respective public usage policies. Industry interpretation is consistent with U.S. Energy Information Administration descriptions of regulated utility revenue requirements and rate-recovery lags and Federal Energy Regulatory Commission guidance explaining cost-of-service recovery, capital investment, and financing returns.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