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B66A00"/>
          <w:sz w:val="20"/>
        </w:rPr>
        <w:t>DATA SCIENCE PORTFOLIO CASE STUDY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Financial Deterioration Screening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2E75B6"/>
          <w:sz w:val="28"/>
        </w:rPr>
        <w:t>From point-in-time SEC data to an analyst review queue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SEC EDGAR + FRED | 117 active issuers | Financial cutoff 31 Dec 2025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The business problem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An analyst cannot deeply review every public company every quarter. This project builds a screening layer that ranks companies for follow-up when operating earnings may become insufficient relative to interest expense. False alerts are reviewed manually; missed deterioration is considered more costly.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What I built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A filing-aware SEC EDGAR and FRED/ALFRED pipeline with source and availability lineage.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A reproducible 117-company sample: 75 Consumer Discretionary and 42 Utilities issuers.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Financial-ratio, trend, volatility, and peer-relative features with fold-local missing-data treatment.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Expanding-window model validation with outcome embargoes and company-clustered uncertainty.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An interpretable partially pooled logistic primary, pooled benchmark, and constrained boosting challenger.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Sector-specific thresholds that attain at least 80% recall while minimizing review workload.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Point-in-time pipeline and leakage controls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most important engineering requirement was to reproduce what an analyst could actually have known at each historical decision date. Fiscal period-end dates were not treated as publication dates. SEC filing availability, amendments, macro vintages, and feature availability were retained explicitly.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AF1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Leakage risk</w:t>
            </w:r>
          </w:p>
        </w:tc>
        <w:tc>
          <w:tcPr>
            <w:tcW w:type="dxa" w:w="6560"/>
            <w:shd w:fill="EAF1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Control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Using later filings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Filter every fact by its public availability date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Using immature outcomes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Require the complete consecutive future window before labeling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Global imputation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Fit imputation and missing indicators inside each training fold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Feature-selection leakage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Select variables only within outer-fold training history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Random train/test mixing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Use expanding calendar windows and label embargoes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Threshold overstatement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Label all metrics as development OOF until a new future test matures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Modeling and feature decisions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primary logistic model was chosen for interpretability, not because it had the highest score. Gradient boosting reached 0.412 development PR-AUC versus 0.379 for the partially pooled logistic model. The challenger is stronger statistically, while the primary is easier to explain to an analyst.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Stable selected variables included current interest coverage, its year-over-year change, volatility and sector percentile, free-cash-flow-margin sector percentile, operating margin, and revenue growth. Refinancing gap was selected in one early fold but was unstable and absent from the latest-fold recommendation; filing delay remained a data-quality field rather than direct distress evidence.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80482"/>
            <wp:docPr id="1" name="Picture 1" descr="Fold-local selection emphasizes understandable operating, cash-flow, and debt-service meas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s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Fold-local selection emphasizes understandable operating, cash-flow, and debt-service measures.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Main operating result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At the paired calibrated four-quarter policy, overall recall was 80.5%, precision was 23.2%, and 67.3% of company-quarters entered review. High recall is achievable, but the workload is substantial.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478795"/>
            <wp:docPr id="2" name="Picture 2" descr="The two-quarter sensitivity reduces workload but weakens ranking and pr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085"/>
          <w:sz w:val="17"/>
        </w:rPr>
        <w:t>The two-quarter sensitivity reduces workload but weakens ranking and precision.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two-quarter sensitivity retained 81.2% recall and reduced alerts to 58.9%. Its PR-AUC fell from 0.262 to 0.171, however, and precision fell from 23.2% to 16.7%.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Three real model decisions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6"/>
        </w:rPr>
        <w:t>True Positive: DBI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model assigned 69.3% against a 10.5% threshold. Current interest coverage was 6.01x and future minimum coverage was 0.93x.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Useful early-review alert: the subsequent coverage outcome met the deterioration rule.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Not an error; the available financial signals ranked this event above its sector threshold.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6"/>
        </w:rPr>
        <w:t>False Positive: UAA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model assigned 92.1% against a 10.5% threshold. Current interest coverage was -7.49x and future minimum coverage was -3.67x.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Potentially useful as a precautionary review, but it consumed capacity without a qualifying four-quarter event.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Weak contemporaneous signals resembled deterioration, but future coverage did not satisfy both the level and decline rules.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6"/>
        </w:rPr>
        <w:t>Missed Deterioration: NRG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model assigned 12.1% against a 12.3% threshold. Current interest coverage was 6.89x and future minimum coverage was -1.48x.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Not useful operationally because the deterioration was missed at the selected threshold.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The observed predictors produced a score just below the sector cutoff; the later coverage decline was not strong enough in the available signals to trigger review.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Limitations and what I would do next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Keep the post-2025 future period unopened until four-quarter outcomes mature.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Measure real analyst capacity before operationalizing a 60%–70% alert rate.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Recalibrate probabilities when new labels mature; investigate drift rather than retraining automatically.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Consider adding Industrials only after validating sector mappings and KPI comparability.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Preserve the four-quarter outcome as primary and use two quarters only as a secondary near-term screen.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Skills demonstrated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Financial statement analysis, SEC/FRED data engineering, point-in-time joins, temporal cross-validation, missing-data methods, imbalanced classification, feature selection, calibration, interpretability, clustered uncertainty, model governance, automated testing, and communication of statistical results in a financial decision context.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65D"/>
          <w:sz w:val="32"/>
        </w:rPr>
        <w:t>Resume-ready summary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Developed a point-in-time financial-deterioration screening pipeline using SEC filings and macro data for 117 active Consumer Discretionary and Utility issuers.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Implemented expanding-window validation, fold-local feature selection, calibrated classification, and sector thresholds exceeding 80% recall in both sectors.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Compared an interpretable partially pooled logistic model with pooled logistic and constrained boosting; the challenger achieved 0.412 development PR-AUC.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202124"/>
          <w:sz w:val="20"/>
        </w:rPr>
        <w:t>Empirically tested two- versus four-quarter warning horizons using paired folds and issuer-clustered bootstrap uncertainty, documenting a workload-versus-precision tradeoff.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124"/>
          <w:sz w:val="21"/>
        </w:rPr>
        <w:t>All results are explicitly labeled as development evidence. The project does not claim bankruptcy prediction, causal effects, or final prospective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Phase 2 | Development evidence—not a final future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67085"/>
        <w:sz w:val="17"/>
      </w:rPr>
      <w:t>Portfolio Case Study | Financial Deterioration Screening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