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i w:val="0"/>
          <w:color w:val="B66A00"/>
          <w:sz w:val="20"/>
        </w:rPr>
        <w:t>FINANCIAL RISK &amp; DATA SCIENCE RESEARCH</w:t>
      </w:r>
    </w:p>
    <w:p>
      <w:pPr>
        <w:spacing w:after="160"/>
        <w:jc w:val="center"/>
      </w:pPr>
      <w:r>
        <w:rPr>
          <w:rFonts w:ascii="Calibri" w:hAnsi="Calibri"/>
          <w:b/>
          <w:i w:val="0"/>
          <w:color w:val="17365D"/>
          <w:sz w:val="56"/>
        </w:rPr>
        <w:t>Corporate Financial Deterioration Early-Warning Platform</w:t>
      </w:r>
    </w:p>
    <w:p>
      <w:pPr>
        <w:spacing w:after="520"/>
        <w:jc w:val="center"/>
      </w:pPr>
      <w:r>
        <w:rPr>
          <w:rFonts w:ascii="Calibri" w:hAnsi="Calibri"/>
          <w:b w:val="0"/>
          <w:i w:val="0"/>
          <w:color w:val="2E75B6"/>
          <w:sz w:val="28"/>
        </w:rPr>
        <w:t>Phase 2: model improvement, interpretability, and horizon sensitivity</w:t>
      </w:r>
    </w:p>
    <w:p>
      <w:pPr>
        <w:jc w:val="center"/>
      </w:pPr>
      <w:r>
        <w:rPr>
          <w:rFonts w:ascii="Calibri" w:hAnsi="Calibri"/>
          <w:b w:val="0"/>
          <w:i w:val="0"/>
          <w:color w:val="667085"/>
          <w:sz w:val="20"/>
        </w:rPr>
        <w:t>SEC EDGAR + FRED | 117 active issuers | Financial cutoff 31 Dec 2025</w:t>
      </w:r>
    </w:p>
    <w:p>
      <w:r>
        <w:br w:type="page"/>
      </w:r>
    </w:p>
    <w:p>
      <w:pPr>
        <w:pStyle w:val="Heading1"/>
        <w:keepNext/>
      </w:pPr>
      <w:r>
        <w:rPr>
          <w:rFonts w:ascii="Calibri" w:hAnsi="Calibri"/>
          <w:b/>
          <w:i w:val="0"/>
          <w:color w:val="17365D"/>
          <w:sz w:val="32"/>
        </w:rPr>
        <w:t>Executive summary</w:t>
      </w:r>
    </w:p>
    <w:p>
      <w:pPr>
        <w:spacing w:after="120" w:line="264" w:lineRule="auto"/>
      </w:pPr>
      <w:r>
        <w:rPr>
          <w:rFonts w:ascii="Calibri" w:hAnsi="Calibri"/>
          <w:b w:val="0"/>
          <w:i w:val="0"/>
          <w:color w:val="202124"/>
          <w:sz w:val="21"/>
        </w:rPr>
        <w:t>This study develops a point-in-time analyst-screening system for detecting weakening corporate debt-service capacity. The system is not a bankruptcy model and does not replace credit analysis. It prioritizes recall so that potentially deteriorating firms reach manual review.</w:t>
      </w:r>
    </w:p>
    <w:p>
      <w:pPr>
        <w:spacing w:after="120" w:line="264" w:lineRule="auto"/>
      </w:pPr>
      <w:r>
        <w:rPr>
          <w:rFonts w:ascii="Calibri" w:hAnsi="Calibri"/>
          <w:b/>
          <w:i w:val="0"/>
          <w:color w:val="17365D"/>
          <w:sz w:val="21"/>
        </w:rPr>
        <w:t xml:space="preserve">Main conclusion. </w:t>
      </w:r>
      <w:r>
        <w:rPr>
          <w:rFonts w:ascii="Calibri" w:hAnsi="Calibri"/>
          <w:b w:val="0"/>
          <w:i w:val="0"/>
          <w:color w:val="202124"/>
          <w:sz w:val="21"/>
        </w:rPr>
        <w:t>The two-quarter sensitivity model met the 80% recall requirement in both sectors and reduced the paired alert rate by 8.3 percentage points. However, PR-AUC declined by 0.090 and precision declined by 6.6 percentage points. The shorter horizon therefore reduces queue size, but the remaining alerts are less concentrated with true events. It is useful as a secondary near-term screen, not a superior replacement for the four-quarter primary outcome.</w:t>
      </w:r>
    </w:p>
    <w:tbl>
      <w:tblPr>
        <w:tblStyle w:val="TableGrid"/>
        <w:tblW w:type="dxa" w:w="9360"/>
        <w:jc w:val="left"/>
        <w:tblLayout w:type="fixed"/>
        <w:tblLook w:firstColumn="1" w:firstRow="1" w:lastColumn="0" w:lastRow="0" w:noHBand="0" w:noVBand="1" w:val="04A0"/>
        <w:tblInd w:w="120" w:type="dxa"/>
      </w:tblPr>
      <w:tblGrid>
        <w:gridCol w:w="3600"/>
        <w:gridCol w:w="2880"/>
        <w:gridCol w:w="2880"/>
      </w:tblGrid>
      <w:tr>
        <w:trPr>
          <w:tblHeader/>
        </w:trPr>
        <w:tc>
          <w:tcPr>
            <w:tcW w:type="dxa" w:w="3600"/>
            <w:shd w:fill="EAF1F8"/>
            <w:vAlign w:val="center"/>
            <w:tcMar>
              <w:top w:w="80" w:type="dxa"/>
              <w:bottom w:w="80" w:type="dxa"/>
              <w:start w:w="120" w:type="dxa"/>
              <w:end w:w="120" w:type="dxa"/>
            </w:tcMar>
          </w:tcPr>
          <w:p>
            <w:pPr>
              <w:spacing w:after="0"/>
            </w:pPr>
            <w:r>
              <w:rPr>
                <w:rFonts w:ascii="Calibri" w:hAnsi="Calibri"/>
                <w:b/>
                <w:i w:val="0"/>
                <w:color w:val="17365D"/>
                <w:sz w:val="18"/>
              </w:rPr>
              <w:t>Paired calibrated result</w:t>
            </w:r>
          </w:p>
        </w:tc>
        <w:tc>
          <w:tcPr>
            <w:tcW w:type="dxa" w:w="2880"/>
            <w:shd w:fill="EAF1F8"/>
            <w:vAlign w:val="center"/>
            <w:tcMar>
              <w:top w:w="80" w:type="dxa"/>
              <w:bottom w:w="80" w:type="dxa"/>
              <w:start w:w="120" w:type="dxa"/>
              <w:end w:w="120" w:type="dxa"/>
            </w:tcMar>
          </w:tcPr>
          <w:p>
            <w:pPr>
              <w:spacing w:after="0"/>
            </w:pPr>
            <w:r>
              <w:rPr>
                <w:rFonts w:ascii="Calibri" w:hAnsi="Calibri"/>
                <w:b/>
                <w:i w:val="0"/>
                <w:color w:val="17365D"/>
                <w:sz w:val="18"/>
              </w:rPr>
              <w:t>4-quarter primary</w:t>
            </w:r>
          </w:p>
        </w:tc>
        <w:tc>
          <w:tcPr>
            <w:tcW w:type="dxa" w:w="2880"/>
            <w:shd w:fill="EAF1F8"/>
            <w:vAlign w:val="center"/>
            <w:tcMar>
              <w:top w:w="80" w:type="dxa"/>
              <w:bottom w:w="80" w:type="dxa"/>
              <w:start w:w="120" w:type="dxa"/>
              <w:end w:w="120" w:type="dxa"/>
            </w:tcMar>
          </w:tcPr>
          <w:p>
            <w:pPr>
              <w:spacing w:after="0"/>
            </w:pPr>
            <w:r>
              <w:rPr>
                <w:rFonts w:ascii="Calibri" w:hAnsi="Calibri"/>
                <w:b/>
                <w:i w:val="0"/>
                <w:color w:val="17365D"/>
                <w:sz w:val="18"/>
              </w:rPr>
              <w:t>2-quarter sensitivity</w:t>
            </w:r>
          </w:p>
        </w:tc>
      </w:tr>
      <w:tr>
        <w:tc>
          <w:tcPr>
            <w:tcW w:type="dxa" w:w="3600"/>
            <w:vAlign w:val="center"/>
            <w:tcMar>
              <w:top w:w="80" w:type="dxa"/>
              <w:bottom w:w="80" w:type="dxa"/>
              <w:start w:w="120" w:type="dxa"/>
              <w:end w:w="120" w:type="dxa"/>
            </w:tcMar>
          </w:tcPr>
          <w:p>
            <w:pPr>
              <w:spacing w:after="0"/>
            </w:pPr>
            <w:r>
              <w:rPr>
                <w:rFonts w:ascii="Calibri" w:hAnsi="Calibri"/>
                <w:b w:val="0"/>
                <w:i w:val="0"/>
                <w:color w:val="202124"/>
                <w:sz w:val="17"/>
              </w:rPr>
              <w:t>Eligible validation rows</w:t>
            </w:r>
          </w:p>
        </w:tc>
        <w:tc>
          <w:tcPr>
            <w:tcW w:type="dxa" w:w="2880"/>
            <w:vAlign w:val="center"/>
            <w:tcMar>
              <w:top w:w="80" w:type="dxa"/>
              <w:bottom w:w="80" w:type="dxa"/>
              <w:start w:w="120" w:type="dxa"/>
              <w:end w:w="120" w:type="dxa"/>
            </w:tcMar>
          </w:tcPr>
          <w:p>
            <w:pPr>
              <w:spacing w:after="0"/>
            </w:pPr>
            <w:r>
              <w:rPr>
                <w:rFonts w:ascii="Calibri" w:hAnsi="Calibri"/>
                <w:b w:val="0"/>
                <w:i w:val="0"/>
                <w:color w:val="202124"/>
                <w:sz w:val="17"/>
              </w:rPr>
              <w:t>397</w:t>
            </w:r>
          </w:p>
        </w:tc>
        <w:tc>
          <w:tcPr>
            <w:tcW w:type="dxa" w:w="2880"/>
            <w:vAlign w:val="center"/>
            <w:tcMar>
              <w:top w:w="80" w:type="dxa"/>
              <w:bottom w:w="80" w:type="dxa"/>
              <w:start w:w="120" w:type="dxa"/>
              <w:end w:w="120" w:type="dxa"/>
            </w:tcMar>
          </w:tcPr>
          <w:p>
            <w:pPr>
              <w:spacing w:after="0"/>
            </w:pPr>
            <w:r>
              <w:rPr>
                <w:rFonts w:ascii="Calibri" w:hAnsi="Calibri"/>
                <w:b w:val="0"/>
                <w:i w:val="0"/>
                <w:color w:val="202124"/>
                <w:sz w:val="17"/>
              </w:rPr>
              <w:t>397</w:t>
            </w:r>
          </w:p>
        </w:tc>
      </w:tr>
      <w:tr>
        <w:tc>
          <w:tcPr>
            <w:tcW w:type="dxa" w:w="3600"/>
            <w:vAlign w:val="center"/>
            <w:tcMar>
              <w:top w:w="80" w:type="dxa"/>
              <w:bottom w:w="80" w:type="dxa"/>
              <w:start w:w="120" w:type="dxa"/>
              <w:end w:w="120" w:type="dxa"/>
            </w:tcMar>
          </w:tcPr>
          <w:p>
            <w:pPr>
              <w:spacing w:after="0"/>
            </w:pPr>
            <w:r>
              <w:rPr>
                <w:rFonts w:ascii="Calibri" w:hAnsi="Calibri"/>
                <w:b w:val="0"/>
                <w:i w:val="0"/>
                <w:color w:val="202124"/>
                <w:sz w:val="17"/>
              </w:rPr>
              <w:t>Event prevalence</w:t>
            </w:r>
          </w:p>
        </w:tc>
        <w:tc>
          <w:tcPr>
            <w:tcW w:type="dxa" w:w="2880"/>
            <w:vAlign w:val="center"/>
            <w:tcMar>
              <w:top w:w="80" w:type="dxa"/>
              <w:bottom w:w="80" w:type="dxa"/>
              <w:start w:w="120" w:type="dxa"/>
              <w:end w:w="120" w:type="dxa"/>
            </w:tcMar>
          </w:tcPr>
          <w:p>
            <w:pPr>
              <w:spacing w:after="0"/>
            </w:pPr>
            <w:r>
              <w:rPr>
                <w:rFonts w:ascii="Calibri" w:hAnsi="Calibri"/>
                <w:b w:val="0"/>
                <w:i w:val="0"/>
                <w:color w:val="202124"/>
                <w:sz w:val="17"/>
              </w:rPr>
              <w:t>19.4%</w:t>
            </w:r>
          </w:p>
        </w:tc>
        <w:tc>
          <w:tcPr>
            <w:tcW w:type="dxa" w:w="2880"/>
            <w:vAlign w:val="center"/>
            <w:tcMar>
              <w:top w:w="80" w:type="dxa"/>
              <w:bottom w:w="80" w:type="dxa"/>
              <w:start w:w="120" w:type="dxa"/>
              <w:end w:w="120" w:type="dxa"/>
            </w:tcMar>
          </w:tcPr>
          <w:p>
            <w:pPr>
              <w:spacing w:after="0"/>
            </w:pPr>
            <w:r>
              <w:rPr>
                <w:rFonts w:ascii="Calibri" w:hAnsi="Calibri"/>
                <w:b w:val="0"/>
                <w:i w:val="0"/>
                <w:color w:val="202124"/>
                <w:sz w:val="17"/>
              </w:rPr>
              <w:t>12.1%</w:t>
            </w:r>
          </w:p>
        </w:tc>
      </w:tr>
      <w:tr>
        <w:tc>
          <w:tcPr>
            <w:tcW w:type="dxa" w:w="3600"/>
            <w:vAlign w:val="center"/>
            <w:tcMar>
              <w:top w:w="80" w:type="dxa"/>
              <w:bottom w:w="80" w:type="dxa"/>
              <w:start w:w="120" w:type="dxa"/>
              <w:end w:w="120" w:type="dxa"/>
            </w:tcMar>
          </w:tcPr>
          <w:p>
            <w:pPr>
              <w:spacing w:after="0"/>
            </w:pPr>
            <w:r>
              <w:rPr>
                <w:rFonts w:ascii="Calibri" w:hAnsi="Calibri"/>
                <w:b w:val="0"/>
                <w:i w:val="0"/>
                <w:color w:val="202124"/>
                <w:sz w:val="17"/>
              </w:rPr>
              <w:t>PR-AUC</w:t>
            </w:r>
          </w:p>
        </w:tc>
        <w:tc>
          <w:tcPr>
            <w:tcW w:type="dxa" w:w="2880"/>
            <w:vAlign w:val="center"/>
            <w:tcMar>
              <w:top w:w="80" w:type="dxa"/>
              <w:bottom w:w="80" w:type="dxa"/>
              <w:start w:w="120" w:type="dxa"/>
              <w:end w:w="120" w:type="dxa"/>
            </w:tcMar>
          </w:tcPr>
          <w:p>
            <w:pPr>
              <w:spacing w:after="0"/>
            </w:pPr>
            <w:r>
              <w:rPr>
                <w:rFonts w:ascii="Calibri" w:hAnsi="Calibri"/>
                <w:b w:val="0"/>
                <w:i w:val="0"/>
                <w:color w:val="202124"/>
                <w:sz w:val="17"/>
              </w:rPr>
              <w:t>0.262</w:t>
            </w:r>
          </w:p>
        </w:tc>
        <w:tc>
          <w:tcPr>
            <w:tcW w:type="dxa" w:w="2880"/>
            <w:vAlign w:val="center"/>
            <w:tcMar>
              <w:top w:w="80" w:type="dxa"/>
              <w:bottom w:w="80" w:type="dxa"/>
              <w:start w:w="120" w:type="dxa"/>
              <w:end w:w="120" w:type="dxa"/>
            </w:tcMar>
          </w:tcPr>
          <w:p>
            <w:pPr>
              <w:spacing w:after="0"/>
            </w:pPr>
            <w:r>
              <w:rPr>
                <w:rFonts w:ascii="Calibri" w:hAnsi="Calibri"/>
                <w:b w:val="0"/>
                <w:i w:val="0"/>
                <w:color w:val="202124"/>
                <w:sz w:val="17"/>
              </w:rPr>
              <w:t>0.171</w:t>
            </w:r>
          </w:p>
        </w:tc>
      </w:tr>
      <w:tr>
        <w:tc>
          <w:tcPr>
            <w:tcW w:type="dxa" w:w="3600"/>
            <w:vAlign w:val="center"/>
            <w:tcMar>
              <w:top w:w="80" w:type="dxa"/>
              <w:bottom w:w="80" w:type="dxa"/>
              <w:start w:w="120" w:type="dxa"/>
              <w:end w:w="120" w:type="dxa"/>
            </w:tcMar>
          </w:tcPr>
          <w:p>
            <w:pPr>
              <w:spacing w:after="0"/>
            </w:pPr>
            <w:r>
              <w:rPr>
                <w:rFonts w:ascii="Calibri" w:hAnsi="Calibri"/>
                <w:b w:val="0"/>
                <w:i w:val="0"/>
                <w:color w:val="202124"/>
                <w:sz w:val="17"/>
              </w:rPr>
              <w:t>Recall</w:t>
            </w:r>
          </w:p>
        </w:tc>
        <w:tc>
          <w:tcPr>
            <w:tcW w:type="dxa" w:w="2880"/>
            <w:vAlign w:val="center"/>
            <w:tcMar>
              <w:top w:w="80" w:type="dxa"/>
              <w:bottom w:w="80" w:type="dxa"/>
              <w:start w:w="120" w:type="dxa"/>
              <w:end w:w="120" w:type="dxa"/>
            </w:tcMar>
          </w:tcPr>
          <w:p>
            <w:pPr>
              <w:spacing w:after="0"/>
            </w:pPr>
            <w:r>
              <w:rPr>
                <w:rFonts w:ascii="Calibri" w:hAnsi="Calibri"/>
                <w:b w:val="0"/>
                <w:i w:val="0"/>
                <w:color w:val="202124"/>
                <w:sz w:val="17"/>
              </w:rPr>
              <w:t>80.5%</w:t>
            </w:r>
          </w:p>
        </w:tc>
        <w:tc>
          <w:tcPr>
            <w:tcW w:type="dxa" w:w="2880"/>
            <w:vAlign w:val="center"/>
            <w:tcMar>
              <w:top w:w="80" w:type="dxa"/>
              <w:bottom w:w="80" w:type="dxa"/>
              <w:start w:w="120" w:type="dxa"/>
              <w:end w:w="120" w:type="dxa"/>
            </w:tcMar>
          </w:tcPr>
          <w:p>
            <w:pPr>
              <w:spacing w:after="0"/>
            </w:pPr>
            <w:r>
              <w:rPr>
                <w:rFonts w:ascii="Calibri" w:hAnsi="Calibri"/>
                <w:b w:val="0"/>
                <w:i w:val="0"/>
                <w:color w:val="202124"/>
                <w:sz w:val="17"/>
              </w:rPr>
              <w:t>81.2%</w:t>
            </w:r>
          </w:p>
        </w:tc>
      </w:tr>
      <w:tr>
        <w:tc>
          <w:tcPr>
            <w:tcW w:type="dxa" w:w="3600"/>
            <w:vAlign w:val="center"/>
            <w:tcMar>
              <w:top w:w="80" w:type="dxa"/>
              <w:bottom w:w="80" w:type="dxa"/>
              <w:start w:w="120" w:type="dxa"/>
              <w:end w:w="120" w:type="dxa"/>
            </w:tcMar>
          </w:tcPr>
          <w:p>
            <w:pPr>
              <w:spacing w:after="0"/>
            </w:pPr>
            <w:r>
              <w:rPr>
                <w:rFonts w:ascii="Calibri" w:hAnsi="Calibri"/>
                <w:b w:val="0"/>
                <w:i w:val="0"/>
                <w:color w:val="202124"/>
                <w:sz w:val="17"/>
              </w:rPr>
              <w:t>Precision</w:t>
            </w:r>
          </w:p>
        </w:tc>
        <w:tc>
          <w:tcPr>
            <w:tcW w:type="dxa" w:w="2880"/>
            <w:vAlign w:val="center"/>
            <w:tcMar>
              <w:top w:w="80" w:type="dxa"/>
              <w:bottom w:w="80" w:type="dxa"/>
              <w:start w:w="120" w:type="dxa"/>
              <w:end w:w="120" w:type="dxa"/>
            </w:tcMar>
          </w:tcPr>
          <w:p>
            <w:pPr>
              <w:spacing w:after="0"/>
            </w:pPr>
            <w:r>
              <w:rPr>
                <w:rFonts w:ascii="Calibri" w:hAnsi="Calibri"/>
                <w:b w:val="0"/>
                <w:i w:val="0"/>
                <w:color w:val="202124"/>
                <w:sz w:val="17"/>
              </w:rPr>
              <w:t>23.2%</w:t>
            </w:r>
          </w:p>
        </w:tc>
        <w:tc>
          <w:tcPr>
            <w:tcW w:type="dxa" w:w="2880"/>
            <w:vAlign w:val="center"/>
            <w:tcMar>
              <w:top w:w="80" w:type="dxa"/>
              <w:bottom w:w="80" w:type="dxa"/>
              <w:start w:w="120" w:type="dxa"/>
              <w:end w:w="120" w:type="dxa"/>
            </w:tcMar>
          </w:tcPr>
          <w:p>
            <w:pPr>
              <w:spacing w:after="0"/>
            </w:pPr>
            <w:r>
              <w:rPr>
                <w:rFonts w:ascii="Calibri" w:hAnsi="Calibri"/>
                <w:b w:val="0"/>
                <w:i w:val="0"/>
                <w:color w:val="202124"/>
                <w:sz w:val="17"/>
              </w:rPr>
              <w:t>16.7%</w:t>
            </w:r>
          </w:p>
        </w:tc>
      </w:tr>
      <w:tr>
        <w:tc>
          <w:tcPr>
            <w:tcW w:type="dxa" w:w="3600"/>
            <w:vAlign w:val="center"/>
            <w:tcMar>
              <w:top w:w="80" w:type="dxa"/>
              <w:bottom w:w="80" w:type="dxa"/>
              <w:start w:w="120" w:type="dxa"/>
              <w:end w:w="120" w:type="dxa"/>
            </w:tcMar>
          </w:tcPr>
          <w:p>
            <w:pPr>
              <w:spacing w:after="0"/>
            </w:pPr>
            <w:r>
              <w:rPr>
                <w:rFonts w:ascii="Calibri" w:hAnsi="Calibri"/>
                <w:b w:val="0"/>
                <w:i w:val="0"/>
                <w:color w:val="202124"/>
                <w:sz w:val="17"/>
              </w:rPr>
              <w:t>Alert rate</w:t>
            </w:r>
          </w:p>
        </w:tc>
        <w:tc>
          <w:tcPr>
            <w:tcW w:type="dxa" w:w="2880"/>
            <w:vAlign w:val="center"/>
            <w:tcMar>
              <w:top w:w="80" w:type="dxa"/>
              <w:bottom w:w="80" w:type="dxa"/>
              <w:start w:w="120" w:type="dxa"/>
              <w:end w:w="120" w:type="dxa"/>
            </w:tcMar>
          </w:tcPr>
          <w:p>
            <w:pPr>
              <w:spacing w:after="0"/>
            </w:pPr>
            <w:r>
              <w:rPr>
                <w:rFonts w:ascii="Calibri" w:hAnsi="Calibri"/>
                <w:b w:val="0"/>
                <w:i w:val="0"/>
                <w:color w:val="202124"/>
                <w:sz w:val="17"/>
              </w:rPr>
              <w:t>67.3%</w:t>
            </w:r>
          </w:p>
        </w:tc>
        <w:tc>
          <w:tcPr>
            <w:tcW w:type="dxa" w:w="2880"/>
            <w:vAlign w:val="center"/>
            <w:tcMar>
              <w:top w:w="80" w:type="dxa"/>
              <w:bottom w:w="80" w:type="dxa"/>
              <w:start w:w="120" w:type="dxa"/>
              <w:end w:w="120" w:type="dxa"/>
            </w:tcMar>
          </w:tcPr>
          <w:p>
            <w:pPr>
              <w:spacing w:after="0"/>
            </w:pPr>
            <w:r>
              <w:rPr>
                <w:rFonts w:ascii="Calibri" w:hAnsi="Calibri"/>
                <w:b w:val="0"/>
                <w:i w:val="0"/>
                <w:color w:val="202124"/>
                <w:sz w:val="17"/>
              </w:rPr>
              <w:t>58.9%</w:t>
            </w:r>
          </w:p>
        </w:tc>
      </w:tr>
      <w:tr>
        <w:tc>
          <w:tcPr>
            <w:tcW w:type="dxa" w:w="3600"/>
            <w:vAlign w:val="center"/>
            <w:tcMar>
              <w:top w:w="80" w:type="dxa"/>
              <w:bottom w:w="80" w:type="dxa"/>
              <w:start w:w="120" w:type="dxa"/>
              <w:end w:w="120" w:type="dxa"/>
            </w:tcMar>
          </w:tcPr>
          <w:p>
            <w:pPr>
              <w:spacing w:after="0"/>
            </w:pPr>
            <w:r>
              <w:rPr>
                <w:rFonts w:ascii="Calibri" w:hAnsi="Calibri"/>
                <w:b w:val="0"/>
                <w:i w:val="0"/>
                <w:color w:val="202124"/>
                <w:sz w:val="17"/>
              </w:rPr>
              <w:t>Brier score</w:t>
            </w:r>
          </w:p>
        </w:tc>
        <w:tc>
          <w:tcPr>
            <w:tcW w:type="dxa" w:w="2880"/>
            <w:vAlign w:val="center"/>
            <w:tcMar>
              <w:top w:w="80" w:type="dxa"/>
              <w:bottom w:w="80" w:type="dxa"/>
              <w:start w:w="120" w:type="dxa"/>
              <w:end w:w="120" w:type="dxa"/>
            </w:tcMar>
          </w:tcPr>
          <w:p>
            <w:pPr>
              <w:spacing w:after="0"/>
            </w:pPr>
            <w:r>
              <w:rPr>
                <w:rFonts w:ascii="Calibri" w:hAnsi="Calibri"/>
                <w:b w:val="0"/>
                <w:i w:val="0"/>
                <w:color w:val="202124"/>
                <w:sz w:val="17"/>
              </w:rPr>
              <w:t>0.159</w:t>
            </w:r>
          </w:p>
        </w:tc>
        <w:tc>
          <w:tcPr>
            <w:tcW w:type="dxa" w:w="2880"/>
            <w:vAlign w:val="center"/>
            <w:tcMar>
              <w:top w:w="80" w:type="dxa"/>
              <w:bottom w:w="80" w:type="dxa"/>
              <w:start w:w="120" w:type="dxa"/>
              <w:end w:w="120" w:type="dxa"/>
            </w:tcMar>
          </w:tcPr>
          <w:p>
            <w:pPr>
              <w:spacing w:after="0"/>
            </w:pPr>
            <w:r>
              <w:rPr>
                <w:rFonts w:ascii="Calibri" w:hAnsi="Calibri"/>
                <w:b w:val="0"/>
                <w:i w:val="0"/>
                <w:color w:val="202124"/>
                <w:sz w:val="17"/>
              </w:rPr>
              <w:t>0.106</w:t>
            </w:r>
          </w:p>
        </w:tc>
      </w:tr>
      <w:tr>
        <w:tc>
          <w:tcPr>
            <w:tcW w:type="dxa" w:w="3600"/>
            <w:vAlign w:val="center"/>
            <w:tcMar>
              <w:top w:w="80" w:type="dxa"/>
              <w:bottom w:w="80" w:type="dxa"/>
              <w:start w:w="120" w:type="dxa"/>
              <w:end w:w="120" w:type="dxa"/>
            </w:tcMar>
          </w:tcPr>
          <w:p>
            <w:pPr>
              <w:spacing w:after="0"/>
            </w:pPr>
            <w:r>
              <w:rPr>
                <w:rFonts w:ascii="Calibri" w:hAnsi="Calibri"/>
                <w:b w:val="0"/>
                <w:i w:val="0"/>
                <w:color w:val="202124"/>
                <w:sz w:val="17"/>
              </w:rPr>
              <w:t>Median warning lead</w:t>
            </w:r>
          </w:p>
        </w:tc>
        <w:tc>
          <w:tcPr>
            <w:tcW w:type="dxa" w:w="2880"/>
            <w:vAlign w:val="center"/>
            <w:tcMar>
              <w:top w:w="80" w:type="dxa"/>
              <w:bottom w:w="80" w:type="dxa"/>
              <w:start w:w="120" w:type="dxa"/>
              <w:end w:w="120" w:type="dxa"/>
            </w:tcMar>
          </w:tcPr>
          <w:p>
            <w:pPr>
              <w:spacing w:after="0"/>
            </w:pPr>
            <w:r>
              <w:rPr>
                <w:rFonts w:ascii="Calibri" w:hAnsi="Calibri"/>
                <w:b w:val="0"/>
                <w:i w:val="0"/>
                <w:color w:val="202124"/>
                <w:sz w:val="17"/>
              </w:rPr>
              <w:t>2.0 quarters</w:t>
            </w:r>
          </w:p>
        </w:tc>
        <w:tc>
          <w:tcPr>
            <w:tcW w:type="dxa" w:w="2880"/>
            <w:vAlign w:val="center"/>
            <w:tcMar>
              <w:top w:w="80" w:type="dxa"/>
              <w:bottom w:w="80" w:type="dxa"/>
              <w:start w:w="120" w:type="dxa"/>
              <w:end w:w="120" w:type="dxa"/>
            </w:tcMar>
          </w:tcPr>
          <w:p>
            <w:pPr>
              <w:spacing w:after="0"/>
            </w:pPr>
            <w:r>
              <w:rPr>
                <w:rFonts w:ascii="Calibri" w:hAnsi="Calibri"/>
                <w:b w:val="0"/>
                <w:i w:val="0"/>
                <w:color w:val="202124"/>
                <w:sz w:val="17"/>
              </w:rPr>
              <w:t>1.0 quarters</w:t>
            </w:r>
          </w:p>
        </w:tc>
      </w:tr>
    </w:tbl>
    <w:p>
      <w:pPr>
        <w:spacing w:after="0"/>
      </w:pPr>
    </w:p>
    <w:p>
      <w:pPr>
        <w:keepNext/>
        <w:jc w:val="center"/>
      </w:pPr>
      <w:r>
        <w:drawing>
          <wp:inline xmlns:a="http://schemas.openxmlformats.org/drawingml/2006/main" xmlns:pic="http://schemas.openxmlformats.org/drawingml/2006/picture">
            <wp:extent cx="5715000" cy="2478795"/>
            <wp:docPr id="1" name="Picture 1" descr="Figure 1. The shorter horizon lowers workload but also weakens ranking and alert precision."/>
            <wp:cNvGraphicFramePr>
              <a:graphicFrameLocks noChangeAspect="1"/>
            </wp:cNvGraphicFramePr>
            <a:graphic>
              <a:graphicData uri="http://schemas.openxmlformats.org/drawingml/2006/picture">
                <pic:pic>
                  <pic:nvPicPr>
                    <pic:cNvPr id="0" name="horizon_comparison.png"/>
                    <pic:cNvPicPr/>
                  </pic:nvPicPr>
                  <pic:blipFill>
                    <a:blip r:embed="rId11"/>
                    <a:stretch>
                      <a:fillRect/>
                    </a:stretch>
                  </pic:blipFill>
                  <pic:spPr>
                    <a:xfrm>
                      <a:off x="0" y="0"/>
                      <a:ext cx="5715000" cy="2478795"/>
                    </a:xfrm>
                    <a:prstGeom prst="rect"/>
                  </pic:spPr>
                </pic:pic>
              </a:graphicData>
            </a:graphic>
          </wp:inline>
        </w:drawing>
      </w:r>
    </w:p>
    <w:p>
      <w:pPr>
        <w:spacing w:after="160"/>
        <w:jc w:val="center"/>
      </w:pPr>
      <w:r>
        <w:rPr>
          <w:rFonts w:ascii="Calibri" w:hAnsi="Calibri"/>
          <w:b w:val="0"/>
          <w:i/>
          <w:color w:val="667085"/>
          <w:sz w:val="17"/>
        </w:rPr>
        <w:t>Figure 1. The shorter horizon lowers workload but also weakens ranking and alert precision.</w:t>
      </w:r>
    </w:p>
    <w:p>
      <w:r>
        <w:br w:type="page"/>
      </w:r>
    </w:p>
    <w:p>
      <w:pPr>
        <w:pStyle w:val="Heading1"/>
        <w:keepNext/>
      </w:pPr>
      <w:r>
        <w:rPr>
          <w:rFonts w:ascii="Calibri" w:hAnsi="Calibri"/>
          <w:b/>
          <w:i w:val="0"/>
          <w:color w:val="17365D"/>
          <w:sz w:val="32"/>
        </w:rPr>
        <w:t>1. Business and financial question</w:t>
      </w:r>
    </w:p>
    <w:p>
      <w:pPr>
        <w:spacing w:after="120" w:line="264" w:lineRule="auto"/>
      </w:pPr>
      <w:r>
        <w:rPr>
          <w:rFonts w:ascii="Calibri" w:hAnsi="Calibri"/>
          <w:b w:val="0"/>
          <w:i w:val="0"/>
          <w:color w:val="202124"/>
          <w:sz w:val="21"/>
        </w:rPr>
        <w:t>Credit and equity analysts often screen many issuers before performing detailed filing review, covenant analysis, valuation work, or management assessment. The project asks whether public financial statements and macroeconomic information can rank active companies by the risk of a material decline in interest coverage.</w:t>
      </w:r>
    </w:p>
    <w:p>
      <w:pPr>
        <w:pStyle w:val="ListBullet"/>
        <w:spacing w:after="100" w:line="280" w:lineRule="auto"/>
        <w:ind w:left="720" w:hanging="360"/>
      </w:pPr>
      <w:r>
        <w:rPr>
          <w:rFonts w:ascii="Calibri" w:hAnsi="Calibri"/>
          <w:b w:val="0"/>
          <w:i w:val="0"/>
          <w:color w:val="202124"/>
          <w:sz w:val="20"/>
        </w:rPr>
        <w:t>Primary financial outcome: within four future fiscal quarters, interest coverage falls below 1.5x and declines at least 40% from the current level.</w:t>
      </w:r>
    </w:p>
    <w:p>
      <w:pPr>
        <w:pStyle w:val="ListBullet"/>
        <w:spacing w:after="100" w:line="280" w:lineRule="auto"/>
        <w:ind w:left="720" w:hanging="360"/>
      </w:pPr>
      <w:r>
        <w:rPr>
          <w:rFonts w:ascii="Calibri" w:hAnsi="Calibri"/>
          <w:b w:val="0"/>
          <w:i w:val="0"/>
          <w:color w:val="202124"/>
          <w:sz w:val="20"/>
        </w:rPr>
        <w:t>Secondary sensitivity outcome: apply the same economic rule over two future fiscal quarters.</w:t>
      </w:r>
    </w:p>
    <w:p>
      <w:pPr>
        <w:pStyle w:val="ListBullet"/>
        <w:spacing w:after="100" w:line="280" w:lineRule="auto"/>
        <w:ind w:left="720" w:hanging="360"/>
      </w:pPr>
      <w:r>
        <w:rPr>
          <w:rFonts w:ascii="Calibri" w:hAnsi="Calibri"/>
          <w:b w:val="0"/>
          <w:i w:val="0"/>
          <w:color w:val="202124"/>
          <w:sz w:val="20"/>
        </w:rPr>
        <w:t>Decision objective: attain at least 80% recall separately in Consumer Discretionary and Utilities, then minimize the number of alerts.</w:t>
      </w:r>
    </w:p>
    <w:p>
      <w:pPr>
        <w:spacing w:after="120" w:line="264" w:lineRule="auto"/>
      </w:pPr>
      <w:r>
        <w:rPr>
          <w:rFonts w:ascii="Calibri" w:hAnsi="Calibri"/>
          <w:b w:val="0"/>
          <w:i w:val="0"/>
          <w:color w:val="202124"/>
          <w:sz w:val="21"/>
        </w:rPr>
        <w:t>Interest coverage connects operating earnings to contractual interest expense. A decline below 1.5x indicates a narrow earnings cushion, but the rule is a research definition—not a covenant, default forecast, or investment recommendation.</w:t>
      </w:r>
    </w:p>
    <w:p>
      <w:pPr>
        <w:pStyle w:val="Heading1"/>
        <w:keepNext/>
      </w:pPr>
      <w:r>
        <w:rPr>
          <w:rFonts w:ascii="Calibri" w:hAnsi="Calibri"/>
          <w:b/>
          <w:i w:val="0"/>
          <w:color w:val="17365D"/>
          <w:sz w:val="32"/>
        </w:rPr>
        <w:t>2. Data, population, and sampling</w:t>
      </w:r>
    </w:p>
    <w:p>
      <w:pPr>
        <w:spacing w:after="120" w:line="264" w:lineRule="auto"/>
      </w:pPr>
      <w:r>
        <w:rPr>
          <w:rFonts w:ascii="Calibri" w:hAnsi="Calibri"/>
          <w:b w:val="0"/>
          <w:i w:val="0"/>
          <w:color w:val="202124"/>
          <w:sz w:val="21"/>
        </w:rPr>
        <w:t>The analysis uses SEC EDGAR company facts and filing metadata for financial statements, plus FRED/ALFRED macroeconomic series. Every field carries an availability date so that a decision row contains only information public at that time.</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trPr>
        <w:tc>
          <w:tcPr>
            <w:tcW w:type="dxa" w:w="2500"/>
            <w:shd w:fill="EAF1F8"/>
            <w:vAlign w:val="center"/>
            <w:tcMar>
              <w:top w:w="80" w:type="dxa"/>
              <w:bottom w:w="80" w:type="dxa"/>
              <w:start w:w="120" w:type="dxa"/>
              <w:end w:w="120" w:type="dxa"/>
            </w:tcMar>
          </w:tcPr>
          <w:p>
            <w:pPr>
              <w:spacing w:after="0"/>
            </w:pPr>
            <w:r>
              <w:rPr>
                <w:rFonts w:ascii="Calibri" w:hAnsi="Calibri"/>
                <w:b/>
                <w:i w:val="0"/>
                <w:color w:val="17365D"/>
                <w:sz w:val="18"/>
              </w:rPr>
              <w:t>Design element</w:t>
            </w:r>
          </w:p>
        </w:tc>
        <w:tc>
          <w:tcPr>
            <w:tcW w:type="dxa" w:w="6860"/>
            <w:shd w:fill="EAF1F8"/>
            <w:vAlign w:val="center"/>
            <w:tcMar>
              <w:top w:w="80" w:type="dxa"/>
              <w:bottom w:w="80" w:type="dxa"/>
              <w:start w:w="120" w:type="dxa"/>
              <w:end w:w="120" w:type="dxa"/>
            </w:tcMar>
          </w:tcPr>
          <w:p>
            <w:pPr>
              <w:spacing w:after="0"/>
            </w:pPr>
            <w:r>
              <w:rPr>
                <w:rFonts w:ascii="Calibri" w:hAnsi="Calibri"/>
                <w:b/>
                <w:i w:val="0"/>
                <w:color w:val="17365D"/>
                <w:sz w:val="18"/>
              </w:rPr>
              <w:t>Phase 2 treatment</w:t>
            </w:r>
          </w:p>
        </w:tc>
      </w:tr>
      <w:tr>
        <w:tc>
          <w:tcPr>
            <w:tcW w:type="dxa" w:w="2500"/>
            <w:vAlign w:val="center"/>
            <w:tcMar>
              <w:top w:w="80" w:type="dxa"/>
              <w:bottom w:w="80" w:type="dxa"/>
              <w:start w:w="120" w:type="dxa"/>
              <w:end w:w="120" w:type="dxa"/>
            </w:tcMar>
          </w:tcPr>
          <w:p>
            <w:pPr>
              <w:spacing w:after="0"/>
            </w:pPr>
            <w:r>
              <w:rPr>
                <w:rFonts w:ascii="Calibri" w:hAnsi="Calibri"/>
                <w:b w:val="0"/>
                <w:i w:val="0"/>
                <w:color w:val="202124"/>
                <w:sz w:val="17"/>
              </w:rPr>
              <w:t>Population</w:t>
            </w:r>
          </w:p>
        </w:tc>
        <w:tc>
          <w:tcPr>
            <w:tcW w:type="dxa" w:w="6860"/>
            <w:vAlign w:val="center"/>
            <w:tcMar>
              <w:top w:w="80" w:type="dxa"/>
              <w:bottom w:w="80" w:type="dxa"/>
              <w:start w:w="120" w:type="dxa"/>
              <w:end w:w="120" w:type="dxa"/>
            </w:tcMar>
          </w:tcPr>
          <w:p>
            <w:pPr>
              <w:spacing w:after="0"/>
            </w:pPr>
            <w:r>
              <w:rPr>
                <w:rFonts w:ascii="Calibri" w:hAnsi="Calibri"/>
                <w:b w:val="0"/>
                <w:i w:val="0"/>
                <w:color w:val="202124"/>
                <w:sz w:val="17"/>
              </w:rPr>
              <w:t>Currently listed US operating companies; delisted companies excluded by scope</w:t>
            </w:r>
          </w:p>
        </w:tc>
      </w:tr>
      <w:tr>
        <w:tc>
          <w:tcPr>
            <w:tcW w:type="dxa" w:w="2500"/>
            <w:vAlign w:val="center"/>
            <w:tcMar>
              <w:top w:w="80" w:type="dxa"/>
              <w:bottom w:w="80" w:type="dxa"/>
              <w:start w:w="120" w:type="dxa"/>
              <w:end w:w="120" w:type="dxa"/>
            </w:tcMar>
          </w:tcPr>
          <w:p>
            <w:pPr>
              <w:spacing w:after="0"/>
            </w:pPr>
            <w:r>
              <w:rPr>
                <w:rFonts w:ascii="Calibri" w:hAnsi="Calibri"/>
                <w:b w:val="0"/>
                <w:i w:val="0"/>
                <w:color w:val="202124"/>
                <w:sz w:val="17"/>
              </w:rPr>
              <w:t>Selection date</w:t>
            </w:r>
          </w:p>
        </w:tc>
        <w:tc>
          <w:tcPr>
            <w:tcW w:type="dxa" w:w="6860"/>
            <w:vAlign w:val="center"/>
            <w:tcMar>
              <w:top w:w="80" w:type="dxa"/>
              <w:bottom w:w="80" w:type="dxa"/>
              <w:start w:w="120" w:type="dxa"/>
              <w:end w:w="120" w:type="dxa"/>
            </w:tcMar>
          </w:tcPr>
          <w:p>
            <w:pPr>
              <w:spacing w:after="0"/>
            </w:pPr>
            <w:r>
              <w:rPr>
                <w:rFonts w:ascii="Calibri" w:hAnsi="Calibri"/>
                <w:b w:val="0"/>
                <w:i w:val="0"/>
                <w:color w:val="202124"/>
                <w:sz w:val="17"/>
              </w:rPr>
              <w:t>2 August 2026</w:t>
            </w:r>
          </w:p>
        </w:tc>
      </w:tr>
      <w:tr>
        <w:tc>
          <w:tcPr>
            <w:tcW w:type="dxa" w:w="2500"/>
            <w:vAlign w:val="center"/>
            <w:tcMar>
              <w:top w:w="80" w:type="dxa"/>
              <w:bottom w:w="80" w:type="dxa"/>
              <w:start w:w="120" w:type="dxa"/>
              <w:end w:w="120" w:type="dxa"/>
            </w:tcMar>
          </w:tcPr>
          <w:p>
            <w:pPr>
              <w:spacing w:after="0"/>
            </w:pPr>
            <w:r>
              <w:rPr>
                <w:rFonts w:ascii="Calibri" w:hAnsi="Calibri"/>
                <w:b w:val="0"/>
                <w:i w:val="0"/>
                <w:color w:val="202124"/>
                <w:sz w:val="17"/>
              </w:rPr>
              <w:t>Financial cutoff</w:t>
            </w:r>
          </w:p>
        </w:tc>
        <w:tc>
          <w:tcPr>
            <w:tcW w:type="dxa" w:w="6860"/>
            <w:vAlign w:val="center"/>
            <w:tcMar>
              <w:top w:w="80" w:type="dxa"/>
              <w:bottom w:w="80" w:type="dxa"/>
              <w:start w:w="120" w:type="dxa"/>
              <w:end w:w="120" w:type="dxa"/>
            </w:tcMar>
          </w:tcPr>
          <w:p>
            <w:pPr>
              <w:spacing w:after="0"/>
            </w:pPr>
            <w:r>
              <w:rPr>
                <w:rFonts w:ascii="Calibri" w:hAnsi="Calibri"/>
                <w:b w:val="0"/>
                <w:i w:val="0"/>
                <w:color w:val="202124"/>
                <w:sz w:val="17"/>
              </w:rPr>
              <w:t>31 December 2025</w:t>
            </w:r>
          </w:p>
        </w:tc>
      </w:tr>
      <w:tr>
        <w:tc>
          <w:tcPr>
            <w:tcW w:type="dxa" w:w="2500"/>
            <w:vAlign w:val="center"/>
            <w:tcMar>
              <w:top w:w="80" w:type="dxa"/>
              <w:bottom w:w="80" w:type="dxa"/>
              <w:start w:w="120" w:type="dxa"/>
              <w:end w:w="120" w:type="dxa"/>
            </w:tcMar>
          </w:tcPr>
          <w:p>
            <w:pPr>
              <w:spacing w:after="0"/>
            </w:pPr>
            <w:r>
              <w:rPr>
                <w:rFonts w:ascii="Calibri" w:hAnsi="Calibri"/>
                <w:b w:val="0"/>
                <w:i w:val="0"/>
                <w:color w:val="202124"/>
                <w:sz w:val="17"/>
              </w:rPr>
              <w:t>Sample</w:t>
            </w:r>
          </w:p>
        </w:tc>
        <w:tc>
          <w:tcPr>
            <w:tcW w:type="dxa" w:w="6860"/>
            <w:vAlign w:val="center"/>
            <w:tcMar>
              <w:top w:w="80" w:type="dxa"/>
              <w:bottom w:w="80" w:type="dxa"/>
              <w:start w:w="120" w:type="dxa"/>
              <w:end w:w="120" w:type="dxa"/>
            </w:tcMar>
          </w:tcPr>
          <w:p>
            <w:pPr>
              <w:spacing w:after="0"/>
            </w:pPr>
            <w:r>
              <w:rPr>
                <w:rFonts w:ascii="Calibri" w:hAnsi="Calibri"/>
                <w:b w:val="0"/>
                <w:i w:val="0"/>
                <w:color w:val="202124"/>
                <w:sz w:val="17"/>
              </w:rPr>
              <w:t>75 Consumer Discretionary and 42 Utilities issuers</w:t>
            </w:r>
          </w:p>
        </w:tc>
      </w:tr>
      <w:tr>
        <w:tc>
          <w:tcPr>
            <w:tcW w:type="dxa" w:w="2500"/>
            <w:vAlign w:val="center"/>
            <w:tcMar>
              <w:top w:w="80" w:type="dxa"/>
              <w:bottom w:w="80" w:type="dxa"/>
              <w:start w:w="120" w:type="dxa"/>
              <w:end w:w="120" w:type="dxa"/>
            </w:tcMar>
          </w:tcPr>
          <w:p>
            <w:pPr>
              <w:spacing w:after="0"/>
            </w:pPr>
            <w:r>
              <w:rPr>
                <w:rFonts w:ascii="Calibri" w:hAnsi="Calibri"/>
                <w:b w:val="0"/>
                <w:i w:val="0"/>
                <w:color w:val="202124"/>
                <w:sz w:val="17"/>
              </w:rPr>
              <w:t>Randomization</w:t>
            </w:r>
          </w:p>
        </w:tc>
        <w:tc>
          <w:tcPr>
            <w:tcW w:type="dxa" w:w="6860"/>
            <w:vAlign w:val="center"/>
            <w:tcMar>
              <w:top w:w="80" w:type="dxa"/>
              <w:bottom w:w="80" w:type="dxa"/>
              <w:start w:w="120" w:type="dxa"/>
              <w:end w:w="120" w:type="dxa"/>
            </w:tcMar>
          </w:tcPr>
          <w:p>
            <w:pPr>
              <w:spacing w:after="0"/>
            </w:pPr>
            <w:r>
              <w:rPr>
                <w:rFonts w:ascii="Calibri" w:hAnsi="Calibri"/>
                <w:b w:val="0"/>
                <w:i w:val="0"/>
                <w:color w:val="202124"/>
                <w:sz w:val="17"/>
              </w:rPr>
              <w:t>Seeded stratified random sampling without replacement; seed 42</w:t>
            </w:r>
          </w:p>
        </w:tc>
      </w:tr>
      <w:tr>
        <w:tc>
          <w:tcPr>
            <w:tcW w:type="dxa" w:w="2500"/>
            <w:vAlign w:val="center"/>
            <w:tcMar>
              <w:top w:w="80" w:type="dxa"/>
              <w:bottom w:w="80" w:type="dxa"/>
              <w:start w:w="120" w:type="dxa"/>
              <w:end w:w="120" w:type="dxa"/>
            </w:tcMar>
          </w:tcPr>
          <w:p>
            <w:pPr>
              <w:spacing w:after="0"/>
            </w:pPr>
            <w:r>
              <w:rPr>
                <w:rFonts w:ascii="Calibri" w:hAnsi="Calibri"/>
                <w:b w:val="0"/>
                <w:i w:val="0"/>
                <w:color w:val="202124"/>
                <w:sz w:val="17"/>
              </w:rPr>
              <w:t>Eligibility</w:t>
            </w:r>
          </w:p>
        </w:tc>
        <w:tc>
          <w:tcPr>
            <w:tcW w:type="dxa" w:w="6860"/>
            <w:vAlign w:val="center"/>
            <w:tcMar>
              <w:top w:w="80" w:type="dxa"/>
              <w:bottom w:w="80" w:type="dxa"/>
              <w:start w:w="120" w:type="dxa"/>
              <w:end w:w="120" w:type="dxa"/>
            </w:tcMar>
          </w:tcPr>
          <w:p>
            <w:pPr>
              <w:spacing w:after="0"/>
            </w:pPr>
            <w:r>
              <w:rPr>
                <w:rFonts w:ascii="Calibri" w:hAnsi="Calibri"/>
                <w:b w:val="0"/>
                <w:i w:val="0"/>
                <w:color w:val="202124"/>
                <w:sz w:val="17"/>
              </w:rPr>
              <w:t>Reliable interest coverage and assets; occasional optional-field gaps permitted</w:t>
            </w:r>
          </w:p>
        </w:tc>
      </w:tr>
      <w:tr>
        <w:tc>
          <w:tcPr>
            <w:tcW w:type="dxa" w:w="2500"/>
            <w:vAlign w:val="center"/>
            <w:tcMar>
              <w:top w:w="80" w:type="dxa"/>
              <w:bottom w:w="80" w:type="dxa"/>
              <w:start w:w="120" w:type="dxa"/>
              <w:end w:w="120" w:type="dxa"/>
            </w:tcMar>
          </w:tcPr>
          <w:p>
            <w:pPr>
              <w:spacing w:after="0"/>
            </w:pPr>
            <w:r>
              <w:rPr>
                <w:rFonts w:ascii="Calibri" w:hAnsi="Calibri"/>
                <w:b w:val="0"/>
                <w:i w:val="0"/>
                <w:color w:val="202124"/>
                <w:sz w:val="17"/>
              </w:rPr>
              <w:t>Synthetic data</w:t>
            </w:r>
          </w:p>
        </w:tc>
        <w:tc>
          <w:tcPr>
            <w:tcW w:type="dxa" w:w="6860"/>
            <w:vAlign w:val="center"/>
            <w:tcMar>
              <w:top w:w="80" w:type="dxa"/>
              <w:bottom w:w="80" w:type="dxa"/>
              <w:start w:w="120" w:type="dxa"/>
              <w:end w:w="120" w:type="dxa"/>
            </w:tcMar>
          </w:tcPr>
          <w:p>
            <w:pPr>
              <w:spacing w:after="0"/>
            </w:pPr>
            <w:r>
              <w:rPr>
                <w:rFonts w:ascii="Calibri" w:hAnsi="Calibri"/>
                <w:b w:val="0"/>
                <w:i w:val="0"/>
                <w:color w:val="202124"/>
                <w:sz w:val="17"/>
              </w:rPr>
              <w:t>None</w:t>
            </w:r>
          </w:p>
        </w:tc>
      </w:tr>
    </w:tbl>
    <w:p>
      <w:pPr>
        <w:spacing w:after="0"/>
      </w:pPr>
    </w:p>
    <w:p>
      <w:pPr>
        <w:spacing w:after="120" w:line="264" w:lineRule="auto"/>
      </w:pPr>
      <w:r>
        <w:rPr>
          <w:rFonts w:ascii="Calibri" w:hAnsi="Calibri"/>
          <w:b w:val="0"/>
          <w:i w:val="0"/>
          <w:color w:val="202124"/>
          <w:sz w:val="21"/>
        </w:rPr>
        <w:t>Grocery-dominant discount retailers are excluded because their sales mix is staples-oriented. Sector assignment uses SEC SIC mappings and reviewed business descriptions; store format alone does not determine sector membership.</w:t>
      </w:r>
    </w:p>
    <w:p>
      <w:pPr>
        <w:pStyle w:val="Heading1"/>
        <w:keepNext/>
      </w:pPr>
      <w:r>
        <w:rPr>
          <w:rFonts w:ascii="Calibri" w:hAnsi="Calibri"/>
          <w:b/>
          <w:i w:val="0"/>
          <w:color w:val="17365D"/>
          <w:sz w:val="32"/>
        </w:rPr>
        <w:t>3. Point-in-time analytical pipeline</w:t>
      </w:r>
    </w:p>
    <w:p>
      <w:pPr>
        <w:pStyle w:val="ListBullet"/>
        <w:spacing w:after="100" w:line="280" w:lineRule="auto"/>
        <w:ind w:left="720" w:hanging="360"/>
      </w:pPr>
      <w:r>
        <w:rPr>
          <w:rFonts w:ascii="Calibri" w:hAnsi="Calibri"/>
          <w:b w:val="0"/>
          <w:i w:val="0"/>
          <w:color w:val="202124"/>
          <w:sz w:val="20"/>
        </w:rPr>
        <w:t>Retrieve and checksum public source responses without committing credentials or raw data.</w:t>
      </w:r>
    </w:p>
    <w:p>
      <w:pPr>
        <w:pStyle w:val="ListBullet"/>
        <w:spacing w:after="100" w:line="280" w:lineRule="auto"/>
        <w:ind w:left="720" w:hanging="360"/>
      </w:pPr>
      <w:r>
        <w:rPr>
          <w:rFonts w:ascii="Calibri" w:hAnsi="Calibri"/>
          <w:b w:val="0"/>
          <w:i w:val="0"/>
          <w:color w:val="202124"/>
          <w:sz w:val="20"/>
        </w:rPr>
        <w:t>Normalize XBRL concepts, construct financial ratios, and preserve filing and availability lineage.</w:t>
      </w:r>
    </w:p>
    <w:p>
      <w:pPr>
        <w:pStyle w:val="ListBullet"/>
        <w:spacing w:after="100" w:line="280" w:lineRule="auto"/>
        <w:ind w:left="720" w:hanging="360"/>
      </w:pPr>
      <w:r>
        <w:rPr>
          <w:rFonts w:ascii="Calibri" w:hAnsi="Calibri"/>
          <w:b w:val="0"/>
          <w:i w:val="0"/>
          <w:color w:val="202124"/>
          <w:sz w:val="20"/>
        </w:rPr>
        <w:t>Join only macro vintages available at each decision date.</w:t>
      </w:r>
    </w:p>
    <w:p>
      <w:pPr>
        <w:pStyle w:val="ListBullet"/>
        <w:spacing w:after="100" w:line="280" w:lineRule="auto"/>
        <w:ind w:left="720" w:hanging="360"/>
      </w:pPr>
      <w:r>
        <w:rPr>
          <w:rFonts w:ascii="Calibri" w:hAnsi="Calibri"/>
          <w:b w:val="0"/>
          <w:i w:val="0"/>
          <w:color w:val="202124"/>
          <w:sz w:val="20"/>
        </w:rPr>
        <w:t>Build future labels only where all required future quarters are consecutive and observed.</w:t>
      </w:r>
    </w:p>
    <w:p>
      <w:pPr>
        <w:pStyle w:val="Heading1"/>
        <w:keepNext/>
      </w:pPr>
      <w:r>
        <w:rPr>
          <w:rFonts w:ascii="Calibri" w:hAnsi="Calibri"/>
          <w:b/>
          <w:i w:val="0"/>
          <w:color w:val="17365D"/>
          <w:sz w:val="32"/>
        </w:rPr>
        <w:t>4. Modeling design and leakage controls</w:t>
      </w:r>
    </w:p>
    <w:p>
      <w:pPr>
        <w:spacing w:after="120" w:line="264" w:lineRule="auto"/>
      </w:pPr>
      <w:r>
        <w:rPr>
          <w:rFonts w:ascii="Calibri" w:hAnsi="Calibri"/>
          <w:b w:val="0"/>
          <w:i w:val="0"/>
          <w:color w:val="202124"/>
          <w:sz w:val="21"/>
        </w:rPr>
        <w:t>The primary classifier is a regularized partially pooled logistic model. It shares a common relationship across sectors while allowing a small number of Utility deviations. A pooled logistic model is the benchmark and constrained gradient boosting is the nonlinear challenger.</w:t>
      </w:r>
    </w:p>
    <w:p>
      <w:pPr>
        <w:pStyle w:val="Heading2"/>
        <w:keepNext/>
      </w:pPr>
      <w:r>
        <w:rPr>
          <w:rFonts w:ascii="Calibri" w:hAnsi="Calibri"/>
          <w:b/>
          <w:i w:val="0"/>
          <w:color w:val="17365D"/>
          <w:sz w:val="26"/>
        </w:rPr>
        <w:t>Expanding-window validation</w:t>
      </w:r>
    </w:p>
    <w:p>
      <w:pPr>
        <w:spacing w:after="120" w:line="264" w:lineRule="auto"/>
      </w:pPr>
      <w:r>
        <w:rPr>
          <w:rFonts w:ascii="Calibri" w:hAnsi="Calibri"/>
          <w:b w:val="0"/>
          <w:i w:val="0"/>
          <w:color w:val="202124"/>
          <w:sz w:val="21"/>
        </w:rPr>
        <w:t>Each validation period occurs after its training history. Labels are admitted to training only when the full outcome window was already observable before the validation origin. This embargo prevents future outcomes from leaking backward into model fitting.</w:t>
      </w:r>
    </w:p>
    <w:p>
      <w:pPr>
        <w:pStyle w:val="Heading2"/>
        <w:keepNext/>
      </w:pPr>
      <w:r>
        <w:rPr>
          <w:rFonts w:ascii="Calibri" w:hAnsi="Calibri"/>
          <w:b/>
          <w:i w:val="0"/>
          <w:color w:val="17365D"/>
          <w:sz w:val="26"/>
        </w:rPr>
        <w:t>Fold-local feature selection</w:t>
      </w:r>
    </w:p>
    <w:p>
      <w:pPr>
        <w:spacing w:after="120" w:line="264" w:lineRule="auto"/>
      </w:pPr>
      <w:r>
        <w:rPr>
          <w:rFonts w:ascii="Calibri" w:hAnsi="Calibri"/>
          <w:b w:val="0"/>
          <w:i w:val="0"/>
          <w:color w:val="202124"/>
          <w:sz w:val="21"/>
        </w:rPr>
        <w:t>Within each outer training fold, candidate variables pass missingness and variance checks, correlation pruning, and repeated temporal permutation-importance testing. The outer validation period is never used to choose features. Missing indicators and imputation are also fitted only within training folds.</w:t>
      </w:r>
    </w:p>
    <w:p>
      <w:pPr>
        <w:keepNext/>
        <w:jc w:val="center"/>
      </w:pPr>
      <w:r>
        <w:drawing>
          <wp:inline xmlns:a="http://schemas.openxmlformats.org/drawingml/2006/main" xmlns:pic="http://schemas.openxmlformats.org/drawingml/2006/picture">
            <wp:extent cx="5715000" cy="3580482"/>
            <wp:docPr id="2" name="Picture 2" descr="Figure 2. Counts show how often each candidate survived fold-local selection; zero means it was evaluated but not retained."/>
            <wp:cNvGraphicFramePr>
              <a:graphicFrameLocks noChangeAspect="1"/>
            </wp:cNvGraphicFramePr>
            <a:graphic>
              <a:graphicData uri="http://schemas.openxmlformats.org/drawingml/2006/picture">
                <pic:pic>
                  <pic:nvPicPr>
                    <pic:cNvPr id="0" name="feature_stability.png"/>
                    <pic:cNvPicPr/>
                  </pic:nvPicPr>
                  <pic:blipFill>
                    <a:blip r:embed="rId12"/>
                    <a:stretch>
                      <a:fillRect/>
                    </a:stretch>
                  </pic:blipFill>
                  <pic:spPr>
                    <a:xfrm>
                      <a:off x="0" y="0"/>
                      <a:ext cx="5715000" cy="3580482"/>
                    </a:xfrm>
                    <a:prstGeom prst="rect"/>
                  </pic:spPr>
                </pic:pic>
              </a:graphicData>
            </a:graphic>
          </wp:inline>
        </w:drawing>
      </w:r>
    </w:p>
    <w:p>
      <w:pPr>
        <w:spacing w:after="160"/>
        <w:jc w:val="center"/>
      </w:pPr>
      <w:r>
        <w:rPr>
          <w:rFonts w:ascii="Calibri" w:hAnsi="Calibri"/>
          <w:b w:val="0"/>
          <w:i/>
          <w:color w:val="667085"/>
          <w:sz w:val="17"/>
        </w:rPr>
        <w:t>Figure 2. Counts show how often each candidate survived fold-local selection; zero means it was evaluated but not retained.</w:t>
      </w:r>
    </w:p>
    <w:p>
      <w:pPr>
        <w:spacing w:after="120" w:line="264" w:lineRule="auto"/>
      </w:pPr>
      <w:r>
        <w:rPr>
          <w:rFonts w:ascii="Calibri" w:hAnsi="Calibri"/>
          <w:b w:val="0"/>
          <w:i w:val="0"/>
          <w:color w:val="202124"/>
          <w:sz w:val="21"/>
        </w:rPr>
        <w:t>Refinancing gap/assets was selected in one of two folds, but was not stable and was not retained by the latest-fold recommendation. Filing delay is excluded from the classifier and appears only as a data-quality and case-review field.</w:t>
      </w:r>
    </w:p>
    <w:p>
      <w:pPr>
        <w:pStyle w:val="Heading1"/>
        <w:keepNext/>
      </w:pPr>
      <w:r>
        <w:rPr>
          <w:rFonts w:ascii="Calibri" w:hAnsi="Calibri"/>
          <w:b/>
          <w:i w:val="0"/>
          <w:color w:val="17365D"/>
          <w:sz w:val="32"/>
        </w:rPr>
        <w:t>5. Four-quarter primary model results</w:t>
      </w:r>
    </w:p>
    <w:tbl>
      <w:tblPr>
        <w:tblStyle w:val="TableGrid"/>
        <w:tblW w:type="dxa" w:w="9360"/>
        <w:jc w:val="left"/>
        <w:tblLayout w:type="fixed"/>
        <w:tblLook w:firstColumn="1" w:firstRow="1" w:lastColumn="0" w:lastRow="0" w:noHBand="0" w:noVBand="1" w:val="04A0"/>
        <w:tblInd w:w="120" w:type="dxa"/>
      </w:tblPr>
      <w:tblGrid>
        <w:gridCol w:w="3500"/>
        <w:gridCol w:w="1465"/>
        <w:gridCol w:w="1465"/>
        <w:gridCol w:w="1465"/>
        <w:gridCol w:w="1465"/>
      </w:tblGrid>
      <w:tr>
        <w:trPr>
          <w:tblHeader/>
        </w:trPr>
        <w:tc>
          <w:tcPr>
            <w:tcW w:type="dxa" w:w="3500"/>
            <w:shd w:fill="EAF1F8"/>
            <w:vAlign w:val="center"/>
            <w:tcMar>
              <w:top w:w="80" w:type="dxa"/>
              <w:bottom w:w="80" w:type="dxa"/>
              <w:start w:w="120" w:type="dxa"/>
              <w:end w:w="120" w:type="dxa"/>
            </w:tcMar>
          </w:tcPr>
          <w:p>
            <w:pPr>
              <w:spacing w:after="0"/>
            </w:pPr>
            <w:r>
              <w:rPr>
                <w:rFonts w:ascii="Calibri" w:hAnsi="Calibri"/>
                <w:b/>
                <w:i w:val="0"/>
                <w:color w:val="17365D"/>
                <w:sz w:val="18"/>
              </w:rPr>
              <w:t>Model</w:t>
            </w:r>
          </w:p>
        </w:tc>
        <w:tc>
          <w:tcPr>
            <w:tcW w:type="dxa" w:w="1465"/>
            <w:shd w:fill="EAF1F8"/>
            <w:vAlign w:val="center"/>
            <w:tcMar>
              <w:top w:w="80" w:type="dxa"/>
              <w:bottom w:w="80" w:type="dxa"/>
              <w:start w:w="120" w:type="dxa"/>
              <w:end w:w="120" w:type="dxa"/>
            </w:tcMar>
          </w:tcPr>
          <w:p>
            <w:pPr>
              <w:spacing w:after="0"/>
            </w:pPr>
            <w:r>
              <w:rPr>
                <w:rFonts w:ascii="Calibri" w:hAnsi="Calibri"/>
                <w:b/>
                <w:i w:val="0"/>
                <w:color w:val="17365D"/>
                <w:sz w:val="18"/>
              </w:rPr>
              <w:t>PR-AUC</w:t>
            </w:r>
          </w:p>
        </w:tc>
        <w:tc>
          <w:tcPr>
            <w:tcW w:type="dxa" w:w="1465"/>
            <w:shd w:fill="EAF1F8"/>
            <w:vAlign w:val="center"/>
            <w:tcMar>
              <w:top w:w="80" w:type="dxa"/>
              <w:bottom w:w="80" w:type="dxa"/>
              <w:start w:w="120" w:type="dxa"/>
              <w:end w:w="120" w:type="dxa"/>
            </w:tcMar>
          </w:tcPr>
          <w:p>
            <w:pPr>
              <w:spacing w:after="0"/>
            </w:pPr>
            <w:r>
              <w:rPr>
                <w:rFonts w:ascii="Calibri" w:hAnsi="Calibri"/>
                <w:b/>
                <w:i w:val="0"/>
                <w:color w:val="17365D"/>
                <w:sz w:val="18"/>
              </w:rPr>
              <w:t>Precision*</w:t>
            </w:r>
          </w:p>
        </w:tc>
        <w:tc>
          <w:tcPr>
            <w:tcW w:type="dxa" w:w="1465"/>
            <w:shd w:fill="EAF1F8"/>
            <w:vAlign w:val="center"/>
            <w:tcMar>
              <w:top w:w="80" w:type="dxa"/>
              <w:bottom w:w="80" w:type="dxa"/>
              <w:start w:w="120" w:type="dxa"/>
              <w:end w:w="120" w:type="dxa"/>
            </w:tcMar>
          </w:tcPr>
          <w:p>
            <w:pPr>
              <w:spacing w:after="0"/>
            </w:pPr>
            <w:r>
              <w:rPr>
                <w:rFonts w:ascii="Calibri" w:hAnsi="Calibri"/>
                <w:b/>
                <w:i w:val="0"/>
                <w:color w:val="17365D"/>
                <w:sz w:val="18"/>
              </w:rPr>
              <w:t>Recall*</w:t>
            </w:r>
          </w:p>
        </w:tc>
        <w:tc>
          <w:tcPr>
            <w:tcW w:type="dxa" w:w="1465"/>
            <w:shd w:fill="EAF1F8"/>
            <w:vAlign w:val="center"/>
            <w:tcMar>
              <w:top w:w="80" w:type="dxa"/>
              <w:bottom w:w="80" w:type="dxa"/>
              <w:start w:w="120" w:type="dxa"/>
              <w:end w:w="120" w:type="dxa"/>
            </w:tcMar>
          </w:tcPr>
          <w:p>
            <w:pPr>
              <w:spacing w:after="0"/>
            </w:pPr>
            <w:r>
              <w:rPr>
                <w:rFonts w:ascii="Calibri" w:hAnsi="Calibri"/>
                <w:b/>
                <w:i w:val="0"/>
                <w:color w:val="17365D"/>
                <w:sz w:val="18"/>
              </w:rPr>
              <w:t>Brier</w:t>
            </w:r>
          </w:p>
        </w:tc>
      </w:tr>
      <w:tr>
        <w:tc>
          <w:tcPr>
            <w:tcW w:type="dxa" w:w="3500"/>
            <w:vAlign w:val="center"/>
            <w:tcMar>
              <w:top w:w="80" w:type="dxa"/>
              <w:bottom w:w="80" w:type="dxa"/>
              <w:start w:w="120" w:type="dxa"/>
              <w:end w:w="120" w:type="dxa"/>
            </w:tcMar>
          </w:tcPr>
          <w:p>
            <w:pPr>
              <w:spacing w:after="0"/>
            </w:pPr>
            <w:r>
              <w:rPr>
                <w:rFonts w:ascii="Calibri" w:hAnsi="Calibri"/>
                <w:b w:val="0"/>
                <w:i w:val="0"/>
                <w:color w:val="202124"/>
                <w:sz w:val="17"/>
              </w:rPr>
              <w:t>Partially pooled logistic</w:t>
            </w:r>
          </w:p>
        </w:tc>
        <w:tc>
          <w:tcPr>
            <w:tcW w:type="dxa" w:w="1465"/>
            <w:vAlign w:val="center"/>
            <w:tcMar>
              <w:top w:w="80" w:type="dxa"/>
              <w:bottom w:w="80" w:type="dxa"/>
              <w:start w:w="120" w:type="dxa"/>
              <w:end w:w="120" w:type="dxa"/>
            </w:tcMar>
          </w:tcPr>
          <w:p>
            <w:pPr>
              <w:spacing w:after="0"/>
            </w:pPr>
            <w:r>
              <w:rPr>
                <w:rFonts w:ascii="Calibri" w:hAnsi="Calibri"/>
                <w:b w:val="0"/>
                <w:i w:val="0"/>
                <w:color w:val="202124"/>
                <w:sz w:val="17"/>
              </w:rPr>
              <w:t>0.379</w:t>
            </w:r>
          </w:p>
        </w:tc>
        <w:tc>
          <w:tcPr>
            <w:tcW w:type="dxa" w:w="1465"/>
            <w:vAlign w:val="center"/>
            <w:tcMar>
              <w:top w:w="80" w:type="dxa"/>
              <w:bottom w:w="80" w:type="dxa"/>
              <w:start w:w="120" w:type="dxa"/>
              <w:end w:w="120" w:type="dxa"/>
            </w:tcMar>
          </w:tcPr>
          <w:p>
            <w:pPr>
              <w:spacing w:after="0"/>
            </w:pPr>
            <w:r>
              <w:rPr>
                <w:rFonts w:ascii="Calibri" w:hAnsi="Calibri"/>
                <w:b w:val="0"/>
                <w:i w:val="0"/>
                <w:color w:val="202124"/>
                <w:sz w:val="17"/>
              </w:rPr>
              <w:t>0.415</w:t>
            </w:r>
          </w:p>
        </w:tc>
        <w:tc>
          <w:tcPr>
            <w:tcW w:type="dxa" w:w="1465"/>
            <w:vAlign w:val="center"/>
            <w:tcMar>
              <w:top w:w="80" w:type="dxa"/>
              <w:bottom w:w="80" w:type="dxa"/>
              <w:start w:w="120" w:type="dxa"/>
              <w:end w:w="120" w:type="dxa"/>
            </w:tcMar>
          </w:tcPr>
          <w:p>
            <w:pPr>
              <w:spacing w:after="0"/>
            </w:pPr>
            <w:r>
              <w:rPr>
                <w:rFonts w:ascii="Calibri" w:hAnsi="Calibri"/>
                <w:b w:val="0"/>
                <w:i w:val="0"/>
                <w:color w:val="202124"/>
                <w:sz w:val="17"/>
              </w:rPr>
              <w:t>0.391</w:t>
            </w:r>
          </w:p>
        </w:tc>
        <w:tc>
          <w:tcPr>
            <w:tcW w:type="dxa" w:w="1465"/>
            <w:vAlign w:val="center"/>
            <w:tcMar>
              <w:top w:w="80" w:type="dxa"/>
              <w:bottom w:w="80" w:type="dxa"/>
              <w:start w:w="120" w:type="dxa"/>
              <w:end w:w="120" w:type="dxa"/>
            </w:tcMar>
          </w:tcPr>
          <w:p>
            <w:pPr>
              <w:spacing w:after="0"/>
            </w:pPr>
            <w:r>
              <w:rPr>
                <w:rFonts w:ascii="Calibri" w:hAnsi="Calibri"/>
                <w:b w:val="0"/>
                <w:i w:val="0"/>
                <w:color w:val="202124"/>
                <w:sz w:val="17"/>
              </w:rPr>
              <w:t>0.157</w:t>
            </w:r>
          </w:p>
        </w:tc>
      </w:tr>
      <w:tr>
        <w:tc>
          <w:tcPr>
            <w:tcW w:type="dxa" w:w="3500"/>
            <w:vAlign w:val="center"/>
            <w:tcMar>
              <w:top w:w="80" w:type="dxa"/>
              <w:bottom w:w="80" w:type="dxa"/>
              <w:start w:w="120" w:type="dxa"/>
              <w:end w:w="120" w:type="dxa"/>
            </w:tcMar>
          </w:tcPr>
          <w:p>
            <w:pPr>
              <w:spacing w:after="0"/>
            </w:pPr>
            <w:r>
              <w:rPr>
                <w:rFonts w:ascii="Calibri" w:hAnsi="Calibri"/>
                <w:b w:val="0"/>
                <w:i w:val="0"/>
                <w:color w:val="202124"/>
                <w:sz w:val="17"/>
              </w:rPr>
              <w:t>Constrained boosting</w:t>
            </w:r>
          </w:p>
        </w:tc>
        <w:tc>
          <w:tcPr>
            <w:tcW w:type="dxa" w:w="1465"/>
            <w:vAlign w:val="center"/>
            <w:tcMar>
              <w:top w:w="80" w:type="dxa"/>
              <w:bottom w:w="80" w:type="dxa"/>
              <w:start w:w="120" w:type="dxa"/>
              <w:end w:w="120" w:type="dxa"/>
            </w:tcMar>
          </w:tcPr>
          <w:p>
            <w:pPr>
              <w:spacing w:after="0"/>
            </w:pPr>
            <w:r>
              <w:rPr>
                <w:rFonts w:ascii="Calibri" w:hAnsi="Calibri"/>
                <w:b w:val="0"/>
                <w:i w:val="0"/>
                <w:color w:val="202124"/>
                <w:sz w:val="17"/>
              </w:rPr>
              <w:t>0.412</w:t>
            </w:r>
          </w:p>
        </w:tc>
        <w:tc>
          <w:tcPr>
            <w:tcW w:type="dxa" w:w="1465"/>
            <w:vAlign w:val="center"/>
            <w:tcMar>
              <w:top w:w="80" w:type="dxa"/>
              <w:bottom w:w="80" w:type="dxa"/>
              <w:start w:w="120" w:type="dxa"/>
              <w:end w:w="120" w:type="dxa"/>
            </w:tcMar>
          </w:tcPr>
          <w:p>
            <w:pPr>
              <w:spacing w:after="0"/>
            </w:pPr>
            <w:r>
              <w:rPr>
                <w:rFonts w:ascii="Calibri" w:hAnsi="Calibri"/>
                <w:b w:val="0"/>
                <w:i w:val="0"/>
                <w:color w:val="202124"/>
                <w:sz w:val="17"/>
              </w:rPr>
              <w:t>0.415</w:t>
            </w:r>
          </w:p>
        </w:tc>
        <w:tc>
          <w:tcPr>
            <w:tcW w:type="dxa" w:w="1465"/>
            <w:vAlign w:val="center"/>
            <w:tcMar>
              <w:top w:w="80" w:type="dxa"/>
              <w:bottom w:w="80" w:type="dxa"/>
              <w:start w:w="120" w:type="dxa"/>
              <w:end w:w="120" w:type="dxa"/>
            </w:tcMar>
          </w:tcPr>
          <w:p>
            <w:pPr>
              <w:spacing w:after="0"/>
            </w:pPr>
            <w:r>
              <w:rPr>
                <w:rFonts w:ascii="Calibri" w:hAnsi="Calibri"/>
                <w:b w:val="0"/>
                <w:i w:val="0"/>
                <w:color w:val="202124"/>
                <w:sz w:val="17"/>
              </w:rPr>
              <w:t>0.391</w:t>
            </w:r>
          </w:p>
        </w:tc>
        <w:tc>
          <w:tcPr>
            <w:tcW w:type="dxa" w:w="1465"/>
            <w:vAlign w:val="center"/>
            <w:tcMar>
              <w:top w:w="80" w:type="dxa"/>
              <w:bottom w:w="80" w:type="dxa"/>
              <w:start w:w="120" w:type="dxa"/>
              <w:end w:w="120" w:type="dxa"/>
            </w:tcMar>
          </w:tcPr>
          <w:p>
            <w:pPr>
              <w:spacing w:after="0"/>
            </w:pPr>
            <w:r>
              <w:rPr>
                <w:rFonts w:ascii="Calibri" w:hAnsi="Calibri"/>
                <w:b w:val="0"/>
                <w:i w:val="0"/>
                <w:color w:val="202124"/>
                <w:sz w:val="17"/>
              </w:rPr>
              <w:t>0.153</w:t>
            </w:r>
          </w:p>
        </w:tc>
      </w:tr>
    </w:tbl>
    <w:p>
      <w:pPr>
        <w:spacing w:after="0"/>
      </w:pPr>
    </w:p>
    <w:p>
      <w:pPr>
        <w:spacing w:after="120" w:line="264" w:lineRule="auto"/>
      </w:pPr>
      <w:r>
        <w:rPr>
          <w:rFonts w:ascii="Calibri" w:hAnsi="Calibri"/>
          <w:b w:val="0"/>
          <w:i w:val="0"/>
          <w:color w:val="202124"/>
          <w:sz w:val="21"/>
        </w:rPr>
        <w:t>*Precision and recall in this model-comparison table use the common 20% alert-rate reference point. The separate operational threshold policy targets 80% sector recall.</w:t>
      </w:r>
    </w:p>
    <w:p>
      <w:pPr>
        <w:spacing w:after="120" w:line="264" w:lineRule="auto"/>
      </w:pPr>
      <w:r>
        <w:rPr>
          <w:rFonts w:ascii="Calibri" w:hAnsi="Calibri"/>
          <w:b w:val="0"/>
          <w:i w:val="0"/>
          <w:color w:val="202124"/>
          <w:sz w:val="21"/>
        </w:rPr>
        <w:t>The boosting challenger ranked events better, but the partially pooled logistic model remains the registered primary because its structure and financial relationships are easier to defend. This is an explicit interpretability-performance tradeoff rather than an attempt to hide the stronger challenger.</w:t>
      </w:r>
    </w:p>
    <w:p>
      <w:pPr>
        <w:pStyle w:val="Heading1"/>
        <w:keepNext/>
      </w:pPr>
      <w:r>
        <w:rPr>
          <w:rFonts w:ascii="Calibri" w:hAnsi="Calibri"/>
          <w:b/>
          <w:i w:val="0"/>
          <w:color w:val="17365D"/>
          <w:sz w:val="32"/>
        </w:rPr>
        <w:t>6. Two-quarter sensitivity experiment</w:t>
      </w:r>
    </w:p>
    <w:p>
      <w:pPr>
        <w:spacing w:after="120" w:line="264" w:lineRule="auto"/>
      </w:pPr>
      <w:r>
        <w:rPr>
          <w:rFonts w:ascii="Calibri" w:hAnsi="Calibri"/>
          <w:b w:val="0"/>
          <w:i w:val="0"/>
          <w:color w:val="202124"/>
          <w:sz w:val="21"/>
        </w:rPr>
        <w:t>The comparison was frozen before examining results: four quarters remained primary; two quarters used the identical 1.5x and 40% rules; both horizons used the same issuers, same paired validation company-quarters, same fold calendar, and independent fold-local feature selection. Calibration used only earlier out-of-fold predictions.</w:t>
      </w:r>
    </w:p>
    <w:tbl>
      <w:tblPr>
        <w:tblStyle w:val="TableGrid"/>
        <w:tblW w:type="dxa" w:w="9360"/>
        <w:jc w:val="left"/>
        <w:tblLayout w:type="fixed"/>
        <w:tblLook w:firstColumn="1" w:firstRow="1" w:lastColumn="0" w:lastRow="0" w:noHBand="0" w:noVBand="1" w:val="04A0"/>
        <w:tblInd w:w="120" w:type="dxa"/>
      </w:tblPr>
      <w:tblGrid>
        <w:gridCol w:w="850"/>
        <w:gridCol w:w="1800"/>
        <w:gridCol w:w="900"/>
        <w:gridCol w:w="1050"/>
        <w:gridCol w:w="1100"/>
        <w:gridCol w:w="1100"/>
        <w:gridCol w:w="1260"/>
        <w:gridCol w:w="1300"/>
      </w:tblGrid>
      <w:tr>
        <w:trPr>
          <w:tblHeader/>
        </w:trPr>
        <w:tc>
          <w:tcPr>
            <w:tcW w:type="dxa" w:w="850"/>
            <w:shd w:fill="EAF1F8"/>
            <w:vAlign w:val="center"/>
            <w:tcMar>
              <w:top w:w="80" w:type="dxa"/>
              <w:bottom w:w="80" w:type="dxa"/>
              <w:start w:w="120" w:type="dxa"/>
              <w:end w:w="120" w:type="dxa"/>
            </w:tcMar>
          </w:tcPr>
          <w:p>
            <w:pPr>
              <w:spacing w:after="0"/>
            </w:pPr>
            <w:r>
              <w:rPr>
                <w:rFonts w:ascii="Calibri" w:hAnsi="Calibri"/>
                <w:b/>
                <w:i w:val="0"/>
                <w:color w:val="17365D"/>
                <w:sz w:val="18"/>
              </w:rPr>
              <w:t>Horizon</w:t>
            </w:r>
          </w:p>
        </w:tc>
        <w:tc>
          <w:tcPr>
            <w:tcW w:type="dxa" w:w="1800"/>
            <w:shd w:fill="EAF1F8"/>
            <w:vAlign w:val="center"/>
            <w:tcMar>
              <w:top w:w="80" w:type="dxa"/>
              <w:bottom w:w="80" w:type="dxa"/>
              <w:start w:w="120" w:type="dxa"/>
              <w:end w:w="120" w:type="dxa"/>
            </w:tcMar>
          </w:tcPr>
          <w:p>
            <w:pPr>
              <w:spacing w:after="0"/>
            </w:pPr>
            <w:r>
              <w:rPr>
                <w:rFonts w:ascii="Calibri" w:hAnsi="Calibri"/>
                <w:b/>
                <w:i w:val="0"/>
                <w:color w:val="17365D"/>
                <w:sz w:val="18"/>
              </w:rPr>
              <w:t>Sector</w:t>
            </w:r>
          </w:p>
        </w:tc>
        <w:tc>
          <w:tcPr>
            <w:tcW w:type="dxa" w:w="900"/>
            <w:shd w:fill="EAF1F8"/>
            <w:vAlign w:val="center"/>
            <w:tcMar>
              <w:top w:w="80" w:type="dxa"/>
              <w:bottom w:w="80" w:type="dxa"/>
              <w:start w:w="120" w:type="dxa"/>
              <w:end w:w="120" w:type="dxa"/>
            </w:tcMar>
          </w:tcPr>
          <w:p>
            <w:pPr>
              <w:spacing w:after="0"/>
            </w:pPr>
            <w:r>
              <w:rPr>
                <w:rFonts w:ascii="Calibri" w:hAnsi="Calibri"/>
                <w:b/>
                <w:i w:val="0"/>
                <w:color w:val="17365D"/>
                <w:sz w:val="18"/>
              </w:rPr>
              <w:t>Rows</w:t>
            </w:r>
          </w:p>
        </w:tc>
        <w:tc>
          <w:tcPr>
            <w:tcW w:type="dxa" w:w="1050"/>
            <w:shd w:fill="EAF1F8"/>
            <w:vAlign w:val="center"/>
            <w:tcMar>
              <w:top w:w="80" w:type="dxa"/>
              <w:bottom w:w="80" w:type="dxa"/>
              <w:start w:w="120" w:type="dxa"/>
              <w:end w:w="120" w:type="dxa"/>
            </w:tcMar>
          </w:tcPr>
          <w:p>
            <w:pPr>
              <w:spacing w:after="0"/>
            </w:pPr>
            <w:r>
              <w:rPr>
                <w:rFonts w:ascii="Calibri" w:hAnsi="Calibri"/>
                <w:b/>
                <w:i w:val="0"/>
                <w:color w:val="17365D"/>
                <w:sz w:val="18"/>
              </w:rPr>
              <w:t>Prev.</w:t>
            </w:r>
          </w:p>
        </w:tc>
        <w:tc>
          <w:tcPr>
            <w:tcW w:type="dxa" w:w="1100"/>
            <w:shd w:fill="EAF1F8"/>
            <w:vAlign w:val="center"/>
            <w:tcMar>
              <w:top w:w="80" w:type="dxa"/>
              <w:bottom w:w="80" w:type="dxa"/>
              <w:start w:w="120" w:type="dxa"/>
              <w:end w:w="120" w:type="dxa"/>
            </w:tcMar>
          </w:tcPr>
          <w:p>
            <w:pPr>
              <w:spacing w:after="0"/>
            </w:pPr>
            <w:r>
              <w:rPr>
                <w:rFonts w:ascii="Calibri" w:hAnsi="Calibri"/>
                <w:b/>
                <w:i w:val="0"/>
                <w:color w:val="17365D"/>
                <w:sz w:val="18"/>
              </w:rPr>
              <w:t>PR-AUC</w:t>
            </w:r>
          </w:p>
        </w:tc>
        <w:tc>
          <w:tcPr>
            <w:tcW w:type="dxa" w:w="1100"/>
            <w:shd w:fill="EAF1F8"/>
            <w:vAlign w:val="center"/>
            <w:tcMar>
              <w:top w:w="80" w:type="dxa"/>
              <w:bottom w:w="80" w:type="dxa"/>
              <w:start w:w="120" w:type="dxa"/>
              <w:end w:w="120" w:type="dxa"/>
            </w:tcMar>
          </w:tcPr>
          <w:p>
            <w:pPr>
              <w:spacing w:after="0"/>
            </w:pPr>
            <w:r>
              <w:rPr>
                <w:rFonts w:ascii="Calibri" w:hAnsi="Calibri"/>
                <w:b/>
                <w:i w:val="0"/>
                <w:color w:val="17365D"/>
                <w:sz w:val="18"/>
              </w:rPr>
              <w:t>Recall</w:t>
            </w:r>
          </w:p>
        </w:tc>
        <w:tc>
          <w:tcPr>
            <w:tcW w:type="dxa" w:w="1260"/>
            <w:shd w:fill="EAF1F8"/>
            <w:vAlign w:val="center"/>
            <w:tcMar>
              <w:top w:w="80" w:type="dxa"/>
              <w:bottom w:w="80" w:type="dxa"/>
              <w:start w:w="120" w:type="dxa"/>
              <w:end w:w="120" w:type="dxa"/>
            </w:tcMar>
          </w:tcPr>
          <w:p>
            <w:pPr>
              <w:spacing w:after="0"/>
            </w:pPr>
            <w:r>
              <w:rPr>
                <w:rFonts w:ascii="Calibri" w:hAnsi="Calibri"/>
                <w:b/>
                <w:i w:val="0"/>
                <w:color w:val="17365D"/>
                <w:sz w:val="18"/>
              </w:rPr>
              <w:t>Precision</w:t>
            </w:r>
          </w:p>
        </w:tc>
        <w:tc>
          <w:tcPr>
            <w:tcW w:type="dxa" w:w="1300"/>
            <w:shd w:fill="EAF1F8"/>
            <w:vAlign w:val="center"/>
            <w:tcMar>
              <w:top w:w="80" w:type="dxa"/>
              <w:bottom w:w="80" w:type="dxa"/>
              <w:start w:w="120" w:type="dxa"/>
              <w:end w:w="120" w:type="dxa"/>
            </w:tcMar>
          </w:tcPr>
          <w:p>
            <w:pPr>
              <w:spacing w:after="0"/>
            </w:pPr>
            <w:r>
              <w:rPr>
                <w:rFonts w:ascii="Calibri" w:hAnsi="Calibri"/>
                <w:b/>
                <w:i w:val="0"/>
                <w:color w:val="17365D"/>
                <w:sz w:val="18"/>
              </w:rPr>
              <w:t>Alerts</w:t>
            </w:r>
          </w:p>
        </w:tc>
      </w:tr>
      <w:tr>
        <w:tc>
          <w:tcPr>
            <w:tcW w:type="dxa" w:w="850"/>
            <w:vAlign w:val="center"/>
            <w:tcMar>
              <w:top w:w="80" w:type="dxa"/>
              <w:bottom w:w="80" w:type="dxa"/>
              <w:start w:w="120" w:type="dxa"/>
              <w:end w:w="120" w:type="dxa"/>
            </w:tcMar>
          </w:tcPr>
          <w:p>
            <w:pPr>
              <w:spacing w:after="0"/>
            </w:pPr>
            <w:r>
              <w:rPr>
                <w:rFonts w:ascii="Calibri" w:hAnsi="Calibri"/>
                <w:b w:val="0"/>
                <w:i w:val="0"/>
                <w:color w:val="202124"/>
                <w:sz w:val="17"/>
              </w:rPr>
              <w:t>4Q</w:t>
            </w:r>
          </w:p>
        </w:tc>
        <w:tc>
          <w:tcPr>
            <w:tcW w:type="dxa" w:w="1800"/>
            <w:vAlign w:val="center"/>
            <w:tcMar>
              <w:top w:w="80" w:type="dxa"/>
              <w:bottom w:w="80" w:type="dxa"/>
              <w:start w:w="120" w:type="dxa"/>
              <w:end w:w="120" w:type="dxa"/>
            </w:tcMar>
          </w:tcPr>
          <w:p>
            <w:pPr>
              <w:spacing w:after="0"/>
            </w:pPr>
            <w:r>
              <w:rPr>
                <w:rFonts w:ascii="Calibri" w:hAnsi="Calibri"/>
                <w:b w:val="0"/>
                <w:i w:val="0"/>
                <w:color w:val="202124"/>
                <w:sz w:val="17"/>
              </w:rPr>
              <w:t>Consumer</w:t>
            </w:r>
          </w:p>
        </w:tc>
        <w:tc>
          <w:tcPr>
            <w:tcW w:type="dxa" w:w="900"/>
            <w:vAlign w:val="center"/>
            <w:tcMar>
              <w:top w:w="80" w:type="dxa"/>
              <w:bottom w:w="80" w:type="dxa"/>
              <w:start w:w="120" w:type="dxa"/>
              <w:end w:w="120" w:type="dxa"/>
            </w:tcMar>
          </w:tcPr>
          <w:p>
            <w:pPr>
              <w:spacing w:after="0"/>
            </w:pPr>
            <w:r>
              <w:rPr>
                <w:rFonts w:ascii="Calibri" w:hAnsi="Calibri"/>
                <w:b w:val="0"/>
                <w:i w:val="0"/>
                <w:color w:val="202124"/>
                <w:sz w:val="17"/>
              </w:rPr>
              <w:t>251</w:t>
            </w:r>
          </w:p>
        </w:tc>
        <w:tc>
          <w:tcPr>
            <w:tcW w:type="dxa" w:w="1050"/>
            <w:vAlign w:val="center"/>
            <w:tcMar>
              <w:top w:w="80" w:type="dxa"/>
              <w:bottom w:w="80" w:type="dxa"/>
              <w:start w:w="120" w:type="dxa"/>
              <w:end w:w="120" w:type="dxa"/>
            </w:tcMar>
          </w:tcPr>
          <w:p>
            <w:pPr>
              <w:spacing w:after="0"/>
            </w:pPr>
            <w:r>
              <w:rPr>
                <w:rFonts w:ascii="Calibri" w:hAnsi="Calibri"/>
                <w:b w:val="0"/>
                <w:i w:val="0"/>
                <w:color w:val="202124"/>
                <w:sz w:val="17"/>
              </w:rPr>
              <w:t>21.9%</w:t>
            </w:r>
          </w:p>
        </w:tc>
        <w:tc>
          <w:tcPr>
            <w:tcW w:type="dxa" w:w="1100"/>
            <w:vAlign w:val="center"/>
            <w:tcMar>
              <w:top w:w="80" w:type="dxa"/>
              <w:bottom w:w="80" w:type="dxa"/>
              <w:start w:w="120" w:type="dxa"/>
              <w:end w:w="120" w:type="dxa"/>
            </w:tcMar>
          </w:tcPr>
          <w:p>
            <w:pPr>
              <w:spacing w:after="0"/>
            </w:pPr>
            <w:r>
              <w:rPr>
                <w:rFonts w:ascii="Calibri" w:hAnsi="Calibri"/>
                <w:b w:val="0"/>
                <w:i w:val="0"/>
                <w:color w:val="202124"/>
                <w:sz w:val="17"/>
              </w:rPr>
              <w:t>0.279</w:t>
            </w:r>
          </w:p>
        </w:tc>
        <w:tc>
          <w:tcPr>
            <w:tcW w:type="dxa" w:w="1100"/>
            <w:vAlign w:val="center"/>
            <w:tcMar>
              <w:top w:w="80" w:type="dxa"/>
              <w:bottom w:w="80" w:type="dxa"/>
              <w:start w:w="120" w:type="dxa"/>
              <w:end w:w="120" w:type="dxa"/>
            </w:tcMar>
          </w:tcPr>
          <w:p>
            <w:pPr>
              <w:spacing w:after="0"/>
            </w:pPr>
            <w:r>
              <w:rPr>
                <w:rFonts w:ascii="Calibri" w:hAnsi="Calibri"/>
                <w:b w:val="0"/>
                <w:i w:val="0"/>
                <w:color w:val="202124"/>
                <w:sz w:val="17"/>
              </w:rPr>
              <w:t>80.0%</w:t>
            </w:r>
          </w:p>
        </w:tc>
        <w:tc>
          <w:tcPr>
            <w:tcW w:type="dxa" w:w="1260"/>
            <w:vAlign w:val="center"/>
            <w:tcMar>
              <w:top w:w="80" w:type="dxa"/>
              <w:bottom w:w="80" w:type="dxa"/>
              <w:start w:w="120" w:type="dxa"/>
              <w:end w:w="120" w:type="dxa"/>
            </w:tcMar>
          </w:tcPr>
          <w:p>
            <w:pPr>
              <w:spacing w:after="0"/>
            </w:pPr>
            <w:r>
              <w:rPr>
                <w:rFonts w:ascii="Calibri" w:hAnsi="Calibri"/>
                <w:b w:val="0"/>
                <w:i w:val="0"/>
                <w:color w:val="202124"/>
                <w:sz w:val="17"/>
              </w:rPr>
              <w:t>27.7%</w:t>
            </w:r>
          </w:p>
        </w:tc>
        <w:tc>
          <w:tcPr>
            <w:tcW w:type="dxa" w:w="1300"/>
            <w:vAlign w:val="center"/>
            <w:tcMar>
              <w:top w:w="80" w:type="dxa"/>
              <w:bottom w:w="80" w:type="dxa"/>
              <w:start w:w="120" w:type="dxa"/>
              <w:end w:w="120" w:type="dxa"/>
            </w:tcMar>
          </w:tcPr>
          <w:p>
            <w:pPr>
              <w:spacing w:after="0"/>
            </w:pPr>
            <w:r>
              <w:rPr>
                <w:rFonts w:ascii="Calibri" w:hAnsi="Calibri"/>
                <w:b w:val="0"/>
                <w:i w:val="0"/>
                <w:color w:val="202124"/>
                <w:sz w:val="17"/>
              </w:rPr>
              <w:t>63.3%</w:t>
            </w:r>
          </w:p>
        </w:tc>
      </w:tr>
      <w:tr>
        <w:tc>
          <w:tcPr>
            <w:tcW w:type="dxa" w:w="850"/>
            <w:vAlign w:val="center"/>
            <w:tcMar>
              <w:top w:w="80" w:type="dxa"/>
              <w:bottom w:w="80" w:type="dxa"/>
              <w:start w:w="120" w:type="dxa"/>
              <w:end w:w="120" w:type="dxa"/>
            </w:tcMar>
          </w:tcPr>
          <w:p>
            <w:pPr>
              <w:spacing w:after="0"/>
            </w:pPr>
            <w:r>
              <w:rPr>
                <w:rFonts w:ascii="Calibri" w:hAnsi="Calibri"/>
                <w:b w:val="0"/>
                <w:i w:val="0"/>
                <w:color w:val="202124"/>
                <w:sz w:val="17"/>
              </w:rPr>
              <w:t>4Q</w:t>
            </w:r>
          </w:p>
        </w:tc>
        <w:tc>
          <w:tcPr>
            <w:tcW w:type="dxa" w:w="1800"/>
            <w:vAlign w:val="center"/>
            <w:tcMar>
              <w:top w:w="80" w:type="dxa"/>
              <w:bottom w:w="80" w:type="dxa"/>
              <w:start w:w="120" w:type="dxa"/>
              <w:end w:w="120" w:type="dxa"/>
            </w:tcMar>
          </w:tcPr>
          <w:p>
            <w:pPr>
              <w:spacing w:after="0"/>
            </w:pPr>
            <w:r>
              <w:rPr>
                <w:rFonts w:ascii="Calibri" w:hAnsi="Calibri"/>
                <w:b w:val="0"/>
                <w:i w:val="0"/>
                <w:color w:val="202124"/>
                <w:sz w:val="17"/>
              </w:rPr>
              <w:t>Utilities</w:t>
            </w:r>
          </w:p>
        </w:tc>
        <w:tc>
          <w:tcPr>
            <w:tcW w:type="dxa" w:w="900"/>
            <w:vAlign w:val="center"/>
            <w:tcMar>
              <w:top w:w="80" w:type="dxa"/>
              <w:bottom w:w="80" w:type="dxa"/>
              <w:start w:w="120" w:type="dxa"/>
              <w:end w:w="120" w:type="dxa"/>
            </w:tcMar>
          </w:tcPr>
          <w:p>
            <w:pPr>
              <w:spacing w:after="0"/>
            </w:pPr>
            <w:r>
              <w:rPr>
                <w:rFonts w:ascii="Calibri" w:hAnsi="Calibri"/>
                <w:b w:val="0"/>
                <w:i w:val="0"/>
                <w:color w:val="202124"/>
                <w:sz w:val="17"/>
              </w:rPr>
              <w:t>146</w:t>
            </w:r>
          </w:p>
        </w:tc>
        <w:tc>
          <w:tcPr>
            <w:tcW w:type="dxa" w:w="1050"/>
            <w:vAlign w:val="center"/>
            <w:tcMar>
              <w:top w:w="80" w:type="dxa"/>
              <w:bottom w:w="80" w:type="dxa"/>
              <w:start w:w="120" w:type="dxa"/>
              <w:end w:w="120" w:type="dxa"/>
            </w:tcMar>
          </w:tcPr>
          <w:p>
            <w:pPr>
              <w:spacing w:after="0"/>
            </w:pPr>
            <w:r>
              <w:rPr>
                <w:rFonts w:ascii="Calibri" w:hAnsi="Calibri"/>
                <w:b w:val="0"/>
                <w:i w:val="0"/>
                <w:color w:val="202124"/>
                <w:sz w:val="17"/>
              </w:rPr>
              <w:t>15.1%</w:t>
            </w:r>
          </w:p>
        </w:tc>
        <w:tc>
          <w:tcPr>
            <w:tcW w:type="dxa" w:w="1100"/>
            <w:vAlign w:val="center"/>
            <w:tcMar>
              <w:top w:w="80" w:type="dxa"/>
              <w:bottom w:w="80" w:type="dxa"/>
              <w:start w:w="120" w:type="dxa"/>
              <w:end w:w="120" w:type="dxa"/>
            </w:tcMar>
          </w:tcPr>
          <w:p>
            <w:pPr>
              <w:spacing w:after="0"/>
            </w:pPr>
            <w:r>
              <w:rPr>
                <w:rFonts w:ascii="Calibri" w:hAnsi="Calibri"/>
                <w:b w:val="0"/>
                <w:i w:val="0"/>
                <w:color w:val="202124"/>
                <w:sz w:val="17"/>
              </w:rPr>
              <w:t>0.262</w:t>
            </w:r>
          </w:p>
        </w:tc>
        <w:tc>
          <w:tcPr>
            <w:tcW w:type="dxa" w:w="1100"/>
            <w:vAlign w:val="center"/>
            <w:tcMar>
              <w:top w:w="80" w:type="dxa"/>
              <w:bottom w:w="80" w:type="dxa"/>
              <w:start w:w="120" w:type="dxa"/>
              <w:end w:w="120" w:type="dxa"/>
            </w:tcMar>
          </w:tcPr>
          <w:p>
            <w:pPr>
              <w:spacing w:after="0"/>
            </w:pPr>
            <w:r>
              <w:rPr>
                <w:rFonts w:ascii="Calibri" w:hAnsi="Calibri"/>
                <w:b w:val="0"/>
                <w:i w:val="0"/>
                <w:color w:val="202124"/>
                <w:sz w:val="17"/>
              </w:rPr>
              <w:t>81.8%</w:t>
            </w:r>
          </w:p>
        </w:tc>
        <w:tc>
          <w:tcPr>
            <w:tcW w:type="dxa" w:w="1260"/>
            <w:vAlign w:val="center"/>
            <w:tcMar>
              <w:top w:w="80" w:type="dxa"/>
              <w:bottom w:w="80" w:type="dxa"/>
              <w:start w:w="120" w:type="dxa"/>
              <w:end w:w="120" w:type="dxa"/>
            </w:tcMar>
          </w:tcPr>
          <w:p>
            <w:pPr>
              <w:spacing w:after="0"/>
            </w:pPr>
            <w:r>
              <w:rPr>
                <w:rFonts w:ascii="Calibri" w:hAnsi="Calibri"/>
                <w:b w:val="0"/>
                <w:i w:val="0"/>
                <w:color w:val="202124"/>
                <w:sz w:val="17"/>
              </w:rPr>
              <w:t>16.7%</w:t>
            </w:r>
          </w:p>
        </w:tc>
        <w:tc>
          <w:tcPr>
            <w:tcW w:type="dxa" w:w="1300"/>
            <w:vAlign w:val="center"/>
            <w:tcMar>
              <w:top w:w="80" w:type="dxa"/>
              <w:bottom w:w="80" w:type="dxa"/>
              <w:start w:w="120" w:type="dxa"/>
              <w:end w:w="120" w:type="dxa"/>
            </w:tcMar>
          </w:tcPr>
          <w:p>
            <w:pPr>
              <w:spacing w:after="0"/>
            </w:pPr>
            <w:r>
              <w:rPr>
                <w:rFonts w:ascii="Calibri" w:hAnsi="Calibri"/>
                <w:b w:val="0"/>
                <w:i w:val="0"/>
                <w:color w:val="202124"/>
                <w:sz w:val="17"/>
              </w:rPr>
              <w:t>74.0%</w:t>
            </w:r>
          </w:p>
        </w:tc>
      </w:tr>
      <w:tr>
        <w:tc>
          <w:tcPr>
            <w:tcW w:type="dxa" w:w="850"/>
            <w:vAlign w:val="center"/>
            <w:tcMar>
              <w:top w:w="80" w:type="dxa"/>
              <w:bottom w:w="80" w:type="dxa"/>
              <w:start w:w="120" w:type="dxa"/>
              <w:end w:w="120" w:type="dxa"/>
            </w:tcMar>
          </w:tcPr>
          <w:p>
            <w:pPr>
              <w:spacing w:after="0"/>
            </w:pPr>
            <w:r>
              <w:rPr>
                <w:rFonts w:ascii="Calibri" w:hAnsi="Calibri"/>
                <w:b w:val="0"/>
                <w:i w:val="0"/>
                <w:color w:val="202124"/>
                <w:sz w:val="17"/>
              </w:rPr>
              <w:t>2Q</w:t>
            </w:r>
          </w:p>
        </w:tc>
        <w:tc>
          <w:tcPr>
            <w:tcW w:type="dxa" w:w="1800"/>
            <w:vAlign w:val="center"/>
            <w:tcMar>
              <w:top w:w="80" w:type="dxa"/>
              <w:bottom w:w="80" w:type="dxa"/>
              <w:start w:w="120" w:type="dxa"/>
              <w:end w:w="120" w:type="dxa"/>
            </w:tcMar>
          </w:tcPr>
          <w:p>
            <w:pPr>
              <w:spacing w:after="0"/>
            </w:pPr>
            <w:r>
              <w:rPr>
                <w:rFonts w:ascii="Calibri" w:hAnsi="Calibri"/>
                <w:b w:val="0"/>
                <w:i w:val="0"/>
                <w:color w:val="202124"/>
                <w:sz w:val="17"/>
              </w:rPr>
              <w:t>Consumer</w:t>
            </w:r>
          </w:p>
        </w:tc>
        <w:tc>
          <w:tcPr>
            <w:tcW w:type="dxa" w:w="900"/>
            <w:vAlign w:val="center"/>
            <w:tcMar>
              <w:top w:w="80" w:type="dxa"/>
              <w:bottom w:w="80" w:type="dxa"/>
              <w:start w:w="120" w:type="dxa"/>
              <w:end w:w="120" w:type="dxa"/>
            </w:tcMar>
          </w:tcPr>
          <w:p>
            <w:pPr>
              <w:spacing w:after="0"/>
            </w:pPr>
            <w:r>
              <w:rPr>
                <w:rFonts w:ascii="Calibri" w:hAnsi="Calibri"/>
                <w:b w:val="0"/>
                <w:i w:val="0"/>
                <w:color w:val="202124"/>
                <w:sz w:val="17"/>
              </w:rPr>
              <w:t>251</w:t>
            </w:r>
          </w:p>
        </w:tc>
        <w:tc>
          <w:tcPr>
            <w:tcW w:type="dxa" w:w="1050"/>
            <w:vAlign w:val="center"/>
            <w:tcMar>
              <w:top w:w="80" w:type="dxa"/>
              <w:bottom w:w="80" w:type="dxa"/>
              <w:start w:w="120" w:type="dxa"/>
              <w:end w:w="120" w:type="dxa"/>
            </w:tcMar>
          </w:tcPr>
          <w:p>
            <w:pPr>
              <w:spacing w:after="0"/>
            </w:pPr>
            <w:r>
              <w:rPr>
                <w:rFonts w:ascii="Calibri" w:hAnsi="Calibri"/>
                <w:b w:val="0"/>
                <w:i w:val="0"/>
                <w:color w:val="202124"/>
                <w:sz w:val="17"/>
              </w:rPr>
              <w:t>13.9%</w:t>
            </w:r>
          </w:p>
        </w:tc>
        <w:tc>
          <w:tcPr>
            <w:tcW w:type="dxa" w:w="1100"/>
            <w:vAlign w:val="center"/>
            <w:tcMar>
              <w:top w:w="80" w:type="dxa"/>
              <w:bottom w:w="80" w:type="dxa"/>
              <w:start w:w="120" w:type="dxa"/>
              <w:end w:w="120" w:type="dxa"/>
            </w:tcMar>
          </w:tcPr>
          <w:p>
            <w:pPr>
              <w:spacing w:after="0"/>
            </w:pPr>
            <w:r>
              <w:rPr>
                <w:rFonts w:ascii="Calibri" w:hAnsi="Calibri"/>
                <w:b w:val="0"/>
                <w:i w:val="0"/>
                <w:color w:val="202124"/>
                <w:sz w:val="17"/>
              </w:rPr>
              <w:t>0.207</w:t>
            </w:r>
          </w:p>
        </w:tc>
        <w:tc>
          <w:tcPr>
            <w:tcW w:type="dxa" w:w="1100"/>
            <w:vAlign w:val="center"/>
            <w:tcMar>
              <w:top w:w="80" w:type="dxa"/>
              <w:bottom w:w="80" w:type="dxa"/>
              <w:start w:w="120" w:type="dxa"/>
              <w:end w:w="120" w:type="dxa"/>
            </w:tcMar>
          </w:tcPr>
          <w:p>
            <w:pPr>
              <w:spacing w:after="0"/>
            </w:pPr>
            <w:r>
              <w:rPr>
                <w:rFonts w:ascii="Calibri" w:hAnsi="Calibri"/>
                <w:b w:val="0"/>
                <w:i w:val="0"/>
                <w:color w:val="202124"/>
                <w:sz w:val="17"/>
              </w:rPr>
              <w:t>80.0%</w:t>
            </w:r>
          </w:p>
        </w:tc>
        <w:tc>
          <w:tcPr>
            <w:tcW w:type="dxa" w:w="1260"/>
            <w:vAlign w:val="center"/>
            <w:tcMar>
              <w:top w:w="80" w:type="dxa"/>
              <w:bottom w:w="80" w:type="dxa"/>
              <w:start w:w="120" w:type="dxa"/>
              <w:end w:w="120" w:type="dxa"/>
            </w:tcMar>
          </w:tcPr>
          <w:p>
            <w:pPr>
              <w:spacing w:after="0"/>
            </w:pPr>
            <w:r>
              <w:rPr>
                <w:rFonts w:ascii="Calibri" w:hAnsi="Calibri"/>
                <w:b w:val="0"/>
                <w:i w:val="0"/>
                <w:color w:val="202124"/>
                <w:sz w:val="17"/>
              </w:rPr>
              <w:t>21.1%</w:t>
            </w:r>
          </w:p>
        </w:tc>
        <w:tc>
          <w:tcPr>
            <w:tcW w:type="dxa" w:w="1300"/>
            <w:vAlign w:val="center"/>
            <w:tcMar>
              <w:top w:w="80" w:type="dxa"/>
              <w:bottom w:w="80" w:type="dxa"/>
              <w:start w:w="120" w:type="dxa"/>
              <w:end w:w="120" w:type="dxa"/>
            </w:tcMar>
          </w:tcPr>
          <w:p>
            <w:pPr>
              <w:spacing w:after="0"/>
            </w:pPr>
            <w:r>
              <w:rPr>
                <w:rFonts w:ascii="Calibri" w:hAnsi="Calibri"/>
                <w:b w:val="0"/>
                <w:i w:val="0"/>
                <w:color w:val="202124"/>
                <w:sz w:val="17"/>
              </w:rPr>
              <w:t>53.0%</w:t>
            </w:r>
          </w:p>
        </w:tc>
      </w:tr>
      <w:tr>
        <w:tc>
          <w:tcPr>
            <w:tcW w:type="dxa" w:w="850"/>
            <w:vAlign w:val="center"/>
            <w:tcMar>
              <w:top w:w="80" w:type="dxa"/>
              <w:bottom w:w="80" w:type="dxa"/>
              <w:start w:w="120" w:type="dxa"/>
              <w:end w:w="120" w:type="dxa"/>
            </w:tcMar>
          </w:tcPr>
          <w:p>
            <w:pPr>
              <w:spacing w:after="0"/>
            </w:pPr>
            <w:r>
              <w:rPr>
                <w:rFonts w:ascii="Calibri" w:hAnsi="Calibri"/>
                <w:b w:val="0"/>
                <w:i w:val="0"/>
                <w:color w:val="202124"/>
                <w:sz w:val="17"/>
              </w:rPr>
              <w:t>2Q</w:t>
            </w:r>
          </w:p>
        </w:tc>
        <w:tc>
          <w:tcPr>
            <w:tcW w:type="dxa" w:w="1800"/>
            <w:vAlign w:val="center"/>
            <w:tcMar>
              <w:top w:w="80" w:type="dxa"/>
              <w:bottom w:w="80" w:type="dxa"/>
              <w:start w:w="120" w:type="dxa"/>
              <w:end w:w="120" w:type="dxa"/>
            </w:tcMar>
          </w:tcPr>
          <w:p>
            <w:pPr>
              <w:spacing w:after="0"/>
            </w:pPr>
            <w:r>
              <w:rPr>
                <w:rFonts w:ascii="Calibri" w:hAnsi="Calibri"/>
                <w:b w:val="0"/>
                <w:i w:val="0"/>
                <w:color w:val="202124"/>
                <w:sz w:val="17"/>
              </w:rPr>
              <w:t>Utilities</w:t>
            </w:r>
          </w:p>
        </w:tc>
        <w:tc>
          <w:tcPr>
            <w:tcW w:type="dxa" w:w="900"/>
            <w:vAlign w:val="center"/>
            <w:tcMar>
              <w:top w:w="80" w:type="dxa"/>
              <w:bottom w:w="80" w:type="dxa"/>
              <w:start w:w="120" w:type="dxa"/>
              <w:end w:w="120" w:type="dxa"/>
            </w:tcMar>
          </w:tcPr>
          <w:p>
            <w:pPr>
              <w:spacing w:after="0"/>
            </w:pPr>
            <w:r>
              <w:rPr>
                <w:rFonts w:ascii="Calibri" w:hAnsi="Calibri"/>
                <w:b w:val="0"/>
                <w:i w:val="0"/>
                <w:color w:val="202124"/>
                <w:sz w:val="17"/>
              </w:rPr>
              <w:t>146</w:t>
            </w:r>
          </w:p>
        </w:tc>
        <w:tc>
          <w:tcPr>
            <w:tcW w:type="dxa" w:w="1050"/>
            <w:vAlign w:val="center"/>
            <w:tcMar>
              <w:top w:w="80" w:type="dxa"/>
              <w:bottom w:w="80" w:type="dxa"/>
              <w:start w:w="120" w:type="dxa"/>
              <w:end w:w="120" w:type="dxa"/>
            </w:tcMar>
          </w:tcPr>
          <w:p>
            <w:pPr>
              <w:spacing w:after="0"/>
            </w:pPr>
            <w:r>
              <w:rPr>
                <w:rFonts w:ascii="Calibri" w:hAnsi="Calibri"/>
                <w:b w:val="0"/>
                <w:i w:val="0"/>
                <w:color w:val="202124"/>
                <w:sz w:val="17"/>
              </w:rPr>
              <w:t>8.9%</w:t>
            </w:r>
          </w:p>
        </w:tc>
        <w:tc>
          <w:tcPr>
            <w:tcW w:type="dxa" w:w="1100"/>
            <w:vAlign w:val="center"/>
            <w:tcMar>
              <w:top w:w="80" w:type="dxa"/>
              <w:bottom w:w="80" w:type="dxa"/>
              <w:start w:w="120" w:type="dxa"/>
              <w:end w:w="120" w:type="dxa"/>
            </w:tcMar>
          </w:tcPr>
          <w:p>
            <w:pPr>
              <w:spacing w:after="0"/>
            </w:pPr>
            <w:r>
              <w:rPr>
                <w:rFonts w:ascii="Calibri" w:hAnsi="Calibri"/>
                <w:b w:val="0"/>
                <w:i w:val="0"/>
                <w:color w:val="202124"/>
                <w:sz w:val="17"/>
              </w:rPr>
              <w:t>0.120</w:t>
            </w:r>
          </w:p>
        </w:tc>
        <w:tc>
          <w:tcPr>
            <w:tcW w:type="dxa" w:w="1100"/>
            <w:vAlign w:val="center"/>
            <w:tcMar>
              <w:top w:w="80" w:type="dxa"/>
              <w:bottom w:w="80" w:type="dxa"/>
              <w:start w:w="120" w:type="dxa"/>
              <w:end w:w="120" w:type="dxa"/>
            </w:tcMar>
          </w:tcPr>
          <w:p>
            <w:pPr>
              <w:spacing w:after="0"/>
            </w:pPr>
            <w:r>
              <w:rPr>
                <w:rFonts w:ascii="Calibri" w:hAnsi="Calibri"/>
                <w:b w:val="0"/>
                <w:i w:val="0"/>
                <w:color w:val="202124"/>
                <w:sz w:val="17"/>
              </w:rPr>
              <w:t>84.6%</w:t>
            </w:r>
          </w:p>
        </w:tc>
        <w:tc>
          <w:tcPr>
            <w:tcW w:type="dxa" w:w="1260"/>
            <w:vAlign w:val="center"/>
            <w:tcMar>
              <w:top w:w="80" w:type="dxa"/>
              <w:bottom w:w="80" w:type="dxa"/>
              <w:start w:w="120" w:type="dxa"/>
              <w:end w:w="120" w:type="dxa"/>
            </w:tcMar>
          </w:tcPr>
          <w:p>
            <w:pPr>
              <w:spacing w:after="0"/>
            </w:pPr>
            <w:r>
              <w:rPr>
                <w:rFonts w:ascii="Calibri" w:hAnsi="Calibri"/>
                <w:b w:val="0"/>
                <w:i w:val="0"/>
                <w:color w:val="202124"/>
                <w:sz w:val="17"/>
              </w:rPr>
              <w:t>10.9%</w:t>
            </w:r>
          </w:p>
        </w:tc>
        <w:tc>
          <w:tcPr>
            <w:tcW w:type="dxa" w:w="1300"/>
            <w:vAlign w:val="center"/>
            <w:tcMar>
              <w:top w:w="80" w:type="dxa"/>
              <w:bottom w:w="80" w:type="dxa"/>
              <w:start w:w="120" w:type="dxa"/>
              <w:end w:w="120" w:type="dxa"/>
            </w:tcMar>
          </w:tcPr>
          <w:p>
            <w:pPr>
              <w:spacing w:after="0"/>
            </w:pPr>
            <w:r>
              <w:rPr>
                <w:rFonts w:ascii="Calibri" w:hAnsi="Calibri"/>
                <w:b w:val="0"/>
                <w:i w:val="0"/>
                <w:color w:val="202124"/>
                <w:sz w:val="17"/>
              </w:rPr>
              <w:t>69.2%</w:t>
            </w:r>
          </w:p>
        </w:tc>
      </w:tr>
    </w:tbl>
    <w:p>
      <w:pPr>
        <w:spacing w:after="0"/>
      </w:pPr>
    </w:p>
    <w:p>
      <w:pPr>
        <w:spacing w:after="120" w:line="264" w:lineRule="auto"/>
      </w:pPr>
      <w:r>
        <w:rPr>
          <w:rFonts w:ascii="Calibri" w:hAnsi="Calibri"/>
          <w:b w:val="0"/>
          <w:i w:val="0"/>
          <w:color w:val="202124"/>
          <w:sz w:val="21"/>
        </w:rPr>
        <w:t>Both horizons exceeded 80% recall in each sector. Utilities required much larger review queues and produced lower precision at both horizons, reflecting a smaller event set and weaker ranking. Equal recall is not forced; each sector simply has to clear the minimum standard.</w:t>
      </w:r>
    </w:p>
    <w:p>
      <w:pPr>
        <w:pStyle w:val="Heading2"/>
        <w:keepNext/>
      </w:pPr>
      <w:r>
        <w:rPr>
          <w:rFonts w:ascii="Calibri" w:hAnsi="Calibri"/>
          <w:b/>
          <w:i w:val="0"/>
          <w:color w:val="17365D"/>
          <w:sz w:val="26"/>
        </w:rPr>
        <w:t>Statistical uncertainty</w:t>
      </w:r>
    </w:p>
    <w:tbl>
      <w:tblPr>
        <w:tblStyle w:val="TableGrid"/>
        <w:tblW w:type="dxa" w:w="9360"/>
        <w:jc w:val="left"/>
        <w:tblLayout w:type="fixed"/>
        <w:tblLook w:firstColumn="1" w:firstRow="1" w:lastColumn="0" w:lastRow="0" w:noHBand="0" w:noVBand="1" w:val="04A0"/>
        <w:tblInd w:w="120" w:type="dxa"/>
      </w:tblPr>
      <w:tblGrid>
        <w:gridCol w:w="4200"/>
        <w:gridCol w:w="1900"/>
        <w:gridCol w:w="3260"/>
      </w:tblGrid>
      <w:tr>
        <w:trPr>
          <w:tblHeader/>
        </w:trPr>
        <w:tc>
          <w:tcPr>
            <w:tcW w:type="dxa" w:w="4200"/>
            <w:shd w:fill="EAF1F8"/>
            <w:vAlign w:val="center"/>
            <w:tcMar>
              <w:top w:w="80" w:type="dxa"/>
              <w:bottom w:w="80" w:type="dxa"/>
              <w:start w:w="120" w:type="dxa"/>
              <w:end w:w="120" w:type="dxa"/>
            </w:tcMar>
          </w:tcPr>
          <w:p>
            <w:pPr>
              <w:spacing w:after="0"/>
            </w:pPr>
            <w:r>
              <w:rPr>
                <w:rFonts w:ascii="Calibri" w:hAnsi="Calibri"/>
                <w:b/>
                <w:i w:val="0"/>
                <w:color w:val="17365D"/>
                <w:sz w:val="18"/>
              </w:rPr>
              <w:t>Two-quarter minus four-quarter</w:t>
            </w:r>
          </w:p>
        </w:tc>
        <w:tc>
          <w:tcPr>
            <w:tcW w:type="dxa" w:w="1900"/>
            <w:shd w:fill="EAF1F8"/>
            <w:vAlign w:val="center"/>
            <w:tcMar>
              <w:top w:w="80" w:type="dxa"/>
              <w:bottom w:w="80" w:type="dxa"/>
              <w:start w:w="120" w:type="dxa"/>
              <w:end w:w="120" w:type="dxa"/>
            </w:tcMar>
          </w:tcPr>
          <w:p>
            <w:pPr>
              <w:spacing w:after="0"/>
            </w:pPr>
            <w:r>
              <w:rPr>
                <w:rFonts w:ascii="Calibri" w:hAnsi="Calibri"/>
                <w:b/>
                <w:i w:val="0"/>
                <w:color w:val="17365D"/>
                <w:sz w:val="18"/>
              </w:rPr>
              <w:t>Estimate</w:t>
            </w:r>
          </w:p>
        </w:tc>
        <w:tc>
          <w:tcPr>
            <w:tcW w:type="dxa" w:w="3260"/>
            <w:shd w:fill="EAF1F8"/>
            <w:vAlign w:val="center"/>
            <w:tcMar>
              <w:top w:w="80" w:type="dxa"/>
              <w:bottom w:w="80" w:type="dxa"/>
              <w:start w:w="120" w:type="dxa"/>
              <w:end w:w="120" w:type="dxa"/>
            </w:tcMar>
          </w:tcPr>
          <w:p>
            <w:pPr>
              <w:spacing w:after="0"/>
            </w:pPr>
            <w:r>
              <w:rPr>
                <w:rFonts w:ascii="Calibri" w:hAnsi="Calibri"/>
                <w:b/>
                <w:i w:val="0"/>
                <w:color w:val="17365D"/>
                <w:sz w:val="18"/>
              </w:rPr>
              <w:t>Company-clustered 95% interval</w:t>
            </w:r>
          </w:p>
        </w:tc>
      </w:tr>
      <w:tr>
        <w:tc>
          <w:tcPr>
            <w:tcW w:type="dxa" w:w="4200"/>
            <w:vAlign w:val="center"/>
            <w:tcMar>
              <w:top w:w="80" w:type="dxa"/>
              <w:bottom w:w="80" w:type="dxa"/>
              <w:start w:w="120" w:type="dxa"/>
              <w:end w:w="120" w:type="dxa"/>
            </w:tcMar>
          </w:tcPr>
          <w:p>
            <w:pPr>
              <w:spacing w:after="0"/>
            </w:pPr>
            <w:r>
              <w:rPr>
                <w:rFonts w:ascii="Calibri" w:hAnsi="Calibri"/>
                <w:b w:val="0"/>
                <w:i w:val="0"/>
                <w:color w:val="202124"/>
                <w:sz w:val="17"/>
              </w:rPr>
              <w:t>PR-AUC</w:t>
            </w:r>
          </w:p>
        </w:tc>
        <w:tc>
          <w:tcPr>
            <w:tcW w:type="dxa" w:w="1900"/>
            <w:vAlign w:val="center"/>
            <w:tcMar>
              <w:top w:w="80" w:type="dxa"/>
              <w:bottom w:w="80" w:type="dxa"/>
              <w:start w:w="120" w:type="dxa"/>
              <w:end w:w="120" w:type="dxa"/>
            </w:tcMar>
          </w:tcPr>
          <w:p>
            <w:pPr>
              <w:spacing w:after="0"/>
            </w:pPr>
            <w:r>
              <w:rPr>
                <w:rFonts w:ascii="Calibri" w:hAnsi="Calibri"/>
                <w:b w:val="0"/>
                <w:i w:val="0"/>
                <w:color w:val="202124"/>
                <w:sz w:val="17"/>
              </w:rPr>
              <w:t>-0.090</w:t>
            </w:r>
          </w:p>
        </w:tc>
        <w:tc>
          <w:tcPr>
            <w:tcW w:type="dxa" w:w="3260"/>
            <w:vAlign w:val="center"/>
            <w:tcMar>
              <w:top w:w="80" w:type="dxa"/>
              <w:bottom w:w="80" w:type="dxa"/>
              <w:start w:w="120" w:type="dxa"/>
              <w:end w:w="120" w:type="dxa"/>
            </w:tcMar>
          </w:tcPr>
          <w:p>
            <w:pPr>
              <w:spacing w:after="0"/>
            </w:pPr>
            <w:r>
              <w:rPr>
                <w:rFonts w:ascii="Calibri" w:hAnsi="Calibri"/>
                <w:b w:val="0"/>
                <w:i w:val="0"/>
                <w:color w:val="202124"/>
                <w:sz w:val="17"/>
              </w:rPr>
              <w:t>[-0.195, -0.013]</w:t>
            </w:r>
          </w:p>
        </w:tc>
      </w:tr>
      <w:tr>
        <w:tc>
          <w:tcPr>
            <w:tcW w:type="dxa" w:w="4200"/>
            <w:vAlign w:val="center"/>
            <w:tcMar>
              <w:top w:w="80" w:type="dxa"/>
              <w:bottom w:w="80" w:type="dxa"/>
              <w:start w:w="120" w:type="dxa"/>
              <w:end w:w="120" w:type="dxa"/>
            </w:tcMar>
          </w:tcPr>
          <w:p>
            <w:pPr>
              <w:spacing w:after="0"/>
            </w:pPr>
            <w:r>
              <w:rPr>
                <w:rFonts w:ascii="Calibri" w:hAnsi="Calibri"/>
                <w:b w:val="0"/>
                <w:i w:val="0"/>
                <w:color w:val="202124"/>
                <w:sz w:val="17"/>
              </w:rPr>
              <w:t>Precision</w:t>
            </w:r>
          </w:p>
        </w:tc>
        <w:tc>
          <w:tcPr>
            <w:tcW w:type="dxa" w:w="1900"/>
            <w:vAlign w:val="center"/>
            <w:tcMar>
              <w:top w:w="80" w:type="dxa"/>
              <w:bottom w:w="80" w:type="dxa"/>
              <w:start w:w="120" w:type="dxa"/>
              <w:end w:w="120" w:type="dxa"/>
            </w:tcMar>
          </w:tcPr>
          <w:p>
            <w:pPr>
              <w:spacing w:after="0"/>
            </w:pPr>
            <w:r>
              <w:rPr>
                <w:rFonts w:ascii="Calibri" w:hAnsi="Calibri"/>
                <w:b w:val="0"/>
                <w:i w:val="0"/>
                <w:color w:val="202124"/>
                <w:sz w:val="17"/>
              </w:rPr>
              <w:t>-0.066</w:t>
            </w:r>
          </w:p>
        </w:tc>
        <w:tc>
          <w:tcPr>
            <w:tcW w:type="dxa" w:w="3260"/>
            <w:vAlign w:val="center"/>
            <w:tcMar>
              <w:top w:w="80" w:type="dxa"/>
              <w:bottom w:w="80" w:type="dxa"/>
              <w:start w:w="120" w:type="dxa"/>
              <w:end w:w="120" w:type="dxa"/>
            </w:tcMar>
          </w:tcPr>
          <w:p>
            <w:pPr>
              <w:spacing w:after="0"/>
            </w:pPr>
            <w:r>
              <w:rPr>
                <w:rFonts w:ascii="Calibri" w:hAnsi="Calibri"/>
                <w:b w:val="0"/>
                <w:i w:val="0"/>
                <w:color w:val="202124"/>
                <w:sz w:val="17"/>
              </w:rPr>
              <w:t>[-0.111, -0.027]</w:t>
            </w:r>
          </w:p>
        </w:tc>
      </w:tr>
      <w:tr>
        <w:tc>
          <w:tcPr>
            <w:tcW w:type="dxa" w:w="4200"/>
            <w:vAlign w:val="center"/>
            <w:tcMar>
              <w:top w:w="80" w:type="dxa"/>
              <w:bottom w:w="80" w:type="dxa"/>
              <w:start w:w="120" w:type="dxa"/>
              <w:end w:w="120" w:type="dxa"/>
            </w:tcMar>
          </w:tcPr>
          <w:p>
            <w:pPr>
              <w:spacing w:after="0"/>
            </w:pPr>
            <w:r>
              <w:rPr>
                <w:rFonts w:ascii="Calibri" w:hAnsi="Calibri"/>
                <w:b w:val="0"/>
                <w:i w:val="0"/>
                <w:color w:val="202124"/>
                <w:sz w:val="17"/>
              </w:rPr>
              <w:t>Alert rate</w:t>
            </w:r>
          </w:p>
        </w:tc>
        <w:tc>
          <w:tcPr>
            <w:tcW w:type="dxa" w:w="1900"/>
            <w:vAlign w:val="center"/>
            <w:tcMar>
              <w:top w:w="80" w:type="dxa"/>
              <w:bottom w:w="80" w:type="dxa"/>
              <w:start w:w="120" w:type="dxa"/>
              <w:end w:w="120" w:type="dxa"/>
            </w:tcMar>
          </w:tcPr>
          <w:p>
            <w:pPr>
              <w:spacing w:after="0"/>
            </w:pPr>
            <w:r>
              <w:rPr>
                <w:rFonts w:ascii="Calibri" w:hAnsi="Calibri"/>
                <w:b w:val="0"/>
                <w:i w:val="0"/>
                <w:color w:val="202124"/>
                <w:sz w:val="17"/>
              </w:rPr>
              <w:t>-0.083</w:t>
            </w:r>
          </w:p>
        </w:tc>
        <w:tc>
          <w:tcPr>
            <w:tcW w:type="dxa" w:w="3260"/>
            <w:vAlign w:val="center"/>
            <w:tcMar>
              <w:top w:w="80" w:type="dxa"/>
              <w:bottom w:w="80" w:type="dxa"/>
              <w:start w:w="120" w:type="dxa"/>
              <w:end w:w="120" w:type="dxa"/>
            </w:tcMar>
          </w:tcPr>
          <w:p>
            <w:pPr>
              <w:spacing w:after="0"/>
            </w:pPr>
            <w:r>
              <w:rPr>
                <w:rFonts w:ascii="Calibri" w:hAnsi="Calibri"/>
                <w:b w:val="0"/>
                <w:i w:val="0"/>
                <w:color w:val="202124"/>
                <w:sz w:val="17"/>
              </w:rPr>
              <w:t>[-0.123, -0.043]</w:t>
            </w:r>
          </w:p>
        </w:tc>
      </w:tr>
      <w:tr>
        <w:tc>
          <w:tcPr>
            <w:tcW w:type="dxa" w:w="4200"/>
            <w:vAlign w:val="center"/>
            <w:tcMar>
              <w:top w:w="80" w:type="dxa"/>
              <w:bottom w:w="80" w:type="dxa"/>
              <w:start w:w="120" w:type="dxa"/>
              <w:end w:w="120" w:type="dxa"/>
            </w:tcMar>
          </w:tcPr>
          <w:p>
            <w:pPr>
              <w:spacing w:after="0"/>
            </w:pPr>
            <w:r>
              <w:rPr>
                <w:rFonts w:ascii="Calibri" w:hAnsi="Calibri"/>
                <w:b w:val="0"/>
                <w:i w:val="0"/>
                <w:color w:val="202124"/>
                <w:sz w:val="17"/>
              </w:rPr>
              <w:t>Brier score</w:t>
            </w:r>
          </w:p>
        </w:tc>
        <w:tc>
          <w:tcPr>
            <w:tcW w:type="dxa" w:w="1900"/>
            <w:vAlign w:val="center"/>
            <w:tcMar>
              <w:top w:w="80" w:type="dxa"/>
              <w:bottom w:w="80" w:type="dxa"/>
              <w:start w:w="120" w:type="dxa"/>
              <w:end w:w="120" w:type="dxa"/>
            </w:tcMar>
          </w:tcPr>
          <w:p>
            <w:pPr>
              <w:spacing w:after="0"/>
            </w:pPr>
            <w:r>
              <w:rPr>
                <w:rFonts w:ascii="Calibri" w:hAnsi="Calibri"/>
                <w:b w:val="0"/>
                <w:i w:val="0"/>
                <w:color w:val="202124"/>
                <w:sz w:val="17"/>
              </w:rPr>
              <w:t>-0.053</w:t>
            </w:r>
          </w:p>
        </w:tc>
        <w:tc>
          <w:tcPr>
            <w:tcW w:type="dxa" w:w="3260"/>
            <w:vAlign w:val="center"/>
            <w:tcMar>
              <w:top w:w="80" w:type="dxa"/>
              <w:bottom w:w="80" w:type="dxa"/>
              <w:start w:w="120" w:type="dxa"/>
              <w:end w:w="120" w:type="dxa"/>
            </w:tcMar>
          </w:tcPr>
          <w:p>
            <w:pPr>
              <w:spacing w:after="0"/>
            </w:pPr>
            <w:r>
              <w:rPr>
                <w:rFonts w:ascii="Calibri" w:hAnsi="Calibri"/>
                <w:b w:val="0"/>
                <w:i w:val="0"/>
                <w:color w:val="202124"/>
                <w:sz w:val="17"/>
              </w:rPr>
              <w:t>[-0.072, -0.033]</w:t>
            </w:r>
          </w:p>
        </w:tc>
      </w:tr>
      <w:tr>
        <w:tc>
          <w:tcPr>
            <w:tcW w:type="dxa" w:w="4200"/>
            <w:vAlign w:val="center"/>
            <w:tcMar>
              <w:top w:w="80" w:type="dxa"/>
              <w:bottom w:w="80" w:type="dxa"/>
              <w:start w:w="120" w:type="dxa"/>
              <w:end w:w="120" w:type="dxa"/>
            </w:tcMar>
          </w:tcPr>
          <w:p>
            <w:pPr>
              <w:spacing w:after="0"/>
            </w:pPr>
            <w:r>
              <w:rPr>
                <w:rFonts w:ascii="Calibri" w:hAnsi="Calibri"/>
                <w:b w:val="0"/>
                <w:i w:val="0"/>
                <w:color w:val="202124"/>
                <w:sz w:val="17"/>
              </w:rPr>
              <w:t>Median lead (quarters)</w:t>
            </w:r>
          </w:p>
        </w:tc>
        <w:tc>
          <w:tcPr>
            <w:tcW w:type="dxa" w:w="1900"/>
            <w:vAlign w:val="center"/>
            <w:tcMar>
              <w:top w:w="80" w:type="dxa"/>
              <w:bottom w:w="80" w:type="dxa"/>
              <w:start w:w="120" w:type="dxa"/>
              <w:end w:w="120" w:type="dxa"/>
            </w:tcMar>
          </w:tcPr>
          <w:p>
            <w:pPr>
              <w:spacing w:after="0"/>
            </w:pPr>
            <w:r>
              <w:rPr>
                <w:rFonts w:ascii="Calibri" w:hAnsi="Calibri"/>
                <w:b w:val="0"/>
                <w:i w:val="0"/>
                <w:color w:val="202124"/>
                <w:sz w:val="17"/>
              </w:rPr>
              <w:t>-1.000</w:t>
            </w:r>
          </w:p>
        </w:tc>
        <w:tc>
          <w:tcPr>
            <w:tcW w:type="dxa" w:w="3260"/>
            <w:vAlign w:val="center"/>
            <w:tcMar>
              <w:top w:w="80" w:type="dxa"/>
              <w:bottom w:w="80" w:type="dxa"/>
              <w:start w:w="120" w:type="dxa"/>
              <w:end w:w="120" w:type="dxa"/>
            </w:tcMar>
          </w:tcPr>
          <w:p>
            <w:pPr>
              <w:spacing w:after="0"/>
            </w:pPr>
            <w:r>
              <w:rPr>
                <w:rFonts w:ascii="Calibri" w:hAnsi="Calibri"/>
                <w:b w:val="0"/>
                <w:i w:val="0"/>
                <w:color w:val="202124"/>
                <w:sz w:val="17"/>
              </w:rPr>
              <w:t>[-1.500, -1.000]</w:t>
            </w:r>
          </w:p>
        </w:tc>
      </w:tr>
    </w:tbl>
    <w:p>
      <w:pPr>
        <w:spacing w:after="0"/>
      </w:pPr>
    </w:p>
    <w:p>
      <w:pPr>
        <w:spacing w:after="120" w:line="264" w:lineRule="auto"/>
      </w:pPr>
      <w:r>
        <w:rPr>
          <w:rFonts w:ascii="Calibri" w:hAnsi="Calibri"/>
          <w:b w:val="0"/>
          <w:i w:val="0"/>
          <w:color w:val="202124"/>
          <w:sz w:val="21"/>
        </w:rPr>
        <w:t>The alert-rate reduction, precision decline, and PR-AUC decline all have company-clustered intervals that exclude zero. Companies—not individual quarters—were resampled because observations from the same issuer are correlated.</w:t>
      </w:r>
    </w:p>
    <w:p>
      <w:pPr>
        <w:pStyle w:val="Heading2"/>
        <w:keepNext/>
      </w:pPr>
      <w:r>
        <w:rPr>
          <w:rFonts w:ascii="Calibri" w:hAnsi="Calibri"/>
          <w:b/>
          <w:i w:val="0"/>
          <w:color w:val="17365D"/>
          <w:sz w:val="26"/>
        </w:rPr>
        <w:t>Calibration and lead time</w:t>
      </w:r>
    </w:p>
    <w:p>
      <w:pPr>
        <w:spacing w:after="120" w:line="264" w:lineRule="auto"/>
      </w:pPr>
      <w:r>
        <w:rPr>
          <w:rFonts w:ascii="Calibri" w:hAnsi="Calibri"/>
          <w:b w:val="0"/>
          <w:i w:val="0"/>
          <w:color w:val="202124"/>
          <w:sz w:val="21"/>
        </w:rPr>
        <w:t>The four-quarter paired model used pooled intercept recalibration and achieved a Brier score of 0.159 with expected calibration error 0.069. The two-quarter model retained none calibration; its Brier score was 0.106 and calibration error 0.040.</w:t>
      </w:r>
    </w:p>
    <w:p>
      <w:pPr>
        <w:spacing w:after="120" w:line="264" w:lineRule="auto"/>
      </w:pPr>
      <w:r>
        <w:rPr>
          <w:rFonts w:ascii="Calibri" w:hAnsi="Calibri"/>
          <w:b w:val="0"/>
          <w:i w:val="0"/>
          <w:color w:val="202124"/>
          <w:sz w:val="21"/>
        </w:rPr>
        <w:t>The lower two-quarter Brier score partly reflects lower event prevalence, so it should not be read as proof of better ranking. Median warning lead fell from 2.0 to 1.0 quarters in the correctly alerted paired events. That is structurally expected: a shorter outcome window cannot capture later-onset deterioration.</w:t>
      </w:r>
    </w:p>
    <w:p>
      <w:r>
        <w:br w:type="page"/>
      </w:r>
    </w:p>
    <w:p>
      <w:pPr>
        <w:pStyle w:val="Heading1"/>
        <w:keepNext/>
      </w:pPr>
      <w:r>
        <w:rPr>
          <w:rFonts w:ascii="Calibri" w:hAnsi="Calibri"/>
          <w:b/>
          <w:i w:val="0"/>
          <w:color w:val="17365D"/>
          <w:sz w:val="32"/>
        </w:rPr>
        <w:t>7. Company-level financial case analysis</w:t>
      </w:r>
    </w:p>
    <w:p>
      <w:pPr>
        <w:pStyle w:val="Heading2"/>
        <w:keepNext/>
      </w:pPr>
      <w:r>
        <w:rPr>
          <w:rFonts w:ascii="Calibri" w:hAnsi="Calibri"/>
          <w:b/>
          <w:i w:val="0"/>
          <w:color w:val="17365D"/>
          <w:sz w:val="26"/>
        </w:rPr>
        <w:t>True Positive: Designer Brands Inc. (DBI)</w:t>
      </w:r>
    </w:p>
    <w:p>
      <w:pPr>
        <w:spacing w:after="120" w:line="264" w:lineRule="auto"/>
      </w:pPr>
      <w:r>
        <w:rPr>
          <w:rFonts w:ascii="Calibri" w:hAnsi="Calibri"/>
          <w:b w:val="0"/>
          <w:i w:val="0"/>
          <w:color w:val="202124"/>
          <w:sz w:val="21"/>
        </w:rPr>
        <w:t>At 2024-06-04, the four-quarter model scored 69.3% against its 10.5% sector threshold. Interest coverage was 6.01x, free-cash-flow margin 6.4%, operating margin 5.5%, and debt/assets 18.3%.</w:t>
      </w:r>
    </w:p>
    <w:p>
      <w:pPr>
        <w:spacing w:after="120" w:line="264" w:lineRule="auto"/>
      </w:pPr>
      <w:r>
        <w:rPr>
          <w:rFonts w:ascii="Calibri" w:hAnsi="Calibri"/>
          <w:b w:val="0"/>
          <w:i w:val="0"/>
          <w:color w:val="202124"/>
          <w:sz w:val="21"/>
        </w:rPr>
        <w:t>Associated model-facing conditions included leverage is rising. These are predictive associations, not causal findings.</w:t>
      </w:r>
    </w:p>
    <w:p>
      <w:pPr>
        <w:spacing w:after="120" w:line="264" w:lineRule="auto"/>
      </w:pPr>
      <w:r>
        <w:rPr>
          <w:rFonts w:ascii="Calibri" w:hAnsi="Calibri"/>
          <w:b w:val="0"/>
          <w:i w:val="0"/>
          <w:color w:val="202124"/>
          <w:sz w:val="21"/>
        </w:rPr>
        <w:t>Useful early-review alert: the subsequent coverage outcome met the deterioration rule.</w:t>
      </w:r>
    </w:p>
    <w:p>
      <w:pPr>
        <w:spacing w:after="120" w:line="264" w:lineRule="auto"/>
      </w:pPr>
      <w:r>
        <w:rPr>
          <w:rFonts w:ascii="Calibri" w:hAnsi="Calibri"/>
          <w:b w:val="0"/>
          <w:i w:val="0"/>
          <w:color w:val="202124"/>
          <w:sz w:val="21"/>
        </w:rPr>
        <w:t>Not an error; the available financial signals ranked this event above its sector threshold.</w:t>
      </w:r>
    </w:p>
    <w:p>
      <w:pPr>
        <w:pStyle w:val="Heading2"/>
        <w:keepNext/>
      </w:pPr>
      <w:r>
        <w:rPr>
          <w:rFonts w:ascii="Calibri" w:hAnsi="Calibri"/>
          <w:b/>
          <w:i w:val="0"/>
          <w:color w:val="17365D"/>
          <w:sz w:val="26"/>
        </w:rPr>
        <w:t>False Positive: Under Armour, Inc. (UAA)</w:t>
      </w:r>
    </w:p>
    <w:p>
      <w:pPr>
        <w:spacing w:after="120" w:line="264" w:lineRule="auto"/>
      </w:pPr>
      <w:r>
        <w:rPr>
          <w:rFonts w:ascii="Calibri" w:hAnsi="Calibri"/>
          <w:b w:val="0"/>
          <w:i w:val="0"/>
          <w:color w:val="202124"/>
          <w:sz w:val="21"/>
        </w:rPr>
        <w:t>At 2024-05-29, the four-quarter model scored 92.1% against its 10.5% sector threshold. Interest coverage was -7.49x, free-cash-flow margin -27.8%, operating margin -3.8%, and debt/assets 14.0%.</w:t>
      </w:r>
    </w:p>
    <w:p>
      <w:pPr>
        <w:spacing w:after="120" w:line="264" w:lineRule="auto"/>
      </w:pPr>
      <w:r>
        <w:rPr>
          <w:rFonts w:ascii="Calibri" w:hAnsi="Calibri"/>
          <w:b w:val="0"/>
          <w:i w:val="0"/>
          <w:color w:val="202124"/>
          <w:sz w:val="21"/>
        </w:rPr>
        <w:t>Associated model-facing conditions included weak free cash flow versus sector peers; weak debt-service capacity versus sector peers. These are predictive associations, not causal findings.</w:t>
      </w:r>
    </w:p>
    <w:p>
      <w:pPr>
        <w:spacing w:after="120" w:line="264" w:lineRule="auto"/>
      </w:pPr>
      <w:r>
        <w:rPr>
          <w:rFonts w:ascii="Calibri" w:hAnsi="Calibri"/>
          <w:b w:val="0"/>
          <w:i w:val="0"/>
          <w:color w:val="202124"/>
          <w:sz w:val="21"/>
        </w:rPr>
        <w:t>Potentially useful as a precautionary review, but it consumed capacity without a qualifying four-quarter event.</w:t>
      </w:r>
    </w:p>
    <w:p>
      <w:pPr>
        <w:spacing w:after="120" w:line="264" w:lineRule="auto"/>
      </w:pPr>
      <w:r>
        <w:rPr>
          <w:rFonts w:ascii="Calibri" w:hAnsi="Calibri"/>
          <w:b w:val="0"/>
          <w:i w:val="0"/>
          <w:color w:val="202124"/>
          <w:sz w:val="21"/>
        </w:rPr>
        <w:t>Weak contemporaneous signals resembled deterioration, but future coverage did not satisfy both the level and decline rules.</w:t>
      </w:r>
    </w:p>
    <w:p>
      <w:pPr>
        <w:pStyle w:val="Heading2"/>
        <w:keepNext/>
      </w:pPr>
      <w:r>
        <w:rPr>
          <w:rFonts w:ascii="Calibri" w:hAnsi="Calibri"/>
          <w:b/>
          <w:i w:val="0"/>
          <w:color w:val="17365D"/>
          <w:sz w:val="26"/>
        </w:rPr>
        <w:t>Missed Deterioration: NRG ENERGY, INC. (NRG)</w:t>
      </w:r>
    </w:p>
    <w:p>
      <w:pPr>
        <w:spacing w:after="120" w:line="264" w:lineRule="auto"/>
      </w:pPr>
      <w:r>
        <w:rPr>
          <w:rFonts w:ascii="Calibri" w:hAnsi="Calibri"/>
          <w:b w:val="0"/>
          <w:i w:val="0"/>
          <w:color w:val="202124"/>
          <w:sz w:val="21"/>
        </w:rPr>
        <w:t>At 2024-02-28, the four-quarter model scored 12.1% against its 12.3% sector threshold. Interest coverage was 6.89x, free-cash-flow margin 0.8%, operating margin 12.5%, and debt/assets 27.4%.</w:t>
      </w:r>
    </w:p>
    <w:p>
      <w:pPr>
        <w:spacing w:after="120" w:line="264" w:lineRule="auto"/>
      </w:pPr>
      <w:r>
        <w:rPr>
          <w:rFonts w:ascii="Calibri" w:hAnsi="Calibri"/>
          <w:b w:val="0"/>
          <w:i w:val="0"/>
          <w:color w:val="202124"/>
          <w:sz w:val="21"/>
        </w:rPr>
        <w:t>No monitored ratio was extreme enough to generate a standard reason code. This absence is itself informative: the later decline was not apparent in the model's strongest contemporaneous indicators.</w:t>
      </w:r>
    </w:p>
    <w:p>
      <w:pPr>
        <w:spacing w:after="120" w:line="264" w:lineRule="auto"/>
      </w:pPr>
      <w:r>
        <w:rPr>
          <w:rFonts w:ascii="Calibri" w:hAnsi="Calibri"/>
          <w:b w:val="0"/>
          <w:i w:val="0"/>
          <w:color w:val="202124"/>
          <w:sz w:val="21"/>
        </w:rPr>
        <w:t>Not useful operationally because the deterioration was missed at the selected threshold.</w:t>
      </w:r>
    </w:p>
    <w:p>
      <w:pPr>
        <w:spacing w:after="120" w:line="264" w:lineRule="auto"/>
      </w:pPr>
      <w:r>
        <w:rPr>
          <w:rFonts w:ascii="Calibri" w:hAnsi="Calibri"/>
          <w:b w:val="0"/>
          <w:i w:val="0"/>
          <w:color w:val="202124"/>
          <w:sz w:val="21"/>
        </w:rPr>
        <w:t>The observed predictors produced a score just below the sector cutoff; the later coverage decline was not strong enough in the available signals to trigger review.</w:t>
      </w:r>
    </w:p>
    <w:p>
      <w:pPr>
        <w:pStyle w:val="Heading1"/>
        <w:keepNext/>
      </w:pPr>
      <w:r>
        <w:rPr>
          <w:rFonts w:ascii="Calibri" w:hAnsi="Calibri"/>
          <w:b/>
          <w:i w:val="0"/>
          <w:color w:val="17365D"/>
          <w:sz w:val="32"/>
        </w:rPr>
        <w:t>8. Financial interpretation</w:t>
      </w:r>
    </w:p>
    <w:p>
      <w:pPr>
        <w:pStyle w:val="ListBullet"/>
        <w:spacing w:after="100" w:line="280" w:lineRule="auto"/>
        <w:ind w:left="720" w:hanging="360"/>
      </w:pPr>
      <w:r>
        <w:rPr>
          <w:rFonts w:ascii="Calibri" w:hAnsi="Calibri"/>
          <w:b w:val="0"/>
          <w:i w:val="0"/>
          <w:color w:val="202124"/>
          <w:sz w:val="20"/>
        </w:rPr>
        <w:t>The model is strongest as a prioritization system, not an autonomous credit decision.</w:t>
      </w:r>
    </w:p>
    <w:p>
      <w:pPr>
        <w:pStyle w:val="ListBullet"/>
        <w:spacing w:after="100" w:line="280" w:lineRule="auto"/>
        <w:ind w:left="720" w:hanging="360"/>
      </w:pPr>
      <w:r>
        <w:rPr>
          <w:rFonts w:ascii="Calibri" w:hAnsi="Calibri"/>
          <w:b w:val="0"/>
          <w:i w:val="0"/>
          <w:color w:val="202124"/>
          <w:sz w:val="20"/>
        </w:rPr>
        <w:t>Weak peer-relative cash generation and debt-service capacity are understandable review triggers.</w:t>
      </w:r>
    </w:p>
    <w:p>
      <w:pPr>
        <w:pStyle w:val="ListBullet"/>
        <w:spacing w:after="100" w:line="280" w:lineRule="auto"/>
        <w:ind w:left="720" w:hanging="360"/>
      </w:pPr>
      <w:r>
        <w:rPr>
          <w:rFonts w:ascii="Calibri" w:hAnsi="Calibri"/>
          <w:b w:val="0"/>
          <w:i w:val="0"/>
          <w:color w:val="202124"/>
          <w:sz w:val="20"/>
        </w:rPr>
        <w:t>A false alert can still identify a financially weak company even when the exact future label is not met.</w:t>
      </w:r>
    </w:p>
    <w:p>
      <w:pPr>
        <w:pStyle w:val="ListBullet"/>
        <w:spacing w:after="100" w:line="280" w:lineRule="auto"/>
        <w:ind w:left="720" w:hanging="360"/>
      </w:pPr>
      <w:r>
        <w:rPr>
          <w:rFonts w:ascii="Calibri" w:hAnsi="Calibri"/>
          <w:b w:val="0"/>
          <w:i w:val="0"/>
          <w:color w:val="202124"/>
          <w:sz w:val="20"/>
        </w:rPr>
        <w:t>A missed event can arise when current financial ratios appear healthy but deteriorate later; no historical classifier can observe an unreported future shock.</w:t>
      </w:r>
    </w:p>
    <w:p>
      <w:r>
        <w:br w:type="page"/>
      </w:r>
    </w:p>
    <w:p>
      <w:pPr>
        <w:pStyle w:val="Heading1"/>
        <w:keepNext/>
      </w:pPr>
      <w:r>
        <w:rPr>
          <w:rFonts w:ascii="Calibri" w:hAnsi="Calibri"/>
          <w:b/>
          <w:i w:val="0"/>
          <w:color w:val="17365D"/>
          <w:sz w:val="32"/>
        </w:rPr>
        <w:t>9. Limitations and model governance</w:t>
      </w:r>
    </w:p>
    <w:p>
      <w:pPr>
        <w:pStyle w:val="ListBullet"/>
        <w:spacing w:after="100" w:line="280" w:lineRule="auto"/>
        <w:ind w:left="720" w:hanging="360"/>
      </w:pPr>
      <w:r>
        <w:rPr>
          <w:rFonts w:ascii="Calibri" w:hAnsi="Calibri"/>
          <w:b w:val="0"/>
          <w:i w:val="0"/>
          <w:color w:val="202124"/>
          <w:sz w:val="20"/>
        </w:rPr>
        <w:t>The active-company-only sample creates survivorship bias and cannot represent delisted or failed firms.</w:t>
      </w:r>
    </w:p>
    <w:p>
      <w:pPr>
        <w:pStyle w:val="ListBullet"/>
        <w:spacing w:after="100" w:line="280" w:lineRule="auto"/>
        <w:ind w:left="720" w:hanging="360"/>
      </w:pPr>
      <w:r>
        <w:rPr>
          <w:rFonts w:ascii="Calibri" w:hAnsi="Calibri"/>
          <w:b w:val="0"/>
          <w:i w:val="0"/>
          <w:color w:val="202124"/>
          <w:sz w:val="20"/>
        </w:rPr>
        <w:t>The 2023-and-later Phase 1 period has already been examined, so Phase 2 results are development evidence rather than a final untouched test.</w:t>
      </w:r>
    </w:p>
    <w:p>
      <w:pPr>
        <w:pStyle w:val="ListBullet"/>
        <w:spacing w:after="100" w:line="280" w:lineRule="auto"/>
        <w:ind w:left="720" w:hanging="360"/>
      </w:pPr>
      <w:r>
        <w:rPr>
          <w:rFonts w:ascii="Calibri" w:hAnsi="Calibri"/>
          <w:b w:val="0"/>
          <w:i w:val="0"/>
          <w:color w:val="202124"/>
          <w:sz w:val="20"/>
        </w:rPr>
        <w:t>Only two sectors are included, and Utilities have fewer issuers and deterioration events.</w:t>
      </w:r>
    </w:p>
    <w:p>
      <w:pPr>
        <w:pStyle w:val="ListBullet"/>
        <w:spacing w:after="100" w:line="280" w:lineRule="auto"/>
        <w:ind w:left="720" w:hanging="360"/>
      </w:pPr>
      <w:r>
        <w:rPr>
          <w:rFonts w:ascii="Calibri" w:hAnsi="Calibri"/>
          <w:b w:val="0"/>
          <w:i w:val="0"/>
          <w:color w:val="202124"/>
          <w:sz w:val="20"/>
        </w:rPr>
        <w:t>Overlapping quarterly outcomes are correlated; company-clustered uncertainty reduces but does not eliminate this concern.</w:t>
      </w:r>
    </w:p>
    <w:p>
      <w:pPr>
        <w:pStyle w:val="ListBullet"/>
        <w:spacing w:after="100" w:line="280" w:lineRule="auto"/>
        <w:ind w:left="720" w:hanging="360"/>
      </w:pPr>
      <w:r>
        <w:rPr>
          <w:rFonts w:ascii="Calibri" w:hAnsi="Calibri"/>
          <w:b w:val="0"/>
          <w:i w:val="0"/>
          <w:color w:val="202124"/>
          <w:sz w:val="20"/>
        </w:rPr>
        <w:t>Thresholds were estimated from development predictions and may require recalibration when future outcomes mature.</w:t>
      </w:r>
    </w:p>
    <w:p>
      <w:pPr>
        <w:pStyle w:val="ListBullet"/>
        <w:spacing w:after="100" w:line="280" w:lineRule="auto"/>
        <w:ind w:left="720" w:hanging="360"/>
      </w:pPr>
      <w:r>
        <w:rPr>
          <w:rFonts w:ascii="Calibri" w:hAnsi="Calibri"/>
          <w:b w:val="0"/>
          <w:i w:val="0"/>
          <w:color w:val="202124"/>
          <w:sz w:val="20"/>
        </w:rPr>
        <w:t>The label measures a specific interest-coverage deterioration pattern, not default, downgrade, fraud, or investment loss.</w:t>
      </w:r>
    </w:p>
    <w:p>
      <w:pPr>
        <w:pStyle w:val="Heading2"/>
        <w:keepNext/>
      </w:pPr>
      <w:r>
        <w:rPr>
          <w:rFonts w:ascii="Calibri" w:hAnsi="Calibri"/>
          <w:b/>
          <w:i w:val="0"/>
          <w:color w:val="17365D"/>
          <w:sz w:val="26"/>
        </w:rPr>
        <w:t>Readiness conclusion</w:t>
      </w:r>
    </w:p>
    <w:p>
      <w:pPr>
        <w:spacing w:after="120" w:line="264" w:lineRule="auto"/>
      </w:pPr>
      <w:r>
        <w:rPr>
          <w:rFonts w:ascii="Calibri" w:hAnsi="Calibri"/>
          <w:b w:val="0"/>
          <w:i w:val="0"/>
          <w:color w:val="202124"/>
          <w:sz w:val="21"/>
        </w:rPr>
        <w:t>The implementation objectives are complete, but Phase 2 is not ready for a definitive future-performance claim. A new test beginning after the frozen 2025 financial cutoff should remain unopened until four-quarter outcomes mature. Until then, all reported values should be described as temporal out-of-fold development evidence.</w:t>
      </w:r>
    </w:p>
    <w:p>
      <w:pPr>
        <w:pStyle w:val="Heading1"/>
        <w:keepNext/>
      </w:pPr>
      <w:r>
        <w:rPr>
          <w:rFonts w:ascii="Calibri" w:hAnsi="Calibri"/>
          <w:b/>
          <w:i w:val="0"/>
          <w:color w:val="17365D"/>
          <w:sz w:val="32"/>
        </w:rPr>
        <w:t>10. Reproducibility and data lineage</w:t>
      </w:r>
    </w:p>
    <w:p>
      <w:pPr>
        <w:spacing w:after="120" w:line="264" w:lineRule="auto"/>
      </w:pPr>
      <w:r>
        <w:rPr>
          <w:rFonts w:ascii="Calibri" w:hAnsi="Calibri"/>
          <w:b w:val="0"/>
          <w:i w:val="0"/>
          <w:color w:val="202124"/>
          <w:sz w:val="21"/>
        </w:rPr>
        <w:t>The repository provides a locked Python environment, versioned YAML configuration, deterministic seeds, ordered CLI stages, automated tests, source manifests, model/data cards, and generated evidence tables. Private SEC identification and the FRED key belong only in the ignored .env file. The committed .env.example contains placeholders.</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trPr>
        <w:tc>
          <w:tcPr>
            <w:tcW w:type="dxa" w:w="3600"/>
            <w:shd w:fill="EAF1F8"/>
            <w:vAlign w:val="center"/>
            <w:tcMar>
              <w:top w:w="80" w:type="dxa"/>
              <w:bottom w:w="80" w:type="dxa"/>
              <w:start w:w="120" w:type="dxa"/>
              <w:end w:w="120" w:type="dxa"/>
            </w:tcMar>
          </w:tcPr>
          <w:p>
            <w:pPr>
              <w:spacing w:after="0"/>
            </w:pPr>
            <w:r>
              <w:rPr>
                <w:rFonts w:ascii="Calibri" w:hAnsi="Calibri"/>
                <w:b/>
                <w:i w:val="0"/>
                <w:color w:val="17365D"/>
                <w:sz w:val="18"/>
              </w:rPr>
              <w:t>Artifact</w:t>
            </w:r>
          </w:p>
        </w:tc>
        <w:tc>
          <w:tcPr>
            <w:tcW w:type="dxa" w:w="5760"/>
            <w:shd w:fill="EAF1F8"/>
            <w:vAlign w:val="center"/>
            <w:tcMar>
              <w:top w:w="80" w:type="dxa"/>
              <w:bottom w:w="80" w:type="dxa"/>
              <w:start w:w="120" w:type="dxa"/>
              <w:end w:w="120" w:type="dxa"/>
            </w:tcMar>
          </w:tcPr>
          <w:p>
            <w:pPr>
              <w:spacing w:after="0"/>
            </w:pPr>
            <w:r>
              <w:rPr>
                <w:rFonts w:ascii="Calibri" w:hAnsi="Calibri"/>
                <w:b/>
                <w:i w:val="0"/>
                <w:color w:val="17365D"/>
                <w:sz w:val="18"/>
              </w:rPr>
              <w:t>Purpose</w:t>
            </w:r>
          </w:p>
        </w:tc>
      </w:tr>
      <w:tr>
        <w:tc>
          <w:tcPr>
            <w:tcW w:type="dxa" w:w="3600"/>
            <w:vAlign w:val="center"/>
            <w:tcMar>
              <w:top w:w="80" w:type="dxa"/>
              <w:bottom w:w="80" w:type="dxa"/>
              <w:start w:w="120" w:type="dxa"/>
              <w:end w:w="120" w:type="dxa"/>
            </w:tcMar>
          </w:tcPr>
          <w:p>
            <w:pPr>
              <w:spacing w:after="0"/>
            </w:pPr>
            <w:r>
              <w:rPr>
                <w:rFonts w:ascii="Calibri" w:hAnsi="Calibri"/>
                <w:b w:val="0"/>
                <w:i w:val="0"/>
                <w:color w:val="202124"/>
                <w:sz w:val="17"/>
              </w:rPr>
              <w:t>configs/phase2.yml</w:t>
            </w:r>
          </w:p>
        </w:tc>
        <w:tc>
          <w:tcPr>
            <w:tcW w:type="dxa" w:w="5760"/>
            <w:vAlign w:val="center"/>
            <w:tcMar>
              <w:top w:w="80" w:type="dxa"/>
              <w:bottom w:w="80" w:type="dxa"/>
              <w:start w:w="120" w:type="dxa"/>
              <w:end w:w="120" w:type="dxa"/>
            </w:tcMar>
          </w:tcPr>
          <w:p>
            <w:pPr>
              <w:spacing w:after="0"/>
            </w:pPr>
            <w:r>
              <w:rPr>
                <w:rFonts w:ascii="Calibri" w:hAnsi="Calibri"/>
                <w:b w:val="0"/>
                <w:i w:val="0"/>
                <w:color w:val="202124"/>
                <w:sz w:val="17"/>
              </w:rPr>
              <w:t>Frozen sampling, label, validation, model, and threshold policy</w:t>
            </w:r>
          </w:p>
        </w:tc>
      </w:tr>
      <w:tr>
        <w:tc>
          <w:tcPr>
            <w:tcW w:type="dxa" w:w="3600"/>
            <w:vAlign w:val="center"/>
            <w:tcMar>
              <w:top w:w="80" w:type="dxa"/>
              <w:bottom w:w="80" w:type="dxa"/>
              <w:start w:w="120" w:type="dxa"/>
              <w:end w:w="120" w:type="dxa"/>
            </w:tcMar>
          </w:tcPr>
          <w:p>
            <w:pPr>
              <w:spacing w:after="0"/>
            </w:pPr>
            <w:r>
              <w:rPr>
                <w:rFonts w:ascii="Calibri" w:hAnsi="Calibri"/>
                <w:b w:val="0"/>
                <w:i w:val="0"/>
                <w:color w:val="202124"/>
                <w:sz w:val="17"/>
              </w:rPr>
              <w:t>docs/phase2_methodology.md</w:t>
            </w:r>
          </w:p>
        </w:tc>
        <w:tc>
          <w:tcPr>
            <w:tcW w:type="dxa" w:w="5760"/>
            <w:vAlign w:val="center"/>
            <w:tcMar>
              <w:top w:w="80" w:type="dxa"/>
              <w:bottom w:w="80" w:type="dxa"/>
              <w:start w:w="120" w:type="dxa"/>
              <w:end w:w="120" w:type="dxa"/>
            </w:tcMar>
          </w:tcPr>
          <w:p>
            <w:pPr>
              <w:spacing w:after="0"/>
            </w:pPr>
            <w:r>
              <w:rPr>
                <w:rFonts w:ascii="Calibri" w:hAnsi="Calibri"/>
                <w:b w:val="0"/>
                <w:i w:val="0"/>
                <w:color w:val="202124"/>
                <w:sz w:val="17"/>
              </w:rPr>
              <w:t>Technical definitions in plain language</w:t>
            </w:r>
          </w:p>
        </w:tc>
      </w:tr>
      <w:tr>
        <w:tc>
          <w:tcPr>
            <w:tcW w:type="dxa" w:w="3600"/>
            <w:vAlign w:val="center"/>
            <w:tcMar>
              <w:top w:w="80" w:type="dxa"/>
              <w:bottom w:w="80" w:type="dxa"/>
              <w:start w:w="120" w:type="dxa"/>
              <w:end w:w="120" w:type="dxa"/>
            </w:tcMar>
          </w:tcPr>
          <w:p>
            <w:pPr>
              <w:spacing w:after="0"/>
            </w:pPr>
            <w:r>
              <w:rPr>
                <w:rFonts w:ascii="Calibri" w:hAnsi="Calibri"/>
                <w:b w:val="0"/>
                <w:i w:val="0"/>
                <w:color w:val="202124"/>
                <w:sz w:val="17"/>
              </w:rPr>
              <w:t>docs/phase2_reproducibility.md</w:t>
            </w:r>
          </w:p>
        </w:tc>
        <w:tc>
          <w:tcPr>
            <w:tcW w:type="dxa" w:w="5760"/>
            <w:vAlign w:val="center"/>
            <w:tcMar>
              <w:top w:w="80" w:type="dxa"/>
              <w:bottom w:w="80" w:type="dxa"/>
              <w:start w:w="120" w:type="dxa"/>
              <w:end w:w="120" w:type="dxa"/>
            </w:tcMar>
          </w:tcPr>
          <w:p>
            <w:pPr>
              <w:spacing w:after="0"/>
            </w:pPr>
            <w:r>
              <w:rPr>
                <w:rFonts w:ascii="Calibri" w:hAnsi="Calibri"/>
                <w:b w:val="0"/>
                <w:i w:val="0"/>
                <w:color w:val="202124"/>
                <w:sz w:val="17"/>
              </w:rPr>
              <w:t>Environment, commands, source attribution, and expected outputs</w:t>
            </w:r>
          </w:p>
        </w:tc>
      </w:tr>
      <w:tr>
        <w:tc>
          <w:tcPr>
            <w:tcW w:type="dxa" w:w="3600"/>
            <w:vAlign w:val="center"/>
            <w:tcMar>
              <w:top w:w="80" w:type="dxa"/>
              <w:bottom w:w="80" w:type="dxa"/>
              <w:start w:w="120" w:type="dxa"/>
              <w:end w:w="120" w:type="dxa"/>
            </w:tcMar>
          </w:tcPr>
          <w:p>
            <w:pPr>
              <w:spacing w:after="0"/>
            </w:pPr>
            <w:r>
              <w:rPr>
                <w:rFonts w:ascii="Calibri" w:hAnsi="Calibri"/>
                <w:b w:val="0"/>
                <w:i w:val="0"/>
                <w:color w:val="202124"/>
                <w:sz w:val="17"/>
              </w:rPr>
              <w:t>reports/generated/phase2_horizon_*.csv</w:t>
            </w:r>
          </w:p>
        </w:tc>
        <w:tc>
          <w:tcPr>
            <w:tcW w:type="dxa" w:w="5760"/>
            <w:vAlign w:val="center"/>
            <w:tcMar>
              <w:top w:w="80" w:type="dxa"/>
              <w:bottom w:w="80" w:type="dxa"/>
              <w:start w:w="120" w:type="dxa"/>
              <w:end w:w="120" w:type="dxa"/>
            </w:tcMar>
          </w:tcPr>
          <w:p>
            <w:pPr>
              <w:spacing w:after="0"/>
            </w:pPr>
            <w:r>
              <w:rPr>
                <w:rFonts w:ascii="Calibri" w:hAnsi="Calibri"/>
                <w:b w:val="0"/>
                <w:i w:val="0"/>
                <w:color w:val="202124"/>
                <w:sz w:val="17"/>
              </w:rPr>
              <w:t>Auditable empirical sensitivity results</w:t>
            </w:r>
          </w:p>
        </w:tc>
      </w:tr>
      <w:tr>
        <w:tc>
          <w:tcPr>
            <w:tcW w:type="dxa" w:w="3600"/>
            <w:vAlign w:val="center"/>
            <w:tcMar>
              <w:top w:w="80" w:type="dxa"/>
              <w:bottom w:w="80" w:type="dxa"/>
              <w:start w:w="120" w:type="dxa"/>
              <w:end w:w="120" w:type="dxa"/>
            </w:tcMar>
          </w:tcPr>
          <w:p>
            <w:pPr>
              <w:spacing w:after="0"/>
            </w:pPr>
            <w:r>
              <w:rPr>
                <w:rFonts w:ascii="Calibri" w:hAnsi="Calibri"/>
                <w:b w:val="0"/>
                <w:i w:val="0"/>
                <w:color w:val="202124"/>
                <w:sz w:val="17"/>
              </w:rPr>
              <w:t>reports/generated/phase2_company_case_studies.csv</w:t>
            </w:r>
          </w:p>
        </w:tc>
        <w:tc>
          <w:tcPr>
            <w:tcW w:type="dxa" w:w="5760"/>
            <w:vAlign w:val="center"/>
            <w:tcMar>
              <w:top w:w="80" w:type="dxa"/>
              <w:bottom w:w="80" w:type="dxa"/>
              <w:start w:w="120" w:type="dxa"/>
              <w:end w:w="120" w:type="dxa"/>
            </w:tcMar>
          </w:tcPr>
          <w:p>
            <w:pPr>
              <w:spacing w:after="0"/>
            </w:pPr>
            <w:r>
              <w:rPr>
                <w:rFonts w:ascii="Calibri" w:hAnsi="Calibri"/>
                <w:b w:val="0"/>
                <w:i w:val="0"/>
                <w:color w:val="202124"/>
                <w:sz w:val="17"/>
              </w:rPr>
              <w:t>Selected TP, FP, and missed-event evidence</w:t>
            </w:r>
          </w:p>
        </w:tc>
      </w:tr>
      <w:tr>
        <w:tc>
          <w:tcPr>
            <w:tcW w:type="dxa" w:w="3600"/>
            <w:vAlign w:val="center"/>
            <w:tcMar>
              <w:top w:w="80" w:type="dxa"/>
              <w:bottom w:w="80" w:type="dxa"/>
              <w:start w:w="120" w:type="dxa"/>
              <w:end w:w="120" w:type="dxa"/>
            </w:tcMar>
          </w:tcPr>
          <w:p>
            <w:pPr>
              <w:spacing w:after="0"/>
            </w:pPr>
            <w:r>
              <w:rPr>
                <w:rFonts w:ascii="Calibri" w:hAnsi="Calibri"/>
                <w:b w:val="0"/>
                <w:i w:val="0"/>
                <w:color w:val="202124"/>
                <w:sz w:val="17"/>
              </w:rPr>
              <w:t>tests/</w:t>
            </w:r>
          </w:p>
        </w:tc>
        <w:tc>
          <w:tcPr>
            <w:tcW w:type="dxa" w:w="5760"/>
            <w:vAlign w:val="center"/>
            <w:tcMar>
              <w:top w:w="80" w:type="dxa"/>
              <w:bottom w:w="80" w:type="dxa"/>
              <w:start w:w="120" w:type="dxa"/>
              <w:end w:w="120" w:type="dxa"/>
            </w:tcMar>
          </w:tcPr>
          <w:p>
            <w:pPr>
              <w:spacing w:after="0"/>
            </w:pPr>
            <w:r>
              <w:rPr>
                <w:rFonts w:ascii="Calibri" w:hAnsi="Calibri"/>
                <w:b w:val="0"/>
                <w:i w:val="0"/>
                <w:color w:val="202124"/>
                <w:sz w:val="17"/>
              </w:rPr>
              <w:t>Unit, leakage, selection, sampling, and policy checks</w:t>
            </w:r>
          </w:p>
        </w:tc>
      </w:tr>
    </w:tbl>
    <w:p>
      <w:pPr>
        <w:spacing w:after="0"/>
      </w:pPr>
    </w:p>
    <w:p>
      <w:pPr>
        <w:pStyle w:val="Heading1"/>
        <w:keepNext/>
      </w:pPr>
      <w:r>
        <w:rPr>
          <w:rFonts w:ascii="Calibri" w:hAnsi="Calibri"/>
          <w:b/>
          <w:i w:val="0"/>
          <w:color w:val="17365D"/>
          <w:sz w:val="32"/>
        </w:rPr>
        <w:t>11. Conclusion</w:t>
      </w:r>
    </w:p>
    <w:p>
      <w:pPr>
        <w:spacing w:after="120" w:line="264" w:lineRule="auto"/>
      </w:pPr>
      <w:r>
        <w:rPr>
          <w:rFonts w:ascii="Calibri" w:hAnsi="Calibri"/>
          <w:b w:val="0"/>
          <w:i w:val="0"/>
          <w:color w:val="202124"/>
          <w:sz w:val="21"/>
        </w:rPr>
        <w:t>The project demonstrates a complete financial data-science workflow: point-in-time data engineering, economically interpretable labels and features, imbalance-aware evaluation, temporal cross-validation, fold-local preprocessing and feature selection, calibration, threshold optimization, uncertainty analysis, and case-level interpretation.</w:t>
      </w:r>
    </w:p>
    <w:p>
      <w:pPr>
        <w:spacing w:after="120" w:line="264" w:lineRule="auto"/>
      </w:pPr>
      <w:r>
        <w:rPr>
          <w:rFonts w:ascii="Calibri" w:hAnsi="Calibri"/>
          <w:b w:val="0"/>
          <w:i w:val="0"/>
          <w:color w:val="202124"/>
          <w:sz w:val="21"/>
        </w:rPr>
        <w:t>The empirical horizon test does not support replacing the four-quarter primary outcome. Two quarters reduces workload and produces probabilities with a lower Brier score, but it identifies a narrower and more immediate event, ranks those events less effectively, lowers precision, and cuts warning lead time. The defensible deployment concept is therefore a two-layer analyst screen: four quarters for medium-term deterioration and two quarters as an optional near-term sensitivity flag.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6"/>
      </w:rPr>
      <w:t>Phase 2 | Development evidence—not a final future test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val="0"/>
        <w:i w:val="0"/>
        <w:color w:val="667085"/>
        <w:sz w:val="17"/>
      </w:rPr>
      <w:t>Corporate Financial Deterioration | Phase 2 Research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