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jc w:val="center"/>
      </w:pPr>
      <w:r>
        <w:rPr>
          <w:rFonts w:ascii="Calibri" w:hAnsi="Calibri"/>
          <w:b/>
          <w:i w:val="0"/>
          <w:color w:val="D97706"/>
          <w:sz w:val="20"/>
        </w:rPr>
        <w:t>FINANCIAL RISK &amp; DATA SCIENCE RESEARCH</w:t>
      </w:r>
    </w:p>
    <w:p>
      <w:pPr>
        <w:spacing w:after="160"/>
        <w:jc w:val="center"/>
      </w:pPr>
      <w:r>
        <w:rPr>
          <w:rFonts w:ascii="Calibri" w:hAnsi="Calibri"/>
          <w:b/>
          <w:i w:val="0"/>
          <w:color w:val="17365D"/>
          <w:sz w:val="54"/>
        </w:rPr>
        <w:t>Corporate Financial Deterioration Early-Warning Platform</w:t>
      </w:r>
    </w:p>
    <w:p>
      <w:pPr>
        <w:spacing w:after="480"/>
        <w:jc w:val="center"/>
      </w:pPr>
      <w:r>
        <w:rPr>
          <w:rFonts w:ascii="Calibri" w:hAnsi="Calibri"/>
          <w:b w:val="0"/>
          <w:i w:val="0"/>
          <w:color w:val="2E75B6"/>
          <w:sz w:val="26"/>
        </w:rPr>
        <w:t>A point-in-time, experimentally governed study of debt-service capacity across Consumer Discretionary and Utilities issuers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shd w:fill="EAF1F8"/>
            <w:vAlign w:val="center"/>
            <w:tcMar>
              <w:top w:w="80" w:type="dxa"/>
              <w:bottom w:w="80" w:type="dxa"/>
              <w:start w:w="120" w:type="dxa"/>
              <w:end w:w="120" w:type="dxa"/>
            </w:tcMar>
          </w:tcPr>
          <w:p>
            <w:pPr>
              <w:spacing w:after="0"/>
            </w:pPr>
            <w:r>
              <w:rPr>
                <w:rFonts w:ascii="Calibri" w:hAnsi="Calibri"/>
                <w:b/>
                <w:i w:val="0"/>
                <w:color w:val="17365D"/>
                <w:sz w:val="18"/>
              </w:rPr>
              <w:t>Research design</w:t>
            </w:r>
          </w:p>
        </w:tc>
        <w:tc>
          <w:tcPr>
            <w:tcW w:type="dxa" w:w="3120"/>
            <w:shd w:fill="EAF1F8"/>
            <w:vAlign w:val="center"/>
            <w:tcMar>
              <w:top w:w="80" w:type="dxa"/>
              <w:bottom w:w="80" w:type="dxa"/>
              <w:start w:w="120" w:type="dxa"/>
              <w:end w:w="120" w:type="dxa"/>
            </w:tcMar>
          </w:tcPr>
          <w:p>
            <w:pPr>
              <w:spacing w:after="0"/>
            </w:pPr>
            <w:r>
              <w:rPr>
                <w:rFonts w:ascii="Calibri" w:hAnsi="Calibri"/>
                <w:b/>
                <w:i w:val="0"/>
                <w:color w:val="17365D"/>
                <w:sz w:val="18"/>
              </w:rPr>
              <w:t>Coverage</w:t>
            </w:r>
          </w:p>
        </w:tc>
        <w:tc>
          <w:tcPr>
            <w:tcW w:type="dxa" w:w="3120"/>
            <w:shd w:fill="EAF1F8"/>
            <w:vAlign w:val="center"/>
            <w:tcMar>
              <w:top w:w="80" w:type="dxa"/>
              <w:bottom w:w="80" w:type="dxa"/>
              <w:start w:w="120" w:type="dxa"/>
              <w:end w:w="120" w:type="dxa"/>
            </w:tcMar>
          </w:tcPr>
          <w:p>
            <w:pPr>
              <w:spacing w:after="0"/>
            </w:pPr>
            <w:r>
              <w:rPr>
                <w:rFonts w:ascii="Calibri" w:hAnsi="Calibri"/>
                <w:b/>
                <w:i w:val="0"/>
                <w:color w:val="17365D"/>
                <w:sz w:val="18"/>
              </w:rPr>
              <w:t>Decision use</w:t>
            </w:r>
          </w:p>
        </w:tc>
      </w:tr>
      <w:tr>
        <w:tc>
          <w:tcPr>
            <w:tcW w:type="dxa" w:w="3120"/>
            <w:vAlign w:val="center"/>
            <w:tcMar>
              <w:top w:w="80" w:type="dxa"/>
              <w:bottom w:w="80" w:type="dxa"/>
              <w:start w:w="120" w:type="dxa"/>
              <w:end w:w="120" w:type="dxa"/>
            </w:tcMar>
          </w:tcPr>
          <w:p>
            <w:pPr>
              <w:spacing w:after="0"/>
            </w:pPr>
            <w:r>
              <w:rPr>
                <w:rFonts w:ascii="Calibri" w:hAnsi="Calibri"/>
                <w:b w:val="0"/>
                <w:i w:val="0"/>
                <w:color w:val="202124"/>
                <w:sz w:val="17"/>
              </w:rPr>
              <w:t>Expanding-window validation with locked holdout</w:t>
            </w:r>
          </w:p>
        </w:tc>
        <w:tc>
          <w:tcPr>
            <w:tcW w:type="dxa" w:w="3120"/>
            <w:vAlign w:val="center"/>
            <w:tcMar>
              <w:top w:w="80" w:type="dxa"/>
              <w:bottom w:w="80" w:type="dxa"/>
              <w:start w:w="120" w:type="dxa"/>
              <w:end w:w="120" w:type="dxa"/>
            </w:tcMar>
          </w:tcPr>
          <w:p>
            <w:pPr>
              <w:spacing w:after="0"/>
            </w:pPr>
            <w:r>
              <w:rPr>
                <w:rFonts w:ascii="Calibri" w:hAnsi="Calibri"/>
                <w:b w:val="0"/>
                <w:i w:val="0"/>
                <w:color w:val="202124"/>
                <w:sz w:val="17"/>
              </w:rPr>
              <w:t>60 issuers | 3,150 company-quarters</w:t>
            </w:r>
          </w:p>
        </w:tc>
        <w:tc>
          <w:tcPr>
            <w:tcW w:type="dxa" w:w="3120"/>
            <w:vAlign w:val="center"/>
            <w:tcMar>
              <w:top w:w="80" w:type="dxa"/>
              <w:bottom w:w="80" w:type="dxa"/>
              <w:start w:w="120" w:type="dxa"/>
              <w:end w:w="120" w:type="dxa"/>
            </w:tcMar>
          </w:tcPr>
          <w:p>
            <w:pPr>
              <w:spacing w:after="0"/>
            </w:pPr>
            <w:r>
              <w:rPr>
                <w:rFonts w:ascii="Calibri" w:hAnsi="Calibri"/>
                <w:b w:val="0"/>
                <w:i w:val="0"/>
                <w:color w:val="202124"/>
                <w:sz w:val="17"/>
              </w:rPr>
              <w:t>Analyst prioritization and surveillance</w:t>
            </w:r>
          </w:p>
        </w:tc>
      </w:tr>
    </w:tbl>
    <w:p>
      <w:pPr>
        <w:spacing w:after="0"/>
      </w:pPr>
    </w:p>
    <w:p>
      <w:pPr>
        <w:spacing w:before="1800"/>
        <w:jc w:val="center"/>
      </w:pPr>
      <w:r>
        <w:rPr>
          <w:rFonts w:ascii="Calibri" w:hAnsi="Calibri"/>
          <w:b w:val="0"/>
          <w:i w:val="0"/>
          <w:color w:val="667085"/>
          <w:sz w:val="20"/>
        </w:rPr>
        <w:t>Phase 1 publication report | Data snapshot 10 December 2024 | Prepared 5 August 2026</w:t>
      </w:r>
    </w:p>
    <w:p>
      <w:r>
        <w:br w:type="page"/>
      </w:r>
    </w:p>
    <w:p>
      <w:pPr>
        <w:pStyle w:val="Heading1"/>
        <w:keepNext/>
      </w:pPr>
      <w:r>
        <w:rPr>
          <w:rFonts w:ascii="Calibri" w:hAnsi="Calibri"/>
          <w:b/>
          <w:i w:val="0"/>
          <w:color w:val="17365D"/>
          <w:sz w:val="32"/>
        </w:rPr>
        <w:t>Executive summary</w:t>
      </w:r>
    </w:p>
    <w:p>
      <w:pPr>
        <w:spacing w:after="120" w:line="264" w:lineRule="auto"/>
      </w:pPr>
      <w:r>
        <w:rPr>
          <w:rFonts w:ascii="Calibri" w:hAnsi="Calibri"/>
          <w:b/>
          <w:i w:val="0"/>
          <w:color w:val="17365D"/>
          <w:sz w:val="21"/>
        </w:rPr>
        <w:t>Research objective.</w:t>
      </w:r>
      <w:r>
        <w:rPr>
          <w:rFonts w:ascii="Calibri" w:hAnsi="Calibri"/>
          <w:b w:val="0"/>
          <w:i w:val="0"/>
          <w:color w:val="202124"/>
          <w:sz w:val="21"/>
        </w:rPr>
        <w:t xml:space="preserve"> This study tests whether filing-aware public fundamentals and macroeconomic data can identify weakening debt-service capacity over the subsequent four fiscal quarters. The output is a ranked early-warning estimate for analyst triage; it is explicitly not a bankruptcy, default, valuation, or investment-recommendation model.</w:t>
      </w:r>
    </w:p>
    <w:p>
      <w:pPr>
        <w:spacing w:after="120" w:line="264" w:lineRule="auto"/>
      </w:pPr>
      <w:r>
        <w:rPr>
          <w:rFonts w:ascii="Calibri" w:hAnsi="Calibri"/>
          <w:b/>
          <w:i w:val="0"/>
          <w:color w:val="17365D"/>
          <w:sz w:val="21"/>
        </w:rPr>
        <w:t>Experimental design.</w:t>
      </w:r>
      <w:r>
        <w:rPr>
          <w:rFonts w:ascii="Calibri" w:hAnsi="Calibri"/>
          <w:b w:val="0"/>
          <w:i w:val="0"/>
          <w:color w:val="202124"/>
          <w:sz w:val="21"/>
        </w:rPr>
        <w:t xml:space="preserve"> A frozen universe of 60 currently listed U.S. issuers (30 per sector) was observed at company-fiscal-quarter frequency. SEC fundamentals were normalized across issuer calendars and XBRL concepts, macro variables were joined under historical-availability rules, and all model selection used expanding-window out-of-fold predictions with label-availability embargoes. A 2023+ period was held untouched until the champion specification was frozen.</w:t>
      </w:r>
    </w:p>
    <w:p>
      <w:pPr>
        <w:spacing w:after="120" w:line="264" w:lineRule="auto"/>
      </w:pPr>
      <w:r>
        <w:rPr>
          <w:rFonts w:ascii="Calibri" w:hAnsi="Calibri"/>
          <w:b/>
          <w:i w:val="0"/>
          <w:color w:val="17365D"/>
          <w:sz w:val="21"/>
        </w:rPr>
        <w:t>Principal result.</w:t>
      </w:r>
      <w:r>
        <w:rPr>
          <w:rFonts w:ascii="Calibri" w:hAnsi="Calibri"/>
          <w:b w:val="0"/>
          <w:i w:val="0"/>
          <w:color w:val="202124"/>
          <w:sz w:val="21"/>
        </w:rPr>
        <w:t xml:space="preserve"> The gradient-boosted champion produced 0.397 PR-AUC, 0.563 recall, 0.333 precision, 1.966 top-decile lift, and 0.159 Brier score on 457 locked-holdout observations. Consumer Discretionary generalized better than Utilities (PR-AUC 0.468 versus 0.332), indicating economically meaningful sector heterogeneity and a need for expanded sector-specific validation.</w:t>
      </w:r>
    </w:p>
    <w:p>
      <w:pPr>
        <w:spacing w:after="120" w:line="264" w:lineRule="auto"/>
      </w:pPr>
      <w:r>
        <w:rPr>
          <w:rFonts w:ascii="Calibri" w:hAnsi="Calibri"/>
          <w:b/>
          <w:i w:val="0"/>
          <w:color w:val="17365D"/>
          <w:sz w:val="21"/>
        </w:rPr>
        <w:t>Portfolio finding.</w:t>
      </w:r>
      <w:r>
        <w:rPr>
          <w:rFonts w:ascii="Calibri" w:hAnsi="Calibri"/>
          <w:b w:val="0"/>
          <w:i w:val="0"/>
          <w:color w:val="202124"/>
          <w:sz w:val="21"/>
        </w:rPr>
        <w:t xml:space="preserve"> At the latest evaluated company snapshot, 22 of 60 firms were alerted, 6 were classified Severe, and mean estimated deterioration risk was 28.13%. Both sectors recorded 11 alerts, but Utilities displayed weaker median interest coverage (2.62x), negative median free-cash-flow margin (-16.39%), and higher debt-to-assets (38.18%) than Consumer Discretionary.</w:t>
      </w:r>
    </w:p>
    <w:p>
      <w:pPr>
        <w:spacing w:after="120" w:line="264" w:lineRule="auto"/>
      </w:pPr>
      <w:r>
        <w:rPr>
          <w:rFonts w:ascii="Calibri" w:hAnsi="Calibri"/>
          <w:b/>
          <w:i w:val="0"/>
          <w:color w:val="17365D"/>
          <w:sz w:val="21"/>
        </w:rPr>
        <w:t>Research judgment.</w:t>
      </w:r>
      <w:r>
        <w:rPr>
          <w:rFonts w:ascii="Calibri" w:hAnsi="Calibri"/>
          <w:b w:val="0"/>
          <w:i w:val="0"/>
          <w:color w:val="202124"/>
          <w:sz w:val="21"/>
        </w:rPr>
        <w:t xml:space="preserve"> The evidence supports use as a transparent screening layer when alerts are paired with company history, forecast uncertainty, sector context, and human review. It does not support automated credit decisions or population-level default inference.</w:t>
      </w:r>
    </w:p>
    <w:p>
      <w:pPr>
        <w:keepNext/>
        <w:jc w:val="center"/>
      </w:pPr>
      <w:r>
        <w:drawing>
          <wp:inline xmlns:a="http://schemas.openxmlformats.org/drawingml/2006/main" xmlns:pic="http://schemas.openxmlformats.org/drawingml/2006/picture">
            <wp:extent cx="5760720" cy="2950613"/>
            <wp:docPr id="1" name="Picture 1"/>
            <wp:cNvGraphicFramePr>
              <a:graphicFrameLocks noChangeAspect="1"/>
            </wp:cNvGraphicFramePr>
            <a:graphic>
              <a:graphicData uri="http://schemas.openxmlformats.org/drawingml/2006/picture">
                <pic:pic>
                  <pic:nvPicPr>
                    <pic:cNvPr id="0" name="risk_band_by_sector.png"/>
                    <pic:cNvPicPr/>
                  </pic:nvPicPr>
                  <pic:blipFill>
                    <a:blip r:embed="rId11"/>
                    <a:stretch>
                      <a:fillRect/>
                    </a:stretch>
                  </pic:blipFill>
                  <pic:spPr>
                    <a:xfrm>
                      <a:off x="0" y="0"/>
                      <a:ext cx="5760720" cy="2950613"/>
                    </a:xfrm>
                    <a:prstGeom prst="rect"/>
                  </pic:spPr>
                </pic:pic>
              </a:graphicData>
            </a:graphic>
          </wp:inline>
        </w:drawing>
      </w:r>
    </w:p>
    <w:p>
      <w:pPr>
        <w:spacing w:after="160"/>
        <w:jc w:val="center"/>
      </w:pPr>
      <w:r>
        <w:rPr>
          <w:rFonts w:ascii="Calibri" w:hAnsi="Calibri"/>
          <w:b w:val="0"/>
          <w:i/>
          <w:color w:val="667085"/>
          <w:sz w:val="17"/>
        </w:rPr>
        <w:t>Figure 1. Latest evaluated risk-band distribution. Source: certified Phase 1 analysis workbook.</w:t>
      </w:r>
    </w:p>
    <w:p>
      <w:pPr>
        <w:pStyle w:val="Heading1"/>
        <w:keepNext/>
      </w:pPr>
      <w:r>
        <w:rPr>
          <w:rFonts w:ascii="Calibri" w:hAnsi="Calibri"/>
          <w:b/>
          <w:i w:val="0"/>
          <w:color w:val="17365D"/>
          <w:sz w:val="32"/>
        </w:rPr>
        <w:t>1. Research question and experimental hypotheses</w:t>
      </w:r>
    </w:p>
    <w:p>
      <w:pPr>
        <w:spacing w:after="120" w:line="264" w:lineRule="auto"/>
      </w:pPr>
      <w:r>
        <w:rPr>
          <w:rFonts w:ascii="Calibri" w:hAnsi="Calibri"/>
          <w:b w:val="0"/>
          <w:i w:val="0"/>
          <w:color w:val="202124"/>
          <w:sz w:val="21"/>
        </w:rPr>
        <w:t>The primary question is whether changes in interest coverage, cash generation, leverage, peer position, forecasted financial ratios, and economic conditions contain useful information about future debt-service deterioration. Each observation represents one company at one quarterly decision date, using only information available at that time. The study measures how well the model ranks and estimates risk; it does not attempt to prove that any feature causes deterioration.</w:t>
      </w:r>
    </w:p>
    <w:tbl>
      <w:tblPr>
        <w:tblStyle w:val="TableGrid"/>
        <w:tblW w:type="dxa" w:w="9360"/>
        <w:jc w:val="left"/>
        <w:tblLayout w:type="fixed"/>
        <w:tblLook w:firstColumn="1" w:firstRow="1" w:lastColumn="0" w:lastRow="0" w:noHBand="0" w:noVBand="1" w:val="04A0"/>
        <w:tblInd w:w="120" w:type="dxa"/>
      </w:tblPr>
      <w:tblGrid>
        <w:gridCol w:w="1800"/>
        <w:gridCol w:w="4200"/>
        <w:gridCol w:w="3360"/>
      </w:tblGrid>
      <w:tr>
        <w:tc>
          <w:tcPr>
            <w:tcW w:type="dxa" w:w="1800"/>
            <w:shd w:fill="EAF1F8"/>
            <w:vAlign w:val="center"/>
            <w:tcMar>
              <w:top w:w="80" w:type="dxa"/>
              <w:bottom w:w="80" w:type="dxa"/>
              <w:start w:w="120" w:type="dxa"/>
              <w:end w:w="120" w:type="dxa"/>
            </w:tcMar>
          </w:tcPr>
          <w:p>
            <w:pPr>
              <w:spacing w:after="0"/>
            </w:pPr>
            <w:r>
              <w:rPr>
                <w:rFonts w:ascii="Calibri" w:hAnsi="Calibri"/>
                <w:b/>
                <w:i w:val="0"/>
                <w:color w:val="17365D"/>
                <w:sz w:val="18"/>
              </w:rPr>
              <w:t>Hypothesis</w:t>
            </w:r>
          </w:p>
        </w:tc>
        <w:tc>
          <w:tcPr>
            <w:tcW w:type="dxa" w:w="4200"/>
            <w:shd w:fill="EAF1F8"/>
            <w:vAlign w:val="center"/>
            <w:tcMar>
              <w:top w:w="80" w:type="dxa"/>
              <w:bottom w:w="80" w:type="dxa"/>
              <w:start w:w="120" w:type="dxa"/>
              <w:end w:w="120" w:type="dxa"/>
            </w:tcMar>
          </w:tcPr>
          <w:p>
            <w:pPr>
              <w:spacing w:after="0"/>
            </w:pPr>
            <w:r>
              <w:rPr>
                <w:rFonts w:ascii="Calibri" w:hAnsi="Calibri"/>
                <w:b/>
                <w:i w:val="0"/>
                <w:color w:val="17365D"/>
                <w:sz w:val="18"/>
              </w:rPr>
              <w:t>Empirical test</w:t>
            </w:r>
          </w:p>
        </w:tc>
        <w:tc>
          <w:tcPr>
            <w:tcW w:type="dxa" w:w="3360"/>
            <w:shd w:fill="EAF1F8"/>
            <w:vAlign w:val="center"/>
            <w:tcMar>
              <w:top w:w="80" w:type="dxa"/>
              <w:bottom w:w="80" w:type="dxa"/>
              <w:start w:w="120" w:type="dxa"/>
              <w:end w:w="120" w:type="dxa"/>
            </w:tcMar>
          </w:tcPr>
          <w:p>
            <w:pPr>
              <w:spacing w:after="0"/>
            </w:pPr>
            <w:r>
              <w:rPr>
                <w:rFonts w:ascii="Calibri" w:hAnsi="Calibri"/>
                <w:b/>
                <w:i w:val="0"/>
                <w:color w:val="17365D"/>
                <w:sz w:val="18"/>
              </w:rPr>
              <w:t>Decision criterion</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H1: combining signals improves ranking</w:t>
            </w:r>
          </w:p>
        </w:tc>
        <w:tc>
          <w:tcPr>
            <w:tcW w:type="dxa" w:w="4200"/>
            <w:vAlign w:val="center"/>
            <w:tcMar>
              <w:top w:w="80" w:type="dxa"/>
              <w:bottom w:w="80" w:type="dxa"/>
              <w:start w:w="120" w:type="dxa"/>
              <w:end w:w="120" w:type="dxa"/>
            </w:tcMar>
          </w:tcPr>
          <w:p>
            <w:pPr>
              <w:spacing w:after="0"/>
            </w:pPr>
            <w:r>
              <w:rPr>
                <w:rFonts w:ascii="Calibri" w:hAnsi="Calibri"/>
                <w:b w:val="0"/>
                <w:i w:val="0"/>
                <w:color w:val="202124"/>
                <w:sz w:val="17"/>
              </w:rPr>
              <w:t>Compare planned feature groups using time-ordered, out-of-sample PR-AUC</w:t>
            </w:r>
          </w:p>
        </w:tc>
        <w:tc>
          <w:tcPr>
            <w:tcW w:type="dxa" w:w="3360"/>
            <w:vAlign w:val="center"/>
            <w:tcMar>
              <w:top w:w="80" w:type="dxa"/>
              <w:bottom w:w="80" w:type="dxa"/>
              <w:start w:w="120" w:type="dxa"/>
              <w:end w:w="120" w:type="dxa"/>
            </w:tcMar>
          </w:tcPr>
          <w:p>
            <w:pPr>
              <w:spacing w:after="0"/>
            </w:pPr>
            <w:r>
              <w:rPr>
                <w:rFonts w:ascii="Calibri" w:hAnsi="Calibri"/>
                <w:b w:val="0"/>
                <w:i w:val="0"/>
                <w:color w:val="202124"/>
                <w:sz w:val="17"/>
              </w:rPr>
              <w:t>Improvement must persist across time periods and sectors</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H2: forecasts add forward-looking information</w:t>
            </w:r>
          </w:p>
        </w:tc>
        <w:tc>
          <w:tcPr>
            <w:tcW w:type="dxa" w:w="4200"/>
            <w:vAlign w:val="center"/>
            <w:tcMar>
              <w:top w:w="80" w:type="dxa"/>
              <w:bottom w:w="80" w:type="dxa"/>
              <w:start w:w="120" w:type="dxa"/>
              <w:end w:w="120" w:type="dxa"/>
            </w:tcMar>
          </w:tcPr>
          <w:p>
            <w:pPr>
              <w:spacing w:after="0"/>
            </w:pPr>
            <w:r>
              <w:rPr>
                <w:rFonts w:ascii="Calibri" w:hAnsi="Calibri"/>
                <w:b w:val="0"/>
                <w:i w:val="0"/>
                <w:color w:val="202124"/>
                <w:sz w:val="17"/>
              </w:rPr>
              <w:t>Add 1Q/4Q KPI forecasts built without future information</w:t>
            </w:r>
          </w:p>
        </w:tc>
        <w:tc>
          <w:tcPr>
            <w:tcW w:type="dxa" w:w="3360"/>
            <w:vAlign w:val="center"/>
            <w:tcMar>
              <w:top w:w="80" w:type="dxa"/>
              <w:bottom w:w="80" w:type="dxa"/>
              <w:start w:w="120" w:type="dxa"/>
              <w:end w:w="120" w:type="dxa"/>
            </w:tcMar>
          </w:tcPr>
          <w:p>
            <w:pPr>
              <w:spacing w:after="0"/>
            </w:pPr>
            <w:r>
              <w:rPr>
                <w:rFonts w:ascii="Calibri" w:hAnsi="Calibri"/>
                <w:b w:val="0"/>
                <w:i w:val="0"/>
                <w:color w:val="202124"/>
                <w:sz w:val="17"/>
              </w:rPr>
              <w:t>Added value must appear before the final test period</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H3: performance is regime- and sector-sensitive</w:t>
            </w:r>
          </w:p>
        </w:tc>
        <w:tc>
          <w:tcPr>
            <w:tcW w:type="dxa" w:w="4200"/>
            <w:vAlign w:val="center"/>
            <w:tcMar>
              <w:top w:w="80" w:type="dxa"/>
              <w:bottom w:w="80" w:type="dxa"/>
              <w:start w:w="120" w:type="dxa"/>
              <w:end w:w="120" w:type="dxa"/>
            </w:tcMar>
          </w:tcPr>
          <w:p>
            <w:pPr>
              <w:spacing w:after="0"/>
            </w:pPr>
            <w:r>
              <w:rPr>
                <w:rFonts w:ascii="Calibri" w:hAnsi="Calibri"/>
                <w:b w:val="0"/>
                <w:i w:val="0"/>
                <w:color w:val="202124"/>
                <w:sz w:val="17"/>
              </w:rPr>
              <w:t>Report fold, sector, calibration, and final-holdout slices</w:t>
            </w:r>
          </w:p>
        </w:tc>
        <w:tc>
          <w:tcPr>
            <w:tcW w:type="dxa" w:w="3360"/>
            <w:vAlign w:val="center"/>
            <w:tcMar>
              <w:top w:w="80" w:type="dxa"/>
              <w:bottom w:w="80" w:type="dxa"/>
              <w:start w:w="120" w:type="dxa"/>
              <w:end w:w="120" w:type="dxa"/>
            </w:tcMar>
          </w:tcPr>
          <w:p>
            <w:pPr>
              <w:spacing w:after="0"/>
            </w:pPr>
            <w:r>
              <w:rPr>
                <w:rFonts w:ascii="Calibri" w:hAnsi="Calibri"/>
                <w:b w:val="0"/>
                <w:i w:val="0"/>
                <w:color w:val="202124"/>
                <w:sz w:val="17"/>
              </w:rPr>
              <w:t>No pooled metric may conceal weak subgroups</w:t>
            </w:r>
          </w:p>
        </w:tc>
      </w:tr>
    </w:tbl>
    <w:p>
      <w:pPr>
        <w:spacing w:after="0"/>
      </w:pPr>
    </w:p>
    <w:p>
      <w:pPr>
        <w:spacing w:after="120" w:line="264" w:lineRule="auto"/>
      </w:pPr>
      <w:r>
        <w:rPr>
          <w:rFonts w:ascii="Calibri" w:hAnsi="Calibri"/>
          <w:b w:val="0"/>
          <w:i w:val="0"/>
          <w:color w:val="202124"/>
          <w:sz w:val="21"/>
        </w:rPr>
        <w:t>This is an observational prediction study. Feature importance therefore shows which variables helped the model make predictions after considering the other inputs. It does not prove that changing a balance-sheet item would cause the company's risk to rise or fall.</w:t>
      </w:r>
    </w:p>
    <w:p>
      <w:pPr>
        <w:pStyle w:val="Heading1"/>
        <w:keepNext/>
      </w:pPr>
      <w:r>
        <w:rPr>
          <w:rFonts w:ascii="Calibri" w:hAnsi="Calibri"/>
          <w:b/>
          <w:i w:val="0"/>
          <w:color w:val="17365D"/>
          <w:sz w:val="32"/>
        </w:rPr>
        <w:t>2. Data architecture and point-in-time research controls</w:t>
      </w:r>
    </w:p>
    <w:p>
      <w:pPr>
        <w:spacing w:after="120" w:line="264" w:lineRule="auto"/>
      </w:pPr>
      <w:r>
        <w:rPr>
          <w:rFonts w:ascii="Calibri" w:hAnsi="Calibri"/>
          <w:b w:val="0"/>
          <w:i w:val="0"/>
          <w:color w:val="202124"/>
          <w:sz w:val="21"/>
        </w:rPr>
        <w:t>Source selection. SEC EDGAR supplies public company financial statements and filing dates, while FRED/ALFRED supplies economic data such as interest rates and business-cycle measures. These public sources make the analysis easier to verify and reproduce at low cost, but they also create data challenges. Companies may use different SEC tags or labels for the same financial concept, filings become available at different times, previously published values may later be revised, and the dataset contains relatively few severely distressed companies. Every download is therefore recorded in a tracking file that identifies the source, download settings, retrieval time, file-integrity check, and software version.</w:t>
      </w:r>
    </w:p>
    <w:p>
      <w:pPr>
        <w:spacing w:after="120" w:line="264" w:lineRule="auto"/>
      </w:pPr>
      <w:r>
        <w:rPr>
          <w:rFonts w:ascii="Calibri" w:hAnsi="Calibri"/>
          <w:b w:val="0"/>
          <w:i w:val="0"/>
          <w:color w:val="202124"/>
          <w:sz w:val="21"/>
        </w:rPr>
        <w:t>Panel construction. SEC XBRL tags were mapped to consistent financial concepts and aligned to each company's fiscal quarters. Filing and availability dates were retained so the model could not use a number before it became public. This point-in-time rule is important because joining everything by calendar quarter can accidentally introduce future information. The final history contains 3,150 unique company-quarter decision records.</w:t>
      </w:r>
    </w:p>
    <w:p>
      <w:pPr>
        <w:spacing w:after="120" w:line="264" w:lineRule="auto"/>
      </w:pPr>
      <w:r>
        <w:rPr>
          <w:rFonts w:ascii="Calibri" w:hAnsi="Calibri"/>
          <w:b w:val="0"/>
          <w:i w:val="0"/>
          <w:color w:val="202124"/>
          <w:sz w:val="21"/>
        </w:rPr>
        <w:t>Universe controls. Eligibility required coverage of interest coverage, free-cash-flow margin, and debt-to-assets with continuity and denominator checks. Fourteen sampled firms were replaced under prespecified rules. This creates a cleaner experiment but induces survivorship and availability bias; those biases are disclosed rather than hidden in aggregate performance.</w:t>
      </w:r>
    </w:p>
    <w:tbl>
      <w:tblPr>
        <w:tblStyle w:val="TableGrid"/>
        <w:tblW w:type="dxa" w:w="9360"/>
        <w:jc w:val="left"/>
        <w:tblLayout w:type="fixed"/>
        <w:tblLook w:firstColumn="1" w:firstRow="1" w:lastColumn="0" w:lastRow="0" w:noHBand="0" w:noVBand="1" w:val="04A0"/>
        <w:tblInd w:w="120" w:type="dxa"/>
      </w:tblPr>
      <w:tblGrid>
        <w:gridCol w:w="1800"/>
        <w:gridCol w:w="2700"/>
        <w:gridCol w:w="4860"/>
      </w:tblGrid>
      <w:tr>
        <w:tc>
          <w:tcPr>
            <w:tcW w:type="dxa" w:w="1800"/>
            <w:shd w:fill="EAF1F8"/>
            <w:vAlign w:val="center"/>
            <w:tcMar>
              <w:top w:w="80" w:type="dxa"/>
              <w:bottom w:w="80" w:type="dxa"/>
              <w:start w:w="120" w:type="dxa"/>
              <w:end w:w="120" w:type="dxa"/>
            </w:tcMar>
          </w:tcPr>
          <w:p>
            <w:pPr>
              <w:spacing w:after="0"/>
            </w:pPr>
            <w:r>
              <w:rPr>
                <w:rFonts w:ascii="Calibri" w:hAnsi="Calibri"/>
                <w:b/>
                <w:i w:val="0"/>
                <w:color w:val="17365D"/>
                <w:sz w:val="18"/>
              </w:rPr>
              <w:t>Analytical layer</w:t>
            </w:r>
          </w:p>
        </w:tc>
        <w:tc>
          <w:tcPr>
            <w:tcW w:type="dxa" w:w="2700"/>
            <w:shd w:fill="EAF1F8"/>
            <w:vAlign w:val="center"/>
            <w:tcMar>
              <w:top w:w="80" w:type="dxa"/>
              <w:bottom w:w="80" w:type="dxa"/>
              <w:start w:w="120" w:type="dxa"/>
              <w:end w:w="120" w:type="dxa"/>
            </w:tcMar>
          </w:tcPr>
          <w:p>
            <w:pPr>
              <w:spacing w:after="0"/>
            </w:pPr>
            <w:r>
              <w:rPr>
                <w:rFonts w:ascii="Calibri" w:hAnsi="Calibri"/>
                <w:b/>
                <w:i w:val="0"/>
                <w:color w:val="17365D"/>
                <w:sz w:val="18"/>
              </w:rPr>
              <w:t>Method choice</w:t>
            </w:r>
          </w:p>
        </w:tc>
        <w:tc>
          <w:tcPr>
            <w:tcW w:type="dxa" w:w="4860"/>
            <w:shd w:fill="EAF1F8"/>
            <w:vAlign w:val="center"/>
            <w:tcMar>
              <w:top w:w="80" w:type="dxa"/>
              <w:bottom w:w="80" w:type="dxa"/>
              <w:start w:w="120" w:type="dxa"/>
              <w:end w:w="120" w:type="dxa"/>
            </w:tcMar>
          </w:tcPr>
          <w:p>
            <w:pPr>
              <w:spacing w:after="0"/>
            </w:pPr>
            <w:r>
              <w:rPr>
                <w:rFonts w:ascii="Calibri" w:hAnsi="Calibri"/>
                <w:b/>
                <w:i w:val="0"/>
                <w:color w:val="17365D"/>
                <w:sz w:val="18"/>
              </w:rPr>
              <w:t>Why the method fits financial data</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Accounting normalization</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Concept mapping plus fiscal-period standardization</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Issuer taxonomies and fiscal calendars are nonuniform; economic definitions must be aligned before cross-sectional comparison.</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Point-in-time join</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Use each value only after its public availability date</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Prevents the model from learning from late filings, later revisions, or future outcomes.</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Peer context</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Within-sector percentile ranks</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Financial ratios are structurally sector-dependent; peer ranks reduce misleading level comparisons.</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Missing values</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Preserve valid blanks; estimate replacements within each training window</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Replacing every blank with zero creates false financial values, while using the full dataset would leak future information.</w:t>
            </w:r>
          </w:p>
        </w:tc>
      </w:tr>
    </w:tbl>
    <w:p>
      <w:pPr>
        <w:spacing w:after="0"/>
      </w:pPr>
    </w:p>
    <w:p>
      <w:pPr>
        <w:pStyle w:val="Heading1"/>
        <w:keepNext/>
      </w:pPr>
      <w:r>
        <w:rPr>
          <w:rFonts w:ascii="Calibri" w:hAnsi="Calibri"/>
          <w:b/>
          <w:i w:val="0"/>
          <w:color w:val="17365D"/>
          <w:sz w:val="32"/>
        </w:rPr>
        <w:t>3. Financial constructs, label design, and measurement validity</w:t>
      </w:r>
    </w:p>
    <w:p>
      <w:pPr>
        <w:spacing w:after="120" w:line="264" w:lineRule="auto"/>
      </w:pPr>
      <w:r>
        <w:rPr>
          <w:rFonts w:ascii="Calibri" w:hAnsi="Calibri"/>
          <w:b w:val="0"/>
          <w:i w:val="0"/>
          <w:color w:val="202124"/>
          <w:sz w:val="21"/>
        </w:rPr>
        <w:t>Interest coverage is the central debt-service construct because it compares operating earnings with interest burden. Free-cash-flow margin measures internally generated liquidity after investment needs. Debt-to-assets represents balance-sheet leverage and creditor claim intensity. The three measures are complementary: coverage captures service capacity, cash flow captures funding resilience, and leverage captures structural exposure.</w:t>
      </w:r>
    </w:p>
    <w:p>
      <w:pPr>
        <w:spacing w:after="120" w:line="264" w:lineRule="auto"/>
      </w:pPr>
      <w:r>
        <w:rPr>
          <w:rFonts w:ascii="Calibri" w:hAnsi="Calibri"/>
          <w:b w:val="0"/>
          <w:i w:val="0"/>
          <w:color w:val="202124"/>
          <w:sz w:val="21"/>
        </w:rPr>
        <w:t>A deterioration event occurs when interest coverage falls below 1.5x and declines by at least 40% from its current level within the next four quarters. Requiring both conditions avoids treating a small decline from a strong starting point as a serious warning. Because neighboring quarters share part of the same four-quarter future window, the observations are related over time rather than fully independent.</w:t>
      </w:r>
    </w:p>
    <w:p>
      <w:pPr>
        <w:keepNext/>
        <w:jc w:val="center"/>
      </w:pPr>
      <w:r>
        <w:drawing>
          <wp:inline xmlns:a="http://schemas.openxmlformats.org/drawingml/2006/main" xmlns:pic="http://schemas.openxmlformats.org/drawingml/2006/picture">
            <wp:extent cx="5760720" cy="2400300"/>
            <wp:docPr id="2" name="Picture 2"/>
            <wp:cNvGraphicFramePr>
              <a:graphicFrameLocks noChangeAspect="1"/>
            </wp:cNvGraphicFramePr>
            <a:graphic>
              <a:graphicData uri="http://schemas.openxmlformats.org/drawingml/2006/picture">
                <pic:pic>
                  <pic:nvPicPr>
                    <pic:cNvPr id="0" name="sector_kpi_comparison.png"/>
                    <pic:cNvPicPr/>
                  </pic:nvPicPr>
                  <pic:blipFill>
                    <a:blip r:embed="rId12"/>
                    <a:stretch>
                      <a:fillRect/>
                    </a:stretch>
                  </pic:blipFill>
                  <pic:spPr>
                    <a:xfrm>
                      <a:off x="0" y="0"/>
                      <a:ext cx="5760720" cy="2400300"/>
                    </a:xfrm>
                    <a:prstGeom prst="rect"/>
                  </pic:spPr>
                </pic:pic>
              </a:graphicData>
            </a:graphic>
          </wp:inline>
        </w:drawing>
      </w:r>
    </w:p>
    <w:p>
      <w:pPr>
        <w:spacing w:after="160"/>
        <w:jc w:val="center"/>
      </w:pPr>
      <w:r>
        <w:rPr>
          <w:rFonts w:ascii="Calibri" w:hAnsi="Calibri"/>
          <w:b w:val="0"/>
          <w:i/>
          <w:color w:val="667085"/>
          <w:sz w:val="17"/>
        </w:rPr>
        <w:t>Figure 2. Latest sector medians use separate axes because coverage is a multiple while margin and leverage are percentages.</w:t>
      </w:r>
    </w:p>
    <w:p>
      <w:pPr>
        <w:pStyle w:val="Heading1"/>
        <w:keepNext/>
      </w:pPr>
      <w:r>
        <w:rPr>
          <w:rFonts w:ascii="Calibri" w:hAnsi="Calibri"/>
          <w:b/>
          <w:i w:val="0"/>
          <w:color w:val="17365D"/>
          <w:sz w:val="32"/>
        </w:rPr>
        <w:t>4. Sector exploratory findings: financial structure, trends, and seasonality</w:t>
      </w:r>
    </w:p>
    <w:p>
      <w:pPr>
        <w:pStyle w:val="Heading2"/>
        <w:keepNext/>
      </w:pPr>
      <w:r>
        <w:rPr>
          <w:rFonts w:ascii="Calibri" w:hAnsi="Calibri"/>
          <w:b/>
          <w:i w:val="0"/>
          <w:color w:val="17365D"/>
          <w:sz w:val="26"/>
        </w:rPr>
        <w:t>4.1 Cross-sectional financial profile</w:t>
      </w:r>
    </w:p>
    <w:p>
      <w:pPr>
        <w:spacing w:after="120" w:line="264" w:lineRule="auto"/>
      </w:pPr>
      <w:r>
        <w:rPr>
          <w:rFonts w:ascii="Calibri" w:hAnsi="Calibri"/>
          <w:b/>
          <w:i w:val="0"/>
          <w:color w:val="17365D"/>
          <w:sz w:val="21"/>
        </w:rPr>
        <w:t>Consumer Discretionary.</w:t>
      </w:r>
      <w:r>
        <w:rPr>
          <w:rFonts w:ascii="Calibri" w:hAnsi="Calibri"/>
          <w:b w:val="0"/>
          <w:i w:val="0"/>
          <w:color w:val="202124"/>
          <w:sz w:val="21"/>
        </w:rPr>
        <w:t xml:space="preserve"> Across the full panel, the typical Consumer Discretionary company had 5.25x interest coverage, a 10.12% free-cash-flow margin, and debt equal to 22.00% of assets. These averages describe a sector with greater normal debt-service capacity and internally generated cash than Utilities. The apparent strength is not uniform: 22.5% of company-quarter observations fell below 1.5x coverage, 16.4% had negative free-cash-flow margins, and 27.4% had debt above 40% of assets. The interquartile range in coverage was 11.51x, nearly five times the Utilities spread of 2.32x. Financially, this means the sector contains both highly resilient firms and materially weaker tail cases; the median alone understates issuer-specific risk.</w:t>
      </w:r>
    </w:p>
    <w:p>
      <w:pPr>
        <w:spacing w:after="120" w:line="264" w:lineRule="auto"/>
      </w:pPr>
      <w:r>
        <w:rPr>
          <w:rFonts w:ascii="Calibri" w:hAnsi="Calibri"/>
          <w:b/>
          <w:i w:val="0"/>
          <w:color w:val="17365D"/>
          <w:sz w:val="21"/>
        </w:rPr>
        <w:t>Utilities.</w:t>
      </w:r>
      <w:r>
        <w:rPr>
          <w:rFonts w:ascii="Calibri" w:hAnsi="Calibri"/>
          <w:b w:val="0"/>
          <w:i w:val="0"/>
          <w:color w:val="202124"/>
          <w:sz w:val="21"/>
        </w:rPr>
        <w:t xml:space="preserve"> The full-panel Utilities median was 1.81x interest coverage, a -4.00% free-cash-flow margin, and 33.69% debt-to-assets. Coverage was below 1.5x in 43.5% of observations and free cash flow was negative in 55.6%. These levels are consistent with a capital-intensive business model in which large infrastructure investment is frequently financed externally. Negative free cash flow is therefore not automatically evidence of distress. It becomes more informative when paired with falling coverage, rising leverage, weak liquidity, or an unfavorable refinancing environment. Utilities also had stronger clustering around their sector norms, so relatively small changes can matter even when their absolute ratios look less dispersed.</w:t>
      </w:r>
    </w:p>
    <w:tbl>
      <w:tblPr>
        <w:tblStyle w:val="TableGrid"/>
        <w:tblW w:type="dxa" w:w="9360"/>
        <w:jc w:val="left"/>
        <w:tblLayout w:type="fixed"/>
        <w:tblLook w:firstColumn="1" w:firstRow="1" w:lastColumn="0" w:lastRow="0" w:noHBand="0" w:noVBand="1" w:val="04A0"/>
        <w:tblInd w:w="120" w:type="dxa"/>
      </w:tblPr>
      <w:tblGrid>
        <w:gridCol w:w="2100"/>
        <w:gridCol w:w="1900"/>
        <w:gridCol w:w="1500"/>
        <w:gridCol w:w="3860"/>
      </w:tblGrid>
      <w:tr>
        <w:tc>
          <w:tcPr>
            <w:tcW w:type="dxa" w:w="2100"/>
            <w:shd w:fill="EAF1F8"/>
            <w:vAlign w:val="center"/>
            <w:tcMar>
              <w:top w:w="80" w:type="dxa"/>
              <w:bottom w:w="80" w:type="dxa"/>
              <w:start w:w="120" w:type="dxa"/>
              <w:end w:w="120" w:type="dxa"/>
            </w:tcMar>
          </w:tcPr>
          <w:p>
            <w:pPr>
              <w:spacing w:after="0"/>
            </w:pPr>
            <w:r>
              <w:rPr>
                <w:rFonts w:ascii="Calibri" w:hAnsi="Calibri"/>
                <w:b/>
                <w:i w:val="0"/>
                <w:color w:val="17365D"/>
                <w:sz w:val="18"/>
              </w:rPr>
              <w:t>Exploratory indicator</w:t>
            </w:r>
          </w:p>
        </w:tc>
        <w:tc>
          <w:tcPr>
            <w:tcW w:type="dxa" w:w="1900"/>
            <w:shd w:fill="EAF1F8"/>
            <w:vAlign w:val="center"/>
            <w:tcMar>
              <w:top w:w="80" w:type="dxa"/>
              <w:bottom w:w="80" w:type="dxa"/>
              <w:start w:w="120" w:type="dxa"/>
              <w:end w:w="120" w:type="dxa"/>
            </w:tcMar>
          </w:tcPr>
          <w:p>
            <w:pPr>
              <w:spacing w:after="0"/>
            </w:pPr>
            <w:r>
              <w:rPr>
                <w:rFonts w:ascii="Calibri" w:hAnsi="Calibri"/>
                <w:b/>
                <w:i w:val="0"/>
                <w:color w:val="17365D"/>
                <w:sz w:val="18"/>
              </w:rPr>
              <w:t>Consumer Discretionary</w:t>
            </w:r>
          </w:p>
        </w:tc>
        <w:tc>
          <w:tcPr>
            <w:tcW w:type="dxa" w:w="1500"/>
            <w:shd w:fill="EAF1F8"/>
            <w:vAlign w:val="center"/>
            <w:tcMar>
              <w:top w:w="80" w:type="dxa"/>
              <w:bottom w:w="80" w:type="dxa"/>
              <w:start w:w="120" w:type="dxa"/>
              <w:end w:w="120" w:type="dxa"/>
            </w:tcMar>
          </w:tcPr>
          <w:p>
            <w:pPr>
              <w:spacing w:after="0"/>
            </w:pPr>
            <w:r>
              <w:rPr>
                <w:rFonts w:ascii="Calibri" w:hAnsi="Calibri"/>
                <w:b/>
                <w:i w:val="0"/>
                <w:color w:val="17365D"/>
                <w:sz w:val="18"/>
              </w:rPr>
              <w:t>Utilities</w:t>
            </w:r>
          </w:p>
        </w:tc>
        <w:tc>
          <w:tcPr>
            <w:tcW w:type="dxa" w:w="3860"/>
            <w:shd w:fill="EAF1F8"/>
            <w:vAlign w:val="center"/>
            <w:tcMar>
              <w:top w:w="80" w:type="dxa"/>
              <w:bottom w:w="80" w:type="dxa"/>
              <w:start w:w="120" w:type="dxa"/>
              <w:end w:w="120" w:type="dxa"/>
            </w:tcMar>
          </w:tcPr>
          <w:p>
            <w:pPr>
              <w:spacing w:after="0"/>
            </w:pPr>
            <w:r>
              <w:rPr>
                <w:rFonts w:ascii="Calibri" w:hAnsi="Calibri"/>
                <w:b/>
                <w:i w:val="0"/>
                <w:color w:val="17365D"/>
                <w:sz w:val="18"/>
              </w:rPr>
              <w:t>Financial reading</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Median interest coverage</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5.25x</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1.81x</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Utilities operate with a thinner recurring debt-service cushion.</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Median FCF margin</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10.12%</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-4.00%</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Utility capital spending often exceeds internally generated cash.</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Median debt/assets</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22.00%</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33.69%</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The regulated asset base generally supports more structural leverage.</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Coverage below 1.5x</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22.5%</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43.5%</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A common absolute threshold carries different base rates by sector.</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Negative FCF margin</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16.4%</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55.6%</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Cash deficits require operating and capital-expenditure context.</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Observed deterioration label</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22.2%</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20.7%</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Similar event rates arise from different financial structures.</w:t>
            </w:r>
          </w:p>
        </w:tc>
      </w:tr>
    </w:tbl>
    <w:p>
      <w:pPr>
        <w:spacing w:after="0"/>
      </w:pPr>
    </w:p>
    <w:p>
      <w:pPr>
        <w:pStyle w:val="Heading2"/>
        <w:keepNext/>
      </w:pPr>
      <w:r>
        <w:rPr>
          <w:rFonts w:ascii="Calibri" w:hAnsi="Calibri"/>
          <w:b/>
          <w:i w:val="0"/>
          <w:color w:val="17365D"/>
          <w:sz w:val="26"/>
        </w:rPr>
        <w:t>4.2 Time-series and regime findings</w:t>
      </w:r>
    </w:p>
    <w:p>
      <w:pPr>
        <w:keepNext/>
        <w:jc w:val="center"/>
      </w:pPr>
      <w:r>
        <w:drawing>
          <wp:inline xmlns:a="http://schemas.openxmlformats.org/drawingml/2006/main" xmlns:pic="http://schemas.openxmlformats.org/drawingml/2006/picture">
            <wp:extent cx="5760720" cy="4800600"/>
            <wp:docPr id="3" name="Picture 3"/>
            <wp:cNvGraphicFramePr>
              <a:graphicFrameLocks noChangeAspect="1"/>
            </wp:cNvGraphicFramePr>
            <a:graphic>
              <a:graphicData uri="http://schemas.openxmlformats.org/drawingml/2006/picture">
                <pic:pic>
                  <pic:nvPicPr>
                    <pic:cNvPr id="0" name="sector_kpi_time_series.png"/>
                    <pic:cNvPicPr/>
                  </pic:nvPicPr>
                  <pic:blipFill>
                    <a:blip r:embed="rId13"/>
                    <a:stretch>
                      <a:fillRect/>
                    </a:stretch>
                  </pic:blipFill>
                  <pic:spPr>
                    <a:xfrm>
                      <a:off x="0" y="0"/>
                      <a:ext cx="5760720" cy="4800600"/>
                    </a:xfrm>
                    <a:prstGeom prst="rect"/>
                  </pic:spPr>
                </pic:pic>
              </a:graphicData>
            </a:graphic>
          </wp:inline>
        </w:drawing>
      </w:r>
    </w:p>
    <w:p>
      <w:pPr>
        <w:spacing w:after="160"/>
        <w:jc w:val="center"/>
      </w:pPr>
      <w:r>
        <w:rPr>
          <w:rFonts w:ascii="Calibri" w:hAnsi="Calibri"/>
          <w:b w:val="0"/>
          <w:i/>
          <w:color w:val="667085"/>
          <w:sz w:val="17"/>
        </w:rPr>
        <w:t>Figure 3. Annual medians summarize sector conditions; they do not imply that every issuer followed the median path.</w:t>
      </w:r>
    </w:p>
    <w:p>
      <w:pPr>
        <w:spacing w:after="120" w:line="264" w:lineRule="auto"/>
      </w:pPr>
      <w:r>
        <w:rPr>
          <w:rFonts w:ascii="Calibri" w:hAnsi="Calibri"/>
          <w:b/>
          <w:i w:val="0"/>
          <w:color w:val="17365D"/>
          <w:sz w:val="21"/>
        </w:rPr>
        <w:t>Consumer Discretionary trajectory.</w:t>
      </w:r>
      <w:r>
        <w:rPr>
          <w:rFonts w:ascii="Calibri" w:hAnsi="Calibri"/>
          <w:b w:val="0"/>
          <w:i w:val="0"/>
          <w:color w:val="202124"/>
          <w:sz w:val="21"/>
        </w:rPr>
        <w:t xml:space="preserve"> Median coverage declined from 5.42x in fiscal 2012 to 3.57x in 2019, then recovered sharply and peaked at 9.19x in 2022 before moderating to 6.34x in 2024. That improvement did not translate into equally strong cash conversion: median free-cash-flow margin fell from 18.6% in 2019 to 6.0% in 2024, while debt-to-assets rose into 2021–2022 and then eased. The combined reading is more nuanced than the coverage line alone. Post-pandemic earnings recovery strengthened the ability to pay interest, but weakening cash conversion and still-elevated leverage indicate less balance-sheet flexibility than the coverage peak suggests. The deterioration-label rate was 29.3% in 2020–2021 versus 22.7% in 2017–2019, consistent with greater cyclical exposure and uneven issuer recovery.</w:t>
      </w:r>
    </w:p>
    <w:p>
      <w:pPr>
        <w:spacing w:after="120" w:line="264" w:lineRule="auto"/>
      </w:pPr>
      <w:r>
        <w:rPr>
          <w:rFonts w:ascii="Calibri" w:hAnsi="Calibri"/>
          <w:b/>
          <w:i w:val="0"/>
          <w:color w:val="17365D"/>
          <w:sz w:val="21"/>
        </w:rPr>
        <w:t>Utilities trajectory.</w:t>
      </w:r>
      <w:r>
        <w:rPr>
          <w:rFonts w:ascii="Calibri" w:hAnsi="Calibri"/>
          <w:b w:val="0"/>
          <w:i w:val="0"/>
          <w:color w:val="202124"/>
          <w:sz w:val="21"/>
        </w:rPr>
        <w:t xml:space="preserve"> Median coverage rose from 0.85x in 2019 to 3.04x in 2023, then eased to 2.73x in 2024. At the same time, free-cash-flow margin deteriorated from -2.7% to -12.4%, and debt-to-assets increased from 32.1% to 38.9%. The sector therefore shows improving accounting coverage alongside a growing financing requirement. This divergence can occur when operating earnings improve but sustained capital expenditure and debt-funded investment absorb cash. For surveillance, the relevant question is not whether one ratio is good or bad in isolation, but whether earnings, cash generation, leverage, and funding costs remain mutually supportable.</w:t>
      </w:r>
    </w:p>
    <w:p>
      <w:pPr>
        <w:spacing w:after="120" w:line="264" w:lineRule="auto"/>
      </w:pPr>
      <w:r>
        <w:rPr>
          <w:rFonts w:ascii="Calibri" w:hAnsi="Calibri"/>
          <w:b/>
          <w:i w:val="0"/>
          <w:color w:val="17365D"/>
          <w:sz w:val="21"/>
        </w:rPr>
        <w:t>Event interpretation.</w:t>
      </w:r>
      <w:r>
        <w:rPr>
          <w:rFonts w:ascii="Calibri" w:hAnsi="Calibri"/>
          <w:b w:val="0"/>
          <w:i w:val="0"/>
          <w:color w:val="202124"/>
          <w:sz w:val="21"/>
        </w:rPr>
        <w:t xml:space="preserve"> Consumer Discretionary recorded 92 distinct deterioration episode starts, compared with 101 for Utilities, despite similar row-level label prevalence. Utilities therefore experienced slightly more separate transitions into deterioration, while Consumer Discretionary showed more pronounced regime sensitivity. Because the label requires both sub-1.5x coverage and a 40% decline, higher recent Utility coverage mechanically reduced the recent event rate even as free cash flow and leverage weakened. This is an important limitation of any single outcome definition and supports monitoring the component KPIs alongside the model probability.</w:t>
      </w:r>
    </w:p>
    <w:p>
      <w:pPr>
        <w:pStyle w:val="Heading2"/>
        <w:keepNext/>
      </w:pPr>
      <w:r>
        <w:rPr>
          <w:rFonts w:ascii="Calibri" w:hAnsi="Calibri"/>
          <w:b/>
          <w:i w:val="0"/>
          <w:color w:val="17365D"/>
          <w:sz w:val="26"/>
        </w:rPr>
        <w:t>4.3 Fiscal-quarter patterns and persistence</w:t>
      </w:r>
    </w:p>
    <w:p>
      <w:pPr>
        <w:keepNext/>
        <w:jc w:val="center"/>
      </w:pPr>
      <w:r>
        <w:drawing>
          <wp:inline xmlns:a="http://schemas.openxmlformats.org/drawingml/2006/main" xmlns:pic="http://schemas.openxmlformats.org/drawingml/2006/picture">
            <wp:extent cx="5760720" cy="2263140"/>
            <wp:docPr id="4" name="Picture 4"/>
            <wp:cNvGraphicFramePr>
              <a:graphicFrameLocks noChangeAspect="1"/>
            </wp:cNvGraphicFramePr>
            <a:graphic>
              <a:graphicData uri="http://schemas.openxmlformats.org/drawingml/2006/picture">
                <pic:pic>
                  <pic:nvPicPr>
                    <pic:cNvPr id="0" name="sector_kpi_fiscal_quarter.png"/>
                    <pic:cNvPicPr/>
                  </pic:nvPicPr>
                  <pic:blipFill>
                    <a:blip r:embed="rId14"/>
                    <a:stretch>
                      <a:fillRect/>
                    </a:stretch>
                  </pic:blipFill>
                  <pic:spPr>
                    <a:xfrm>
                      <a:off x="0" y="0"/>
                      <a:ext cx="5760720" cy="2263140"/>
                    </a:xfrm>
                    <a:prstGeom prst="rect"/>
                  </pic:spPr>
                </pic:pic>
              </a:graphicData>
            </a:graphic>
          </wp:inline>
        </w:drawing>
      </w:r>
    </w:p>
    <w:p>
      <w:pPr>
        <w:spacing w:after="160"/>
        <w:jc w:val="center"/>
      </w:pPr>
      <w:r>
        <w:rPr>
          <w:rFonts w:ascii="Calibri" w:hAnsi="Calibri"/>
          <w:b w:val="0"/>
          <w:i/>
          <w:color w:val="667085"/>
          <w:sz w:val="17"/>
        </w:rPr>
        <w:t>Figure 4. Standardized fiscal-quarter medians. Trailing-twelve-month construction intentionally smooths quarter-specific noise.</w:t>
      </w:r>
    </w:p>
    <w:p>
      <w:pPr>
        <w:spacing w:after="120" w:line="264" w:lineRule="auto"/>
      </w:pPr>
      <w:r>
        <w:rPr>
          <w:rFonts w:ascii="Calibri" w:hAnsi="Calibri"/>
          <w:b w:val="0"/>
          <w:i w:val="0"/>
          <w:color w:val="202124"/>
          <w:sz w:val="21"/>
        </w:rPr>
        <w:t>There is little evidence of strong recurring seasonality in the three central KPIs. Consumer Discretionary coverage ranges only from 4.98x to 5.27x across FQ1–FQ4, free-cash-flow margin from 9.1% to 11.3%, and debt-to-assets from 21.7% to 22.4%. Utilities are even steadier: coverage ranges from 1.79x to 1.84x, free-cash-flow margin from -4.2% to -3.8%, and leverage from 33.4% to 34.0%. The modest Consumer Discretionary FQ4 cash-flow decline may reflect working-capital timing or issuer mix, but it is too small to treat as a reliable seasonal trading signal without company-level testing.</w:t>
      </w:r>
    </w:p>
    <w:p>
      <w:pPr>
        <w:spacing w:after="120" w:line="264" w:lineRule="auto"/>
      </w:pPr>
      <w:r>
        <w:rPr>
          <w:rFonts w:ascii="Calibri" w:hAnsi="Calibri"/>
          <w:b/>
          <w:i w:val="0"/>
          <w:color w:val="17365D"/>
          <w:sz w:val="21"/>
        </w:rPr>
        <w:t>Methodological implication.</w:t>
      </w:r>
      <w:r>
        <w:rPr>
          <w:rFonts w:ascii="Calibri" w:hAnsi="Calibri"/>
          <w:b w:val="0"/>
          <w:i w:val="0"/>
          <w:color w:val="202124"/>
          <w:sz w:val="21"/>
        </w:rPr>
        <w:t xml:space="preserve"> The weak quarter pattern is expected because the ratios use trailing-twelve-month values, which combine four quarters and reduce seasonal noise. The stronger empirical feature is persistence: recent KPI levels contain substantial information about the next quarter. This explains why a random-walk forecast was difficult to beat for one-quarter cash-flow margin and coverage, while a local-level model was more suitable for gradual leverage changes and four-quarter horizons. Sector-specific baselines, changes from each company's own history, and macro conditions are therefore more defensible than broad seasonal adjustments.</w:t>
      </w:r>
    </w:p>
    <w:p>
      <w:pPr>
        <w:pStyle w:val="Heading1"/>
        <w:keepNext/>
      </w:pPr>
      <w:r>
        <w:rPr>
          <w:rFonts w:ascii="Calibri" w:hAnsi="Calibri"/>
          <w:b/>
          <w:i w:val="0"/>
          <w:color w:val="17365D"/>
          <w:sz w:val="32"/>
        </w:rPr>
        <w:t>5. Forecasting methodology: matching model structure to temporal financial data</w:t>
      </w:r>
    </w:p>
    <w:p>
      <w:pPr>
        <w:spacing w:after="120" w:line="264" w:lineRule="auto"/>
      </w:pPr>
      <w:r>
        <w:rPr>
          <w:rFonts w:ascii="Calibri" w:hAnsi="Calibri"/>
          <w:b w:val="0"/>
          <w:i w:val="0"/>
          <w:color w:val="202124"/>
          <w:sz w:val="21"/>
        </w:rPr>
        <w:t>Why time-series methods are necessary. Quarterly fundamentals contain persistence, trend, seasonality-like fiscal effects, structural breaks, irregular volatility, and macro sensitivity. Random train/test splits would mix regimes and overstate generalization. Forecast models therefore use only information available before each origin and are evaluated at fixed 1Q and 4Q horizons.</w:t>
      </w:r>
    </w:p>
    <w:tbl>
      <w:tblPr>
        <w:tblStyle w:val="TableGrid"/>
        <w:tblW w:type="dxa" w:w="9360"/>
        <w:jc w:val="left"/>
        <w:tblLayout w:type="fixed"/>
        <w:tblLook w:firstColumn="1" w:firstRow="1" w:lastColumn="0" w:lastRow="0" w:noHBand="0" w:noVBand="1" w:val="04A0"/>
        <w:tblInd w:w="120" w:type="dxa"/>
      </w:tblPr>
      <w:tblGrid>
        <w:gridCol w:w="1700"/>
        <w:gridCol w:w="4000"/>
        <w:gridCol w:w="3660"/>
      </w:tblGrid>
      <w:tr>
        <w:tc>
          <w:tcPr>
            <w:tcW w:type="dxa" w:w="1700"/>
            <w:shd w:fill="EAF1F8"/>
            <w:vAlign w:val="center"/>
            <w:tcMar>
              <w:top w:w="80" w:type="dxa"/>
              <w:bottom w:w="80" w:type="dxa"/>
              <w:start w:w="120" w:type="dxa"/>
              <w:end w:w="120" w:type="dxa"/>
            </w:tcMar>
          </w:tcPr>
          <w:p>
            <w:pPr>
              <w:spacing w:after="0"/>
            </w:pPr>
            <w:r>
              <w:rPr>
                <w:rFonts w:ascii="Calibri" w:hAnsi="Calibri"/>
                <w:b/>
                <w:i w:val="0"/>
                <w:color w:val="17365D"/>
                <w:sz w:val="18"/>
              </w:rPr>
              <w:t>Method</w:t>
            </w:r>
          </w:p>
        </w:tc>
        <w:tc>
          <w:tcPr>
            <w:tcW w:type="dxa" w:w="4000"/>
            <w:shd w:fill="EAF1F8"/>
            <w:vAlign w:val="center"/>
            <w:tcMar>
              <w:top w:w="80" w:type="dxa"/>
              <w:bottom w:w="80" w:type="dxa"/>
              <w:start w:w="120" w:type="dxa"/>
              <w:end w:w="120" w:type="dxa"/>
            </w:tcMar>
          </w:tcPr>
          <w:p>
            <w:pPr>
              <w:spacing w:after="0"/>
            </w:pPr>
            <w:r>
              <w:rPr>
                <w:rFonts w:ascii="Calibri" w:hAnsi="Calibri"/>
                <w:b/>
                <w:i w:val="0"/>
                <w:color w:val="17365D"/>
                <w:sz w:val="18"/>
              </w:rPr>
              <w:t>Financial rationale</w:t>
            </w:r>
          </w:p>
        </w:tc>
        <w:tc>
          <w:tcPr>
            <w:tcW w:type="dxa" w:w="3660"/>
            <w:shd w:fill="EAF1F8"/>
            <w:vAlign w:val="center"/>
            <w:tcMar>
              <w:top w:w="80" w:type="dxa"/>
              <w:bottom w:w="80" w:type="dxa"/>
              <w:start w:w="120" w:type="dxa"/>
              <w:end w:w="120" w:type="dxa"/>
            </w:tcMar>
          </w:tcPr>
          <w:p>
            <w:pPr>
              <w:spacing w:after="0"/>
            </w:pPr>
            <w:r>
              <w:rPr>
                <w:rFonts w:ascii="Calibri" w:hAnsi="Calibri"/>
                <w:b/>
                <w:i w:val="0"/>
                <w:color w:val="17365D"/>
                <w:sz w:val="18"/>
              </w:rPr>
              <w:t>Role in the experiment</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Random walk</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Many accounting ratios are persistent and difficult to beat out of sample.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Mandatory naive benchmark; prevents complexity from receiving credit for persistence.</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Drift</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Allows gradual balance-sheet or margin trajectories.</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Tests whether a simple secular trend adds value over the last observation.</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Local level</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Estimates an underlying financial level while allowing quarterly reporting noise.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Useful for noisy ratios when the company's true condition changes gradually.</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Local linear trend</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Allows both the financial level and its direction of change to move over time.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Useful for gradual operating or leverage trends, but can be unstable with short histories.</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Dynamic regression model</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Adds economic variables to a time-series model whose financial level changes over time.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Tests whether rates and business-cycle conditions improve forecasts.</w:t>
            </w:r>
          </w:p>
        </w:tc>
      </w:tr>
    </w:tbl>
    <w:p>
      <w:pPr>
        <w:spacing w:after="0"/>
      </w:pPr>
    </w:p>
    <w:p>
      <w:pPr>
        <w:spacing w:after="120" w:line="264" w:lineRule="auto"/>
      </w:pPr>
      <w:r>
        <w:rPr>
          <w:rFonts w:ascii="Calibri" w:hAnsi="Calibri"/>
          <w:b w:val="0"/>
          <w:i w:val="0"/>
          <w:color w:val="202124"/>
          <w:sz w:val="21"/>
        </w:rPr>
        <w:t>Forecast models are compared using root mean squared error (RMSE), which summarizes the typical size of forecast mistakes while giving larger errors more weight. The study also checks whether forecast ranges contain the eventual result as often as intended. These ranges matter because one point forecast can look more certain than it really is. Several four-quarter ranges were too narrow, so forecast uncertainty remains a limitation.</w:t>
      </w:r>
    </w:p>
    <w:p>
      <w:pPr>
        <w:pStyle w:val="Heading1"/>
        <w:keepNext/>
      </w:pPr>
      <w:r>
        <w:rPr>
          <w:rFonts w:ascii="Calibri" w:hAnsi="Calibri"/>
          <w:b/>
          <w:i w:val="0"/>
          <w:color w:val="17365D"/>
          <w:sz w:val="32"/>
        </w:rPr>
        <w:t>6. Classification methodology and model governance</w:t>
      </w:r>
    </w:p>
    <w:p>
      <w:pPr>
        <w:spacing w:after="120" w:line="264" w:lineRule="auto"/>
      </w:pPr>
      <w:r>
        <w:rPr>
          <w:rFonts w:ascii="Calibri" w:hAnsi="Calibri"/>
          <w:b w:val="0"/>
          <w:i w:val="0"/>
          <w:color w:val="202124"/>
          <w:sz w:val="21"/>
        </w:rPr>
        <w:t>Regularized logistic regression provides a linear, directionally interpretable benchmark and controls coefficient instability under correlated ratios. Gradient-boosted trees capture nonlinear thresholds and interactions common in financial deterioration - for example, leverage may be tolerable when coverage and cash generation are strong but hazardous when both weaken. Tree depth, regularization, and feature increments are constrained to reduce variance and preserve auditability.</w:t>
      </w:r>
    </w:p>
    <w:p>
      <w:pPr>
        <w:spacing w:after="120" w:line="264" w:lineRule="auto"/>
      </w:pPr>
      <w:r>
        <w:rPr>
          <w:rFonts w:ascii="Calibri" w:hAnsi="Calibri"/>
          <w:b w:val="0"/>
          <w:i w:val="0"/>
          <w:color w:val="202124"/>
          <w:sz w:val="21"/>
        </w:rPr>
        <w:t>Feature increments were prespecified: historical fundamentals, peer-relative ranks, leakage-safe forecasts, macro variables, and limited sector interactions. Choosing the method at each increment is important: peer normalization addresses cross-sectional structure; time-series forecasts summarize trajectory; macro features represent common shocks; restricted interactions allow heterogeneous sensitivities without an uncontrolled search.</w:t>
      </w:r>
    </w:p>
    <w:p>
      <w:pPr>
        <w:spacing w:after="120" w:line="264" w:lineRule="auto"/>
      </w:pPr>
      <w:r>
        <w:rPr>
          <w:rFonts w:ascii="Calibri" w:hAnsi="Calibri"/>
          <w:b w:val="0"/>
          <w:i w:val="0"/>
          <w:color w:val="202124"/>
          <w:sz w:val="21"/>
        </w:rPr>
        <w:t>Only a minority of observations are deterioration events, so simple accuracy can be misleading. PR-AUC summarizes how well the model separates deterioration cases while focusing on the less common event class. Recall is the percentage of actual events detected. Precision is the percentage of alerts that became events. Top-decile lift compares the event rate among the highest-risk 10% with the overall event rate. Brier score measures the average squared error of the probabilities, and calibration checks whether a stated risk such as 30% occurs about 30% of the time. No single measure answers every business question.</w:t>
      </w:r>
    </w:p>
    <w:p>
      <w:pPr>
        <w:pStyle w:val="Heading1"/>
        <w:keepNext/>
      </w:pPr>
      <w:r>
        <w:rPr>
          <w:rFonts w:ascii="Calibri" w:hAnsi="Calibri"/>
          <w:b/>
          <w:i w:val="0"/>
          <w:color w:val="17365D"/>
          <w:sz w:val="32"/>
        </w:rPr>
        <w:t>7. Temporal validation, leakage prevention, and champion selection</w:t>
      </w:r>
    </w:p>
    <w:p>
      <w:pPr>
        <w:spacing w:after="120" w:line="264" w:lineRule="auto"/>
      </w:pPr>
      <w:r>
        <w:rPr>
          <w:rFonts w:ascii="Calibri" w:hAnsi="Calibri"/>
          <w:b w:val="0"/>
          <w:i w:val="0"/>
          <w:color w:val="202124"/>
          <w:sz w:val="21"/>
        </w:rPr>
        <w:t>Three expanding training windows simulate how the model would have been rebuilt and tested as time moved forward. Data preparation, probability adjustment, model fitting, and forecasting are repeated separately inside each window. Outcomes that would not yet have been known are excluded. Out-of-fold means that every development prediction came from a model that was not trained on that observation. Historical rows without a defensible out-of-sample prediction remain unscored.</w:t>
      </w:r>
    </w:p>
    <w:p>
      <w:pPr>
        <w:spacing w:after="120" w:line="264" w:lineRule="auto"/>
      </w:pPr>
      <w:r>
        <w:rPr>
          <w:rFonts w:ascii="Calibri" w:hAnsi="Calibri"/>
          <w:b w:val="0"/>
          <w:i w:val="0"/>
          <w:color w:val="202124"/>
          <w:sz w:val="21"/>
        </w:rPr>
        <w:t>The final model was chosen first by development PR-AUC, then by probability reliability, stability across sectors and time, interpretability, and simplicity. The 2023-and-later holdout was kept untouched until the model choice was recorded. Its higher 35.45% alert rate is treated as evidence that the later period differed from development, not as permission to adjust the threshold after seeing the answer.</w:t>
      </w:r>
    </w:p>
    <w:p>
      <w:pPr>
        <w:keepNext/>
        <w:jc w:val="center"/>
      </w:pPr>
      <w:r>
        <w:drawing>
          <wp:inline xmlns:a="http://schemas.openxmlformats.org/drawingml/2006/main" xmlns:pic="http://schemas.openxmlformats.org/drawingml/2006/picture">
            <wp:extent cx="5760720" cy="2810108"/>
            <wp:docPr id="5" name="Picture 5"/>
            <wp:cNvGraphicFramePr>
              <a:graphicFrameLocks noChangeAspect="1"/>
            </wp:cNvGraphicFramePr>
            <a:graphic>
              <a:graphicData uri="http://schemas.openxmlformats.org/drawingml/2006/picture">
                <pic:pic>
                  <pic:nvPicPr>
                    <pic:cNvPr id="0" name="temporal_fold_stability.png"/>
                    <pic:cNvPicPr/>
                  </pic:nvPicPr>
                  <pic:blipFill>
                    <a:blip r:embed="rId15"/>
                    <a:stretch>
                      <a:fillRect/>
                    </a:stretch>
                  </pic:blipFill>
                  <pic:spPr>
                    <a:xfrm>
                      <a:off x="0" y="0"/>
                      <a:ext cx="5760720" cy="2810108"/>
                    </a:xfrm>
                    <a:prstGeom prst="rect"/>
                  </pic:spPr>
                </pic:pic>
              </a:graphicData>
            </a:graphic>
          </wp:inline>
        </w:drawing>
      </w:r>
    </w:p>
    <w:p>
      <w:pPr>
        <w:spacing w:after="160"/>
        <w:jc w:val="center"/>
      </w:pPr>
      <w:r>
        <w:rPr>
          <w:rFonts w:ascii="Calibri" w:hAnsi="Calibri"/>
          <w:b w:val="0"/>
          <w:i/>
          <w:color w:val="667085"/>
          <w:sz w:val="17"/>
        </w:rPr>
        <w:t>Figure 5. Temporal OOF results expose regime sensitivity that a random split would conceal.</w:t>
      </w:r>
    </w:p>
    <w:p>
      <w:pPr>
        <w:pStyle w:val="Heading1"/>
        <w:keepNext/>
      </w:pPr>
      <w:r>
        <w:rPr>
          <w:rFonts w:ascii="Calibri" w:hAnsi="Calibri"/>
          <w:b/>
          <w:i w:val="0"/>
          <w:color w:val="17365D"/>
          <w:sz w:val="32"/>
        </w:rPr>
        <w:t>8. Empirical results</w:t>
      </w:r>
    </w:p>
    <w:tbl>
      <w:tblPr>
        <w:tblStyle w:val="TableGrid"/>
        <w:tblW w:type="dxa" w:w="9360"/>
        <w:jc w:val="left"/>
        <w:tblLayout w:type="fixed"/>
        <w:tblLook w:firstColumn="1" w:firstRow="1" w:lastColumn="0" w:lastRow="0" w:noHBand="0" w:noVBand="1" w:val="04A0"/>
        <w:tblInd w:w="120" w:type="dxa"/>
      </w:tblPr>
      <w:tblGrid>
        <w:gridCol w:w="2400"/>
        <w:gridCol w:w="700"/>
        <w:gridCol w:w="1100"/>
        <w:gridCol w:w="1100"/>
        <w:gridCol w:w="1200"/>
        <w:gridCol w:w="1100"/>
        <w:gridCol w:w="1760"/>
      </w:tblGrid>
      <w:tr>
        <w:tc>
          <w:tcPr>
            <w:tcW w:type="dxa" w:w="2400"/>
            <w:shd w:fill="EAF1F8"/>
            <w:vAlign w:val="center"/>
            <w:tcMar>
              <w:top w:w="80" w:type="dxa"/>
              <w:bottom w:w="80" w:type="dxa"/>
              <w:start w:w="120" w:type="dxa"/>
              <w:end w:w="120" w:type="dxa"/>
            </w:tcMar>
          </w:tcPr>
          <w:p>
            <w:pPr>
              <w:spacing w:after="0"/>
            </w:pPr>
            <w:r>
              <w:rPr>
                <w:rFonts w:ascii="Calibri" w:hAnsi="Calibri"/>
                <w:b/>
                <w:i w:val="0"/>
                <w:color w:val="17365D"/>
                <w:sz w:val="18"/>
              </w:rPr>
              <w:t>Locked-holdout slice</w:t>
            </w:r>
          </w:p>
        </w:tc>
        <w:tc>
          <w:tcPr>
            <w:tcW w:type="dxa" w:w="700"/>
            <w:shd w:fill="EAF1F8"/>
            <w:vAlign w:val="center"/>
            <w:tcMar>
              <w:top w:w="80" w:type="dxa"/>
              <w:bottom w:w="80" w:type="dxa"/>
              <w:start w:w="120" w:type="dxa"/>
              <w:end w:w="120" w:type="dxa"/>
            </w:tcMar>
          </w:tcPr>
          <w:p>
            <w:pPr>
              <w:spacing w:after="0"/>
            </w:pPr>
            <w:r>
              <w:rPr>
                <w:rFonts w:ascii="Calibri" w:hAnsi="Calibri"/>
                <w:b/>
                <w:i w:val="0"/>
                <w:color w:val="17365D"/>
                <w:sz w:val="18"/>
              </w:rPr>
              <w:t>N</w:t>
            </w:r>
          </w:p>
        </w:tc>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PR-AUC</w:t>
            </w:r>
          </w:p>
        </w:tc>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Recall</w:t>
            </w:r>
          </w:p>
        </w:tc>
        <w:tc>
          <w:tcPr>
            <w:tcW w:type="dxa" w:w="1200"/>
            <w:shd w:fill="EAF1F8"/>
            <w:vAlign w:val="center"/>
            <w:tcMar>
              <w:top w:w="80" w:type="dxa"/>
              <w:bottom w:w="80" w:type="dxa"/>
              <w:start w:w="120" w:type="dxa"/>
              <w:end w:w="120" w:type="dxa"/>
            </w:tcMar>
          </w:tcPr>
          <w:p>
            <w:pPr>
              <w:spacing w:after="0"/>
            </w:pPr>
            <w:r>
              <w:rPr>
                <w:rFonts w:ascii="Calibri" w:hAnsi="Calibri"/>
                <w:b/>
                <w:i w:val="0"/>
                <w:color w:val="17365D"/>
                <w:sz w:val="18"/>
              </w:rPr>
              <w:t>Precision</w:t>
            </w:r>
          </w:p>
        </w:tc>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Lift</w:t>
            </w:r>
          </w:p>
        </w:tc>
        <w:tc>
          <w:tcPr>
            <w:tcW w:type="dxa" w:w="1760"/>
            <w:shd w:fill="EAF1F8"/>
            <w:vAlign w:val="center"/>
            <w:tcMar>
              <w:top w:w="80" w:type="dxa"/>
              <w:bottom w:w="80" w:type="dxa"/>
              <w:start w:w="120" w:type="dxa"/>
              <w:end w:w="120" w:type="dxa"/>
            </w:tcMar>
          </w:tcPr>
          <w:p>
            <w:pPr>
              <w:spacing w:after="0"/>
            </w:pPr>
            <w:r>
              <w:rPr>
                <w:rFonts w:ascii="Calibri" w:hAnsi="Calibri"/>
                <w:b/>
                <w:i w:val="0"/>
                <w:color w:val="17365D"/>
                <w:sz w:val="18"/>
              </w:rPr>
              <w:t>Brier</w:t>
            </w:r>
          </w:p>
        </w:tc>
      </w:tr>
      <w:tr>
        <w:tc>
          <w:tcPr>
            <w:tcW w:type="dxa" w:w="2400"/>
            <w:vAlign w:val="center"/>
            <w:tcMar>
              <w:top w:w="80" w:type="dxa"/>
              <w:bottom w:w="80" w:type="dxa"/>
              <w:start w:w="120" w:type="dxa"/>
              <w:end w:w="120" w:type="dxa"/>
            </w:tcMar>
          </w:tcPr>
          <w:p>
            <w:pPr>
              <w:spacing w:after="0"/>
            </w:pPr>
            <w:r>
              <w:rPr>
                <w:rFonts w:ascii="Calibri" w:hAnsi="Calibri"/>
                <w:b w:val="0"/>
                <w:i w:val="0"/>
                <w:color w:val="202124"/>
                <w:sz w:val="17"/>
              </w:rPr>
              <w:t>Overall</w:t>
            </w:r>
          </w:p>
        </w:tc>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457</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0.397</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0.562</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0.333</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1.97x</w:t>
            </w:r>
          </w:p>
        </w:tc>
        <w:tc>
          <w:tcPr>
            <w:tcW w:type="dxa" w:w="1760"/>
            <w:vAlign w:val="center"/>
            <w:tcMar>
              <w:top w:w="80" w:type="dxa"/>
              <w:bottom w:w="80" w:type="dxa"/>
              <w:start w:w="120" w:type="dxa"/>
              <w:end w:w="120" w:type="dxa"/>
            </w:tcMar>
          </w:tcPr>
          <w:p>
            <w:pPr>
              <w:spacing w:after="0"/>
            </w:pPr>
            <w:r>
              <w:rPr>
                <w:rFonts w:ascii="Calibri" w:hAnsi="Calibri"/>
                <w:b w:val="0"/>
                <w:i w:val="0"/>
                <w:color w:val="202124"/>
                <w:sz w:val="17"/>
              </w:rPr>
              <w:t>0.159</w:t>
            </w:r>
          </w:p>
        </w:tc>
      </w:tr>
      <w:tr>
        <w:tc>
          <w:tcPr>
            <w:tcW w:type="dxa" w:w="2400"/>
            <w:vAlign w:val="center"/>
            <w:tcMar>
              <w:top w:w="80" w:type="dxa"/>
              <w:bottom w:w="80" w:type="dxa"/>
              <w:start w:w="120" w:type="dxa"/>
              <w:end w:w="120" w:type="dxa"/>
            </w:tcMar>
          </w:tcPr>
          <w:p>
            <w:pPr>
              <w:spacing w:after="0"/>
            </w:pPr>
            <w:r>
              <w:rPr>
                <w:rFonts w:ascii="Calibri" w:hAnsi="Calibri"/>
                <w:b w:val="0"/>
                <w:i w:val="0"/>
                <w:color w:val="202124"/>
                <w:sz w:val="17"/>
              </w:rPr>
              <w:t>Consumer Discretionary</w:t>
            </w:r>
          </w:p>
        </w:tc>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228</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0.468</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0.610</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0.439</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2.18x</w:t>
            </w:r>
          </w:p>
        </w:tc>
        <w:tc>
          <w:tcPr>
            <w:tcW w:type="dxa" w:w="1760"/>
            <w:vAlign w:val="center"/>
            <w:tcMar>
              <w:top w:w="80" w:type="dxa"/>
              <w:bottom w:w="80" w:type="dxa"/>
              <w:start w:w="120" w:type="dxa"/>
              <w:end w:w="120" w:type="dxa"/>
            </w:tcMar>
          </w:tcPr>
          <w:p>
            <w:pPr>
              <w:spacing w:after="0"/>
            </w:pPr>
            <w:r>
              <w:rPr>
                <w:rFonts w:ascii="Calibri" w:hAnsi="Calibri"/>
                <w:b w:val="0"/>
                <w:i w:val="0"/>
                <w:color w:val="202124"/>
                <w:sz w:val="17"/>
              </w:rPr>
              <w:t>0.171</w:t>
            </w:r>
          </w:p>
        </w:tc>
      </w:tr>
      <w:tr>
        <w:tc>
          <w:tcPr>
            <w:tcW w:type="dxa" w:w="2400"/>
            <w:vAlign w:val="center"/>
            <w:tcMar>
              <w:top w:w="80" w:type="dxa"/>
              <w:bottom w:w="80" w:type="dxa"/>
              <w:start w:w="120" w:type="dxa"/>
              <w:end w:w="120" w:type="dxa"/>
            </w:tcMar>
          </w:tcPr>
          <w:p>
            <w:pPr>
              <w:spacing w:after="0"/>
            </w:pPr>
            <w:r>
              <w:rPr>
                <w:rFonts w:ascii="Calibri" w:hAnsi="Calibri"/>
                <w:b w:val="0"/>
                <w:i w:val="0"/>
                <w:color w:val="202124"/>
                <w:sz w:val="17"/>
              </w:rPr>
              <w:t>Utilities</w:t>
            </w:r>
          </w:p>
        </w:tc>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229</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0.332</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0.486</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0.225</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2.15x</w:t>
            </w:r>
          </w:p>
        </w:tc>
        <w:tc>
          <w:tcPr>
            <w:tcW w:type="dxa" w:w="1760"/>
            <w:vAlign w:val="center"/>
            <w:tcMar>
              <w:top w:w="80" w:type="dxa"/>
              <w:bottom w:w="80" w:type="dxa"/>
              <w:start w:w="120" w:type="dxa"/>
              <w:end w:w="120" w:type="dxa"/>
            </w:tcMar>
          </w:tcPr>
          <w:p>
            <w:pPr>
              <w:spacing w:after="0"/>
            </w:pPr>
            <w:r>
              <w:rPr>
                <w:rFonts w:ascii="Calibri" w:hAnsi="Calibri"/>
                <w:b w:val="0"/>
                <w:i w:val="0"/>
                <w:color w:val="202124"/>
                <w:sz w:val="17"/>
              </w:rPr>
              <w:t>0.147</w:t>
            </w:r>
          </w:p>
        </w:tc>
      </w:tr>
    </w:tbl>
    <w:p>
      <w:pPr>
        <w:spacing w:after="0"/>
      </w:pPr>
    </w:p>
    <w:p>
      <w:pPr>
        <w:spacing w:after="120" w:line="264" w:lineRule="auto"/>
      </w:pPr>
      <w:r>
        <w:rPr>
          <w:rFonts w:ascii="Calibri" w:hAnsi="Calibri"/>
          <w:b w:val="0"/>
          <w:i w:val="0"/>
          <w:color w:val="202124"/>
          <w:sz w:val="21"/>
        </w:rPr>
        <w:t>The overall top-decile lift of 1.97x indicates useful concentration of deterioration events in the highest-risk queue. Recall of 56.3% implies that the model identifies more than half of events at the frozen threshold, while precision of 33.3% means approximately one in three alerts corresponds to an observed event under the study definition. This trade-off may be acceptable for low-cost analyst screening but not for automated adverse action.</w:t>
      </w:r>
    </w:p>
    <w:p>
      <w:pPr>
        <w:spacing w:after="120" w:line="264" w:lineRule="auto"/>
      </w:pPr>
      <w:r>
        <w:rPr>
          <w:rFonts w:ascii="Calibri" w:hAnsi="Calibri"/>
          <w:b w:val="0"/>
          <w:i w:val="0"/>
          <w:color w:val="202124"/>
          <w:sz w:val="21"/>
        </w:rPr>
        <w:t>The Utilities gap is important: PR-AUC and precision are lower even though the Brier score is slightly better. This shows why ranking quality and probability accuracy must be reviewed separately. A model can produce fairly conservative probabilities yet still rank the actual deterioration cases imperfectly. The weaker Utilities result limits how confidently the model should be applied to that sector.</w:t>
      </w:r>
    </w:p>
    <w:p>
      <w:pPr>
        <w:keepNext/>
        <w:jc w:val="center"/>
      </w:pPr>
      <w:r>
        <w:drawing>
          <wp:inline xmlns:a="http://schemas.openxmlformats.org/drawingml/2006/main" xmlns:pic="http://schemas.openxmlformats.org/drawingml/2006/picture">
            <wp:extent cx="5760720" cy="2950613"/>
            <wp:docPr id="6" name="Picture 6"/>
            <wp:cNvGraphicFramePr>
              <a:graphicFrameLocks noChangeAspect="1"/>
            </wp:cNvGraphicFramePr>
            <a:graphic>
              <a:graphicData uri="http://schemas.openxmlformats.org/drawingml/2006/picture">
                <pic:pic>
                  <pic:nvPicPr>
                    <pic:cNvPr id="0" name="holdout_sector_performance.png"/>
                    <pic:cNvPicPr/>
                  </pic:nvPicPr>
                  <pic:blipFill>
                    <a:blip r:embed="rId16"/>
                    <a:stretch>
                      <a:fillRect/>
                    </a:stretch>
                  </pic:blipFill>
                  <pic:spPr>
                    <a:xfrm>
                      <a:off x="0" y="0"/>
                      <a:ext cx="5760720" cy="2950613"/>
                    </a:xfrm>
                    <a:prstGeom prst="rect"/>
                  </pic:spPr>
                </pic:pic>
              </a:graphicData>
            </a:graphic>
          </wp:inline>
        </w:drawing>
      </w:r>
    </w:p>
    <w:p>
      <w:pPr>
        <w:spacing w:after="160"/>
        <w:jc w:val="center"/>
      </w:pPr>
      <w:r>
        <w:rPr>
          <w:rFonts w:ascii="Calibri" w:hAnsi="Calibri"/>
          <w:b w:val="0"/>
          <w:i/>
          <w:color w:val="667085"/>
          <w:sz w:val="17"/>
        </w:rPr>
        <w:t>Figure 6. Locked-holdout sector results. Higher PR-AUC, recall, and precision are better.</w:t>
      </w:r>
    </w:p>
    <w:p>
      <w:pPr>
        <w:pStyle w:val="Heading2"/>
        <w:keepNext/>
      </w:pPr>
      <w:r>
        <w:rPr>
          <w:rFonts w:ascii="Calibri" w:hAnsi="Calibri"/>
          <w:b/>
          <w:i w:val="0"/>
          <w:color w:val="17365D"/>
          <w:sz w:val="26"/>
        </w:rPr>
        <w:t>8.1 Hypothesis findings</w:t>
      </w:r>
    </w:p>
    <w:p>
      <w:pPr>
        <w:spacing w:after="120" w:line="264" w:lineRule="auto"/>
      </w:pPr>
      <w:r>
        <w:rPr>
          <w:rFonts w:ascii="Calibri" w:hAnsi="Calibri"/>
          <w:b w:val="0"/>
          <w:i w:val="0"/>
          <w:color w:val="202124"/>
          <w:sz w:val="21"/>
        </w:rPr>
        <w:t>The three hypotheses introduced at the beginning of the study were evaluated using the time-ordered development tests and the untouched final holdout. The conclusions below distinguish strong evidence from mixed evidence.</w:t>
      </w:r>
    </w:p>
    <w:tbl>
      <w:tblPr>
        <w:tblStyle w:val="TableGrid"/>
        <w:tblW w:type="dxa" w:w="9360"/>
        <w:jc w:val="left"/>
        <w:tblLayout w:type="fixed"/>
        <w:tblLook w:firstColumn="1" w:firstRow="1" w:lastColumn="0" w:lastRow="0" w:noHBand="0" w:noVBand="1" w:val="04A0"/>
        <w:tblInd w:w="120" w:type="dxa"/>
      </w:tblPr>
      <w:tblGrid>
        <w:gridCol w:w="2300"/>
        <w:gridCol w:w="1500"/>
        <w:gridCol w:w="5560"/>
      </w:tblGrid>
      <w:tr>
        <w:tc>
          <w:tcPr>
            <w:tcW w:type="dxa" w:w="2300"/>
            <w:shd w:fill="EAF1F8"/>
            <w:vAlign w:val="center"/>
            <w:tcMar>
              <w:top w:w="80" w:type="dxa"/>
              <w:bottom w:w="80" w:type="dxa"/>
              <w:start w:w="120" w:type="dxa"/>
              <w:end w:w="120" w:type="dxa"/>
            </w:tcMar>
          </w:tcPr>
          <w:p>
            <w:pPr>
              <w:spacing w:after="0"/>
            </w:pPr>
            <w:r>
              <w:rPr>
                <w:rFonts w:ascii="Calibri" w:hAnsi="Calibri"/>
                <w:b/>
                <w:i w:val="0"/>
                <w:color w:val="17365D"/>
                <w:sz w:val="18"/>
              </w:rPr>
              <w:t>Hypothesis</w:t>
            </w:r>
          </w:p>
        </w:tc>
        <w:tc>
          <w:tcPr>
            <w:tcW w:type="dxa" w:w="1500"/>
            <w:shd w:fill="EAF1F8"/>
            <w:vAlign w:val="center"/>
            <w:tcMar>
              <w:top w:w="80" w:type="dxa"/>
              <w:bottom w:w="80" w:type="dxa"/>
              <w:start w:w="120" w:type="dxa"/>
              <w:end w:w="120" w:type="dxa"/>
            </w:tcMar>
          </w:tcPr>
          <w:p>
            <w:pPr>
              <w:spacing w:after="0"/>
            </w:pPr>
            <w:r>
              <w:rPr>
                <w:rFonts w:ascii="Calibri" w:hAnsi="Calibri"/>
                <w:b/>
                <w:i w:val="0"/>
                <w:color w:val="17365D"/>
                <w:sz w:val="18"/>
              </w:rPr>
              <w:t>Conclusion</w:t>
            </w:r>
          </w:p>
        </w:tc>
        <w:tc>
          <w:tcPr>
            <w:tcW w:type="dxa" w:w="5560"/>
            <w:shd w:fill="EAF1F8"/>
            <w:vAlign w:val="center"/>
            <w:tcMar>
              <w:top w:w="80" w:type="dxa"/>
              <w:bottom w:w="80" w:type="dxa"/>
              <w:start w:w="120" w:type="dxa"/>
              <w:end w:w="120" w:type="dxa"/>
            </w:tcMar>
          </w:tcPr>
          <w:p>
            <w:pPr>
              <w:spacing w:after="0"/>
            </w:pPr>
            <w:r>
              <w:rPr>
                <w:rFonts w:ascii="Calibri" w:hAnsi="Calibri"/>
                <w:b/>
                <w:i w:val="0"/>
                <w:color w:val="17365D"/>
                <w:sz w:val="18"/>
              </w:rPr>
              <w:t>Evidence and interpretation</w:t>
            </w:r>
          </w:p>
        </w:tc>
      </w:tr>
      <w:tr>
        <w:tc>
          <w:tcPr>
            <w:tcW w:type="dxa" w:w="2300"/>
            <w:vAlign w:val="center"/>
            <w:tcMar>
              <w:top w:w="80" w:type="dxa"/>
              <w:bottom w:w="80" w:type="dxa"/>
              <w:start w:w="120" w:type="dxa"/>
              <w:end w:w="120" w:type="dxa"/>
            </w:tcMar>
          </w:tcPr>
          <w:p>
            <w:pPr>
              <w:spacing w:after="0"/>
            </w:pPr>
            <w:r>
              <w:rPr>
                <w:rFonts w:ascii="Calibri" w:hAnsi="Calibri"/>
                <w:b w:val="0"/>
                <w:i w:val="0"/>
                <w:color w:val="202124"/>
                <w:sz w:val="17"/>
              </w:rPr>
              <w:t>H1: Combining signals improves ranking</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Supported</w:t>
            </w:r>
          </w:p>
        </w:tc>
        <w:tc>
          <w:tcPr>
            <w:tcW w:type="dxa" w:w="5560"/>
            <w:vAlign w:val="center"/>
            <w:tcMar>
              <w:top w:w="80" w:type="dxa"/>
              <w:bottom w:w="80" w:type="dxa"/>
              <w:start w:w="120" w:type="dxa"/>
              <w:end w:w="120" w:type="dxa"/>
            </w:tcMar>
          </w:tcPr>
          <w:p>
            <w:pPr>
              <w:spacing w:after="0"/>
            </w:pPr>
            <w:r>
              <w:rPr>
                <w:rFonts w:ascii="Calibri" w:hAnsi="Calibri"/>
                <w:b w:val="0"/>
                <w:i w:val="0"/>
                <w:color w:val="202124"/>
                <w:sz w:val="17"/>
              </w:rPr>
              <w:t>For gradient-boosted trees, average development PR-AUC increased from 0.332 with current fundamentals alone to 0.416 with macroeconomic variables and limited interactions. The broader feature set exceeded the current-only model in every reported time-period and sector slice. This supports combining company, peer, and economic information for risk ranking.</w:t>
            </w:r>
          </w:p>
        </w:tc>
      </w:tr>
      <w:tr>
        <w:tc>
          <w:tcPr>
            <w:tcW w:type="dxa" w:w="2300"/>
            <w:vAlign w:val="center"/>
            <w:tcMar>
              <w:top w:w="80" w:type="dxa"/>
              <w:bottom w:w="80" w:type="dxa"/>
              <w:start w:w="120" w:type="dxa"/>
              <w:end w:w="120" w:type="dxa"/>
            </w:tcMar>
          </w:tcPr>
          <w:p>
            <w:pPr>
              <w:spacing w:after="0"/>
            </w:pPr>
            <w:r>
              <w:rPr>
                <w:rFonts w:ascii="Calibri" w:hAnsi="Calibri"/>
                <w:b w:val="0"/>
                <w:i w:val="0"/>
                <w:color w:val="202124"/>
                <w:sz w:val="17"/>
              </w:rPr>
              <w:t>H2: Forecasts add forward-looking information</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Partially supported</w:t>
            </w:r>
          </w:p>
        </w:tc>
        <w:tc>
          <w:tcPr>
            <w:tcW w:type="dxa" w:w="5560"/>
            <w:vAlign w:val="center"/>
            <w:tcMar>
              <w:top w:w="80" w:type="dxa"/>
              <w:bottom w:w="80" w:type="dxa"/>
              <w:start w:w="120" w:type="dxa"/>
              <w:end w:w="120" w:type="dxa"/>
            </w:tcMar>
          </w:tcPr>
          <w:p>
            <w:pPr>
              <w:spacing w:after="0"/>
            </w:pPr>
            <w:r>
              <w:rPr>
                <w:rFonts w:ascii="Calibri" w:hAnsi="Calibri"/>
                <w:b w:val="0"/>
                <w:i w:val="0"/>
                <w:color w:val="202124"/>
                <w:sz w:val="17"/>
              </w:rPr>
              <w:t>For gradient-boosted trees, adding all KPI forecasts increased average development PR-AUC from 0.389 for historical-and-peer information to 0.417. However, the improvement did not appear in every time period, and forecast additions did not improve logistic regression. Forecasts contributed useful information in some settings, but the evidence is not strong enough to claim that they always improve the model.</w:t>
            </w:r>
          </w:p>
        </w:tc>
      </w:tr>
      <w:tr>
        <w:tc>
          <w:tcPr>
            <w:tcW w:type="dxa" w:w="2300"/>
            <w:vAlign w:val="center"/>
            <w:tcMar>
              <w:top w:w="80" w:type="dxa"/>
              <w:bottom w:w="80" w:type="dxa"/>
              <w:start w:w="120" w:type="dxa"/>
              <w:end w:w="120" w:type="dxa"/>
            </w:tcMar>
          </w:tcPr>
          <w:p>
            <w:pPr>
              <w:spacing w:after="0"/>
            </w:pPr>
            <w:r>
              <w:rPr>
                <w:rFonts w:ascii="Calibri" w:hAnsi="Calibri"/>
                <w:b w:val="0"/>
                <w:i w:val="0"/>
                <w:color w:val="202124"/>
                <w:sz w:val="17"/>
              </w:rPr>
              <w:t>H3: Performance changes by sector and time period</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Supported</w:t>
            </w:r>
          </w:p>
        </w:tc>
        <w:tc>
          <w:tcPr>
            <w:tcW w:type="dxa" w:w="5560"/>
            <w:vAlign w:val="center"/>
            <w:tcMar>
              <w:top w:w="80" w:type="dxa"/>
              <w:bottom w:w="80" w:type="dxa"/>
              <w:start w:w="120" w:type="dxa"/>
              <w:end w:w="120" w:type="dxa"/>
            </w:tcMar>
          </w:tcPr>
          <w:p>
            <w:pPr>
              <w:spacing w:after="0"/>
            </w:pPr>
            <w:r>
              <w:rPr>
                <w:rFonts w:ascii="Calibri" w:hAnsi="Calibri"/>
                <w:b w:val="0"/>
                <w:i w:val="0"/>
                <w:color w:val="202124"/>
                <w:sz w:val="17"/>
              </w:rPr>
              <w:t>Results varied across the three development windows and between sectors. On the final holdout, Consumer Discretionary PR-AUC was 0.468 with 0.439 precision, while Utilities PR-AUC was 0.332 with 0.225 precision. These differences support separate sector and time-period reporting rather than relying only on one overall score.</w:t>
            </w:r>
          </w:p>
        </w:tc>
      </w:tr>
    </w:tbl>
    <w:p>
      <w:pPr>
        <w:spacing w:after="0"/>
      </w:pPr>
    </w:p>
    <w:p>
      <w:pPr>
        <w:spacing w:after="120" w:line="264" w:lineRule="auto"/>
      </w:pPr>
      <w:r>
        <w:rPr>
          <w:rFonts w:ascii="Calibri" w:hAnsi="Calibri"/>
          <w:b w:val="0"/>
          <w:i w:val="0"/>
          <w:color w:val="202124"/>
          <w:sz w:val="21"/>
        </w:rPr>
        <w:t>Overall, the study supports the value of combining several types of information and confirms that model performance depends on sector and time period. Forecast features appear promising but require further testing before they should be treated as a consistently reliable improvement.</w:t>
      </w:r>
    </w:p>
    <w:p>
      <w:pPr>
        <w:pStyle w:val="Heading1"/>
        <w:keepNext/>
      </w:pPr>
      <w:r>
        <w:rPr>
          <w:rFonts w:ascii="Calibri" w:hAnsi="Calibri"/>
          <w:b/>
          <w:i w:val="0"/>
          <w:color w:val="17365D"/>
          <w:sz w:val="32"/>
        </w:rPr>
        <w:t>9. Latest portfolio surveillance results</w:t>
      </w:r>
    </w:p>
    <w:p>
      <w:pPr>
        <w:spacing w:after="120" w:line="264" w:lineRule="auto"/>
      </w:pPr>
      <w:r>
        <w:rPr>
          <w:rFonts w:ascii="Calibri" w:hAnsi="Calibri"/>
          <w:b w:val="0"/>
          <w:i w:val="0"/>
          <w:color w:val="202124"/>
          <w:sz w:val="21"/>
        </w:rPr>
        <w:t>The latest evaluated watchlist contains 60 unique issuers and reconciles to 22 alerts (36.67%), 6 Severe classifications, and a 28.13% mean risk estimate. Consumer Discretionary and Utilities each contribute 11 alerts, but the underlying economics differ: the Utilities median combines thinner coverage with negative free-cash-flow margin and higher leverage.</w:t>
      </w:r>
    </w:p>
    <w:p>
      <w:pPr>
        <w:keepNext/>
        <w:jc w:val="center"/>
      </w:pPr>
      <w:r>
        <w:drawing>
          <wp:inline xmlns:a="http://schemas.openxmlformats.org/drawingml/2006/main" xmlns:pic="http://schemas.openxmlformats.org/drawingml/2006/picture">
            <wp:extent cx="5760720" cy="3231624"/>
            <wp:docPr id="7" name="Picture 7"/>
            <wp:cNvGraphicFramePr>
              <a:graphicFrameLocks noChangeAspect="1"/>
            </wp:cNvGraphicFramePr>
            <a:graphic>
              <a:graphicData uri="http://schemas.openxmlformats.org/drawingml/2006/picture">
                <pic:pic>
                  <pic:nvPicPr>
                    <pic:cNvPr id="0" name="top_risk_companies.png"/>
                    <pic:cNvPicPr/>
                  </pic:nvPicPr>
                  <pic:blipFill>
                    <a:blip r:embed="rId17"/>
                    <a:stretch>
                      <a:fillRect/>
                    </a:stretch>
                  </pic:blipFill>
                  <pic:spPr>
                    <a:xfrm>
                      <a:off x="0" y="0"/>
                      <a:ext cx="5760720" cy="3231624"/>
                    </a:xfrm>
                    <a:prstGeom prst="rect"/>
                  </pic:spPr>
                </pic:pic>
              </a:graphicData>
            </a:graphic>
          </wp:inline>
        </w:drawing>
      </w:r>
    </w:p>
    <w:p>
      <w:pPr>
        <w:spacing w:after="160"/>
        <w:jc w:val="center"/>
      </w:pPr>
      <w:r>
        <w:rPr>
          <w:rFonts w:ascii="Calibri" w:hAnsi="Calibri"/>
          <w:b w:val="0"/>
          <w:i/>
          <w:color w:val="667085"/>
          <w:sz w:val="17"/>
        </w:rPr>
        <w:t>Figure 7. Highest latest risk estimates; company rankings are analytical screening outputs, not investment recommendations.</w:t>
      </w:r>
    </w:p>
    <w:p>
      <w:pPr>
        <w:spacing w:after="120" w:line="264" w:lineRule="auto"/>
      </w:pPr>
      <w:r>
        <w:rPr>
          <w:rFonts w:ascii="Calibri" w:hAnsi="Calibri"/>
          <w:b w:val="0"/>
          <w:i w:val="0"/>
          <w:color w:val="202124"/>
          <w:sz w:val="21"/>
        </w:rPr>
        <w:t>The highest risk names should be investigated through an analyst workflow: review filing recency, reconcile the source facts, inspect KPI and forecast paths, assess one-off accounting items, compare peers, and document whether the signal reflects operating deterioration, financing structure, capital expenditure, or model uncertainty. The risk reason is a diagnostic prompt rather than a causal explanation.</w:t>
      </w:r>
    </w:p>
    <w:p>
      <w:pPr>
        <w:pStyle w:val="Heading1"/>
        <w:keepNext/>
      </w:pPr>
      <w:r>
        <w:rPr>
          <w:rFonts w:ascii="Calibri" w:hAnsi="Calibri"/>
          <w:b/>
          <w:i w:val="0"/>
          <w:color w:val="17365D"/>
          <w:sz w:val="32"/>
        </w:rPr>
        <w:t>10. Limitations and threats to validity</w:t>
      </w:r>
    </w:p>
    <w:p>
      <w:pPr>
        <w:pStyle w:val="ListBullet"/>
        <w:spacing w:after="100" w:line="280" w:lineRule="auto"/>
        <w:ind w:left="720" w:hanging="360"/>
      </w:pPr>
      <w:r>
        <w:rPr>
          <w:rFonts w:ascii="Calibri" w:hAnsi="Calibri"/>
          <w:b w:val="0"/>
          <w:i w:val="0"/>
          <w:color w:val="202124"/>
          <w:sz w:val="20"/>
        </w:rPr>
        <w:t>Survivorship and selection bias: the universe contains currently listed firms and excludes delisted/distressed histories, limiting inference about severe credit outcomes.</w:t>
      </w:r>
    </w:p>
    <w:p>
      <w:pPr>
        <w:pStyle w:val="ListBullet"/>
        <w:spacing w:after="100" w:line="280" w:lineRule="auto"/>
        <w:ind w:left="720" w:hanging="360"/>
      </w:pPr>
      <w:r>
        <w:rPr>
          <w:rFonts w:ascii="Calibri" w:hAnsi="Calibri"/>
          <w:b w:val="0"/>
          <w:i w:val="0"/>
          <w:color w:val="202124"/>
          <w:sz w:val="20"/>
        </w:rPr>
        <w:t>External validity: two sectors and 60 firms cannot establish robustness across banks, industrials, healthcare, energy, or international accounting regimes.</w:t>
      </w:r>
    </w:p>
    <w:p>
      <w:pPr>
        <w:pStyle w:val="ListBullet"/>
        <w:spacing w:after="100" w:line="280" w:lineRule="auto"/>
        <w:ind w:left="720" w:hanging="360"/>
      </w:pPr>
      <w:r>
        <w:rPr>
          <w:rFonts w:ascii="Calibri" w:hAnsi="Calibri"/>
          <w:b w:val="0"/>
          <w:i w:val="0"/>
          <w:color w:val="202124"/>
          <w:sz w:val="20"/>
        </w:rPr>
        <w:t>Outcome construction: the deterioration label is economically motivated but researcher-defined; alternative coverage thresholds or horizons may change event prevalence.</w:t>
      </w:r>
    </w:p>
    <w:p>
      <w:pPr>
        <w:pStyle w:val="ListBullet"/>
        <w:spacing w:after="100" w:line="280" w:lineRule="auto"/>
        <w:ind w:left="720" w:hanging="360"/>
      </w:pPr>
      <w:r>
        <w:rPr>
          <w:rFonts w:ascii="Calibri" w:hAnsi="Calibri"/>
          <w:b w:val="0"/>
          <w:i w:val="0"/>
          <w:color w:val="202124"/>
          <w:sz w:val="20"/>
        </w:rPr>
        <w:t>Serial dependence: overlapping four-quarter labels and repeated issuers reduce the effective independent sample size and narrow the set of defensible statistical claims.</w:t>
      </w:r>
    </w:p>
    <w:p>
      <w:pPr>
        <w:pStyle w:val="ListBullet"/>
        <w:spacing w:after="100" w:line="280" w:lineRule="auto"/>
        <w:ind w:left="720" w:hanging="360"/>
      </w:pPr>
      <w:r>
        <w:rPr>
          <w:rFonts w:ascii="Calibri" w:hAnsi="Calibri"/>
          <w:b w:val="0"/>
          <w:i w:val="0"/>
          <w:color w:val="202124"/>
          <w:sz w:val="20"/>
        </w:rPr>
        <w:t>Measurement error: XBRL tag diversity, restatements, fiscal-calendar irregularities, denominator sensitivity, and macro vintage proxies can affect features.</w:t>
      </w:r>
    </w:p>
    <w:p>
      <w:pPr>
        <w:pStyle w:val="ListBullet"/>
        <w:spacing w:after="100" w:line="280" w:lineRule="auto"/>
        <w:ind w:left="720" w:hanging="360"/>
      </w:pPr>
      <w:r>
        <w:rPr>
          <w:rFonts w:ascii="Calibri" w:hAnsi="Calibri"/>
          <w:b w:val="0"/>
          <w:i w:val="0"/>
          <w:color w:val="202124"/>
          <w:sz w:val="20"/>
        </w:rPr>
        <w:t>Forecast uncertainty: several 4Q interval estimates under-cover, so downstream forecast features should not be treated as exact expected states.</w:t>
      </w:r>
    </w:p>
    <w:p>
      <w:pPr>
        <w:pStyle w:val="ListBullet"/>
        <w:spacing w:after="100" w:line="280" w:lineRule="auto"/>
        <w:ind w:left="720" w:hanging="360"/>
      </w:pPr>
      <w:r>
        <w:rPr>
          <w:rFonts w:ascii="Calibri" w:hAnsi="Calibri"/>
          <w:b w:val="0"/>
          <w:i w:val="0"/>
          <w:color w:val="202124"/>
          <w:sz w:val="20"/>
        </w:rPr>
        <w:t>Distribution shift: the locked holdout alert rate and Utilities performance differ from development, indicating temporal and sector instability.</w:t>
      </w:r>
    </w:p>
    <w:p>
      <w:pPr>
        <w:pStyle w:val="ListBullet"/>
        <w:spacing w:after="100" w:line="280" w:lineRule="auto"/>
        <w:ind w:left="720" w:hanging="360"/>
      </w:pPr>
      <w:r>
        <w:rPr>
          <w:rFonts w:ascii="Calibri" w:hAnsi="Calibri"/>
          <w:b w:val="0"/>
          <w:i w:val="0"/>
          <w:color w:val="202124"/>
          <w:sz w:val="20"/>
        </w:rPr>
        <w:t>Non-causality: importance and risk reasons describe predictive associations; they do not identify management actions that would cause risk to decline.</w:t>
      </w:r>
    </w:p>
    <w:p>
      <w:pPr>
        <w:pStyle w:val="ListBullet"/>
        <w:spacing w:after="100" w:line="280" w:lineRule="auto"/>
        <w:ind w:left="720" w:hanging="360"/>
      </w:pPr>
      <w:r>
        <w:rPr>
          <w:rFonts w:ascii="Calibri" w:hAnsi="Calibri"/>
          <w:b w:val="0"/>
          <w:i w:val="0"/>
          <w:color w:val="202124"/>
          <w:sz w:val="20"/>
        </w:rPr>
        <w:t>Operational validation: no cost-sensitive threshold study, analyst-capacity simulation, prospective shadow deployment, or realized P&amp;L/credit-loss backtest has yet been completed.</w:t>
      </w:r>
    </w:p>
    <w:p>
      <w:pPr>
        <w:pStyle w:val="Heading1"/>
        <w:keepNext/>
      </w:pPr>
      <w:r>
        <w:rPr>
          <w:rFonts w:ascii="Calibri" w:hAnsi="Calibri"/>
          <w:b/>
          <w:i w:val="0"/>
          <w:color w:val="17365D"/>
          <w:sz w:val="32"/>
        </w:rPr>
        <w:t>11. Conclusions and practical interpretation</w:t>
      </w:r>
    </w:p>
    <w:p>
      <w:pPr>
        <w:spacing w:after="120" w:line="264" w:lineRule="auto"/>
      </w:pPr>
      <w:r>
        <w:rPr>
          <w:rFonts w:ascii="Calibri" w:hAnsi="Calibri"/>
          <w:b w:val="0"/>
          <w:i w:val="0"/>
          <w:color w:val="202124"/>
          <w:sz w:val="21"/>
        </w:rPr>
        <w:t>Phase 1 demonstrates that disciplined data engineering and experimental governance can turn free public financial data into a credible early-warning prototype. The strongest contribution is not a single algorithm; it is the alignment of financial constructs, point-in-time data, time-series forecasting, imbalance-aware classification metrics, temporal validation, and transparent release controls.</w:t>
      </w:r>
    </w:p>
    <w:p>
      <w:pPr>
        <w:spacing w:after="120" w:line="264" w:lineRule="auto"/>
      </w:pPr>
      <w:r>
        <w:rPr>
          <w:rFonts w:ascii="Calibri" w:hAnsi="Calibri"/>
          <w:b w:val="0"/>
          <w:i w:val="0"/>
          <w:color w:val="202124"/>
          <w:sz w:val="21"/>
        </w:rPr>
        <w:t>The model shows meaningful ranking value and economically interpretable portfolio signals, especially in Consumer Discretionary. At the same time, moderate precision, sector heterogeneity, forecast-interval under-coverage, and survivorship bias constrain deployment. The appropriate conclusion is controlled analyst augmentation: prioritize review, surface evidence, measure uncertainty, and preserve human judgment.</w:t>
      </w:r>
    </w:p>
    <w:p>
      <w:r>
        <w:br w:type="page"/>
      </w:r>
    </w:p>
    <w:p>
      <w:pPr>
        <w:pStyle w:val="Heading1"/>
        <w:keepNext/>
      </w:pPr>
      <w:r>
        <w:rPr>
          <w:rFonts w:ascii="Calibri" w:hAnsi="Calibri"/>
          <w:b/>
          <w:i w:val="0"/>
          <w:color w:val="17365D"/>
          <w:sz w:val="32"/>
        </w:rPr>
        <w:t>Appendix A. Reproducibility and release evidence</w:t>
      </w:r>
    </w:p>
    <w:tbl>
      <w:tblPr>
        <w:tblStyle w:val="TableGrid"/>
        <w:tblW w:type="dxa" w:w="9360"/>
        <w:jc w:val="left"/>
        <w:tblLayout w:type="fixed"/>
        <w:tblLook w:firstColumn="1" w:firstRow="1" w:lastColumn="0" w:lastRow="0" w:noHBand="0" w:noVBand="1" w:val="04A0"/>
        <w:tblInd w:w="120" w:type="dxa"/>
      </w:tblPr>
      <w:tblGrid>
        <w:gridCol w:w="2600"/>
        <w:gridCol w:w="6760"/>
      </w:tblGrid>
      <w:tr>
        <w:tc>
          <w:tcPr>
            <w:tcW w:type="dxa" w:w="2600"/>
            <w:shd w:fill="EAF1F8"/>
            <w:vAlign w:val="center"/>
            <w:tcMar>
              <w:top w:w="80" w:type="dxa"/>
              <w:bottom w:w="80" w:type="dxa"/>
              <w:start w:w="120" w:type="dxa"/>
              <w:end w:w="120" w:type="dxa"/>
            </w:tcMar>
          </w:tcPr>
          <w:p>
            <w:pPr>
              <w:spacing w:after="0"/>
            </w:pPr>
            <w:r>
              <w:rPr>
                <w:rFonts w:ascii="Calibri" w:hAnsi="Calibri"/>
                <w:b/>
                <w:i w:val="0"/>
                <w:color w:val="17365D"/>
                <w:sz w:val="18"/>
              </w:rPr>
              <w:t>Control</w:t>
            </w:r>
          </w:p>
        </w:tc>
        <w:tc>
          <w:tcPr>
            <w:tcW w:type="dxa" w:w="6760"/>
            <w:shd w:fill="EAF1F8"/>
            <w:vAlign w:val="center"/>
            <w:tcMar>
              <w:top w:w="80" w:type="dxa"/>
              <w:bottom w:w="80" w:type="dxa"/>
              <w:start w:w="120" w:type="dxa"/>
              <w:end w:w="120" w:type="dxa"/>
            </w:tcMar>
          </w:tcPr>
          <w:p>
            <w:pPr>
              <w:spacing w:after="0"/>
            </w:pPr>
            <w:r>
              <w:rPr>
                <w:rFonts w:ascii="Calibri" w:hAnsi="Calibri"/>
                <w:b/>
                <w:i w:val="0"/>
                <w:color w:val="17365D"/>
                <w:sz w:val="18"/>
              </w:rPr>
              <w:t>Phase 1 implementation</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Environment</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Python 3.12 project with locked dependencies and deterministic commands</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Lineage</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SEC/FRED acquisition manifests, checksums, versioned configurations, and point-in-time policies</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Model governance</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OOF development predictions, fold-local transformations, frozen champion, one-time holdout</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Analysis reconciliation</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60 unique companies, 3,150 unique decision records, and 93 model-performance records</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Release evidence</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Certified analysis workbook, publication figures, source documentation, and automated tests</w:t>
            </w:r>
          </w:p>
        </w:tc>
      </w:tr>
    </w:tbl>
    <w:p>
      <w:pPr>
        <w:spacing w:after="0"/>
      </w:pPr>
    </w:p>
    <w:p>
      <w:pPr>
        <w:spacing w:after="120" w:line="264" w:lineRule="auto"/>
      </w:pPr>
      <w:r>
        <w:rPr>
          <w:rFonts w:ascii="Calibri" w:hAnsi="Calibri"/>
          <w:b w:val="0"/>
          <w:i w:val="0"/>
          <w:color w:val="202124"/>
          <w:sz w:val="21"/>
        </w:rPr>
        <w:t>Primary internal references: README.md; docs/point_in_time_policy.md; docs/label_specification.md; docs/model_card.md; docs/modeling_lineage.md; and the stage execution records. External data originate from SEC EDGAR and FRED/ALFRED under their respective public usage policies.</w:t>
      </w:r>
    </w:p>
    <w:p>
      <w:pPr>
        <w:spacing w:after="120" w:line="264" w:lineRule="auto"/>
      </w:pPr>
      <w:r>
        <w:rPr>
          <w:rFonts w:ascii="Calibri" w:hAnsi="Calibri"/>
          <w:b w:val="0"/>
          <w:i w:val="0"/>
          <w:color w:val="202124"/>
          <w:sz w:val="21"/>
        </w:rPr>
        <w:t>Disclaimer. This report is an analytical portfolio project for research and demonstration. It is not investment advice, a credit rating, a bankruptcy/default model, or a substitute for audited financial statements and professional judgment.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667085"/>
        <w:sz w:val="16"/>
      </w:rPr>
      <w:t>Independent analytical research | Not investment advice or a default-probability model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i w:val="0"/>
        <w:color w:val="667085"/>
        <w:sz w:val="17"/>
      </w:rPr>
      <w:t>CORPORATE FINANCIAL DETERIORATION | PHASE 1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2E75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