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sz w:val="44"/>
        </w:rPr>
        <w:t>PharmaChain: A Hybrid AI and Blockchain Framework for Three-Party Pharmaceutical Supply Chain Verification with LLM-Powered Fraud Investigation</w:t>
      </w:r>
    </w:p>
    <w:p>
      <w:pPr>
        <w:pStyle w:val="Normal"/>
        <w:spacing w:before="0" w:after="40"/>
        <w:jc w:val="center"/>
        <w:rPr/>
      </w:pPr>
      <w:r>
        <w:rPr>
          <w:sz w:val="22"/>
        </w:rPr>
        <w:t>Anish S</w:t>
      </w:r>
      <w:r>
        <w:rPr>
          <w:sz w:val="22"/>
        </w:rPr>
        <w:t>arkar</w:t>
      </w:r>
    </w:p>
    <w:p>
      <w:pPr>
        <w:pStyle w:val="Normal"/>
        <w:spacing w:before="0" w:after="240"/>
        <w:jc w:val="center"/>
        <w:rPr/>
      </w:pPr>
      <w:r>
        <w:rPr>
          <w:i/>
          <w:sz w:val="18"/>
        </w:rPr>
        <w:t xml:space="preserve">Department of Computer Science and </w:t>
      </w:r>
      <w:r>
        <w:rPr>
          <w:i/>
          <w:sz w:val="18"/>
        </w:rPr>
        <w:t>Technology</w:t>
      </w:r>
      <w:r>
        <w:rPr>
          <w:i/>
          <w:sz w:val="18"/>
        </w:rPr>
        <w:br/>
        <w:t xml:space="preserve">Independent Research · </w:t>
      </w:r>
      <w:r>
        <w:rPr>
          <w:i/>
          <w:sz w:val="18"/>
        </w:rPr>
        <w:t>Kolkata</w:t>
      </w:r>
      <w:r>
        <w:rPr>
          <w:i/>
          <w:sz w:val="18"/>
        </w:rPr>
        <w:t>, India</w:t>
        <w:br/>
        <w:t>anish.</w:t>
      </w:r>
      <w:r>
        <w:rPr>
          <w:i/>
          <w:sz w:val="18"/>
        </w:rPr>
        <w:t>sarkar</w:t>
      </w:r>
      <w:r>
        <w:rPr>
          <w:i/>
          <w:sz w:val="18"/>
        </w:rPr>
        <w:t>@email.com</w:t>
      </w:r>
    </w:p>
    <w:p>
      <w:pPr>
        <w:pStyle w:val="Normal"/>
        <w:spacing w:before="280" w:after="120"/>
        <w:rPr/>
      </w:pPr>
      <w:r>
        <w:rPr>
          <w:b/>
          <w:sz w:val="20"/>
        </w:rPr>
        <w:t>ABSTRACT</w:t>
      </w:r>
    </w:p>
    <w:p>
      <w:pPr>
        <w:pStyle w:val="Normal"/>
        <w:spacing w:before="0" w:after="80"/>
        <w:rPr/>
      </w:pPr>
      <w:r>
        <w:rPr>
          <w:sz w:val="20"/>
        </w:rPr>
        <w:t>The global pharmaceutical supply chain faces a systemic integrity crisis, with the counterfeit medicine market estimated at up to $432 billion annually—exceeding the combined revenue of illicit arms and narcotics trades. A 2023 UNODC report documented 267,000 annual deaths from falsified antimalarial drugs and 169,000 from fake antibiotics for childhood pneumonia in sub-Saharan Africa alone. Existing blockchain-based solutions address traceability but fail to implement cross-party fraud detection; existing AI solutions address demand forecasting but not fraud explainability. No prior system combines both with crisis-aware logistics rerouting without IoT hardware dependency. This paper presents PharmaChain, a hybrid AI and blockchain framework that introduces three-party attestation verification—requiring independent data submission from Manufacturer, Supplier, and Hospital—cross-matched by a deterministic rule engine augmented with a Large Language Model (Gemini 2.5 Flash) for natural-language fraud investigation reports. The system employs an off-chain/on-chain hybrid ledger architecture on Ethereum Sepolia, a Dijkstra-based crisis rerouting engine integrated with real-time news intelligence, and a dynamic entity trust scoring mechanism. PharmaChain is deployed as a production-accessible web application (Vercel + Railway) with zero hardware requirements, making it immediately accessible to NGOs, governments, and healthcare facilities in resource-constrained regions. Security analysis identifies smart contract vulnerabilities including single-owner authority (f = 0 Byzantine fault tolerance) and mutable records, with proposed mitigations including multi-signature thresholds and append-only guarantees. Field-level AES-256 encryption, salted hash commitments, and zero-knowledge proof attestation are proposed as the privacy-preserving upgrade path for production deployment.</w:t>
      </w:r>
    </w:p>
    <w:p>
      <w:pPr>
        <w:pStyle w:val="Normal"/>
        <w:spacing w:before="0" w:after="240"/>
        <w:rPr/>
      </w:pPr>
      <w:r>
        <w:rPr>
          <w:b/>
          <w:sz w:val="18"/>
        </w:rPr>
        <w:t xml:space="preserve">Keywords: </w:t>
      </w:r>
      <w:r>
        <w:rPr>
          <w:sz w:val="18"/>
        </w:rPr>
        <w:t>Pharmaceutical supply chain, Blockchain, Artificial intelligence, Three-party attestation, LLM fraud investigation, Trust scoring, Crisis rerouting, Smart contracts, Zero-knowledge proofs</w:t>
      </w:r>
    </w:p>
    <w:p>
      <w:pPr>
        <w:pStyle w:val="Normal"/>
        <w:spacing w:before="280" w:after="120"/>
        <w:rPr/>
      </w:pPr>
      <w:r>
        <w:rPr>
          <w:b/>
          <w:sz w:val="20"/>
        </w:rPr>
        <w:t>I. INTRODUCTION</w:t>
      </w:r>
    </w:p>
    <w:p>
      <w:pPr>
        <w:pStyle w:val="Normal"/>
        <w:spacing w:before="0" w:after="80"/>
        <w:ind w:firstLine="425"/>
        <w:rPr/>
      </w:pPr>
      <w:r>
        <w:rPr>
          <w:sz w:val="20"/>
        </w:rPr>
        <w:t>The pharmaceutical supply chain is among the most complex and regulated distribution networks in the global economy, involving multiple stakeholders across manufacturing, warehousing, distribution, and consumption. The World Health Organization (WHO) estimates that 11% of medicines in developing countries are counterfeit, with drugs for malaria and bacterial infections accounting for nearly 65% of falsified medicines [1]. Between 72,000 and 169,000 children may be dying annually from pneumonia alone after receiving ineffective counterfeit drugs [2]. The Drug Supply Chain Security Act (DSCSA), which reached full enforcement in November 2023, mandates electronic tracking of prescription drugs across the United States supply chain [3]. Similarly, the European Union's Falsified Medicines Directive (FMD) and India's updated Schedule M GMP compliance requirements (2023) impose stringent traceability obligations on pharmaceutical exporters globally.</w:t>
      </w:r>
    </w:p>
    <w:p>
      <w:pPr>
        <w:pStyle w:val="Normal"/>
        <w:spacing w:before="0" w:after="80"/>
        <w:ind w:firstLine="425"/>
        <w:rPr/>
      </w:pPr>
      <w:r>
        <w:rPr>
          <w:sz w:val="20"/>
        </w:rPr>
        <w:t>Blockchain technology has emerged as a promising solution for supply chain integrity, offering immutability, transparency, and cryptographic verification of transactions [4]. Several prior works have proposed blockchain-based pharmaceutical tracking systems. Gomasta et al. [5] developed a Hyperledger Fabric framework with ECDSA double-signing between pharmaceutical companies and drug regulators. Jamil et al. [6] proposed a smart hospital system using Hyperledger Fabric with IoT integration. Musamih et al. [7] designed a blockchain-based drug traceability architecture on Ethereum. However, these existing solutions share three critical limitations:</w:t>
      </w:r>
    </w:p>
    <w:p>
      <w:pPr>
        <w:pStyle w:val="Normal"/>
        <w:spacing w:before="0" w:after="40"/>
        <w:ind w:start="567"/>
        <w:rPr/>
      </w:pPr>
      <w:r>
        <w:rPr>
          <w:sz w:val="20"/>
        </w:rPr>
        <w:t xml:space="preserve">• </w:t>
      </w:r>
      <w:r>
        <w:rPr>
          <w:sz w:val="20"/>
        </w:rPr>
        <w:t>No system implements cross-party fraud detection where independently submitted data from three or more parties is automatically compared for inconsistencies.</w:t>
      </w:r>
    </w:p>
    <w:p>
      <w:pPr>
        <w:pStyle w:val="Normal"/>
        <w:spacing w:before="0" w:after="40"/>
        <w:ind w:start="567"/>
        <w:rPr/>
      </w:pPr>
      <w:r>
        <w:rPr>
          <w:sz w:val="20"/>
        </w:rPr>
        <w:t xml:space="preserve">• </w:t>
      </w:r>
      <w:r>
        <w:rPr>
          <w:sz w:val="20"/>
        </w:rPr>
        <w:t>No system provides explainable AI-generated investigation reports for flagged shipments using Large Language Models.</w:t>
      </w:r>
    </w:p>
    <w:p>
      <w:pPr>
        <w:pStyle w:val="Normal"/>
        <w:spacing w:before="0" w:after="40"/>
        <w:ind w:start="567"/>
        <w:rPr/>
      </w:pPr>
      <w:r>
        <w:rPr>
          <w:sz w:val="20"/>
        </w:rPr>
        <w:t xml:space="preserve">• </w:t>
      </w:r>
      <w:r>
        <w:rPr>
          <w:sz w:val="20"/>
        </w:rPr>
        <w:t>No system integrates real-time crisis intelligence with supply chain rerouting without requiring IoT hardware.</w:t>
      </w:r>
    </w:p>
    <w:p>
      <w:pPr>
        <w:pStyle w:val="Normal"/>
        <w:spacing w:before="0" w:after="80"/>
        <w:ind w:firstLine="425"/>
        <w:rPr/>
      </w:pPr>
      <w:r>
        <w:rPr>
          <w:sz w:val="20"/>
        </w:rPr>
        <w:t>This paper introduces PharmaChain, a framework that addresses all three gaps through: (1) a novel three-party attestation model requiring independent data submission from Manufacturer, Supplier, and Hospital/Consumer; (2) a hybrid AI verification engine combining deterministic rule-based cross-matching with LLM-powered investigation; (3) a crisis disruption center with Dijkstra-based logistics rerouting; and (4) a dynamic entity trust scoring mechanism that adjusts based on historical verification outcomes. The system is deployed as a production-accessible web application with zero hardware cost, making it immediately deployable in resource-constrained regions where counterfeit medicine mortality is highest.</w:t>
      </w:r>
    </w:p>
    <w:p>
      <w:pPr>
        <w:pStyle w:val="Normal"/>
        <w:spacing w:before="0" w:after="80"/>
        <w:ind w:firstLine="425"/>
        <w:rPr/>
      </w:pPr>
      <w:r>
        <w:rPr>
          <w:sz w:val="20"/>
        </w:rPr>
        <w:t>The remainder of this paper is organized as follows: Section II reviews related work in blockchain and AI for pharmaceutical supply chains. Section III presents the system architecture. Section IV details the mathematical methodology including the verification AI, trust engine, and rerouting algorithms. Section V describes the implementation and deployment. Section VI provides security analysis including smart contract vulnerability assessment and Byzantine fault tolerance. Section VII discusses limitations and the proposed privacy-preserving upgrade path. Section VIII outlines future work directions. Section IX concludes the paper.</w:t>
      </w:r>
    </w:p>
    <w:p>
      <w:pPr>
        <w:pStyle w:val="Normal"/>
        <w:spacing w:before="280" w:after="120"/>
        <w:rPr/>
      </w:pPr>
      <w:r>
        <w:rPr>
          <w:b/>
          <w:sz w:val="20"/>
        </w:rPr>
        <w:t>II. RELATED WORK</w:t>
      </w:r>
    </w:p>
    <w:p>
      <w:pPr>
        <w:pStyle w:val="Normal"/>
        <w:spacing w:before="200" w:after="80"/>
        <w:rPr/>
      </w:pPr>
      <w:r>
        <w:rPr>
          <w:b/>
          <w:i/>
          <w:sz w:val="20"/>
        </w:rPr>
        <w:t>A. Blockchain-Based Pharmaceutical Supply Chain Systems</w:t>
      </w:r>
    </w:p>
    <w:p>
      <w:pPr>
        <w:pStyle w:val="Normal"/>
        <w:spacing w:before="0" w:after="80"/>
        <w:ind w:firstLine="425"/>
        <w:rPr/>
      </w:pPr>
      <w:r>
        <w:rPr>
          <w:sz w:val="20"/>
        </w:rPr>
        <w:t>Gomasta et al. [5] proposed PharmaChain, a Hyperledger Fabric-based framework for Bangladesh's pharmaceutical supply chain, implementing ECDSA double-signing between pharmaceutical companies and the Directorate General of Drug Administration (DGDA). Their system provides on-chain and off-chain storage with smart contracts for data provenance, and includes a formal security analysis demonstrating 33% Byzantine fault tolerance (BFT). However, the system operates only between two parties (pharmaceutical company and regulator), does not implement AI-based fraud detection, and is not deployed as a live accessible application.</w:t>
      </w:r>
    </w:p>
    <w:p>
      <w:pPr>
        <w:pStyle w:val="Normal"/>
        <w:spacing w:before="0" w:after="80"/>
        <w:ind w:firstLine="425"/>
        <w:rPr/>
      </w:pPr>
      <w:r>
        <w:rPr>
          <w:sz w:val="20"/>
        </w:rPr>
        <w:t>Jamil et al. [6] designed a medical blockchain for drug supply chain integrity in smart hospitals, utilizing Hyperledger Fabric with IoT sensors for environmental monitoring. While their system provides comprehensive tracking, it requires significant hardware investment (IoT sensors, RFID tags) and does not include AI-powered cross-party verification. Musamih et al. [7] proposed a blockchain-based drug traceability system on Ethereum with smart contracts for ownership transfer, but focused on linear tracking rather than multi-party attestation.</w:t>
      </w:r>
    </w:p>
    <w:p>
      <w:pPr>
        <w:pStyle w:val="Normal"/>
        <w:spacing w:before="0" w:after="80"/>
        <w:ind w:firstLine="425"/>
        <w:rPr/>
      </w:pPr>
      <w:r>
        <w:rPr>
          <w:sz w:val="20"/>
        </w:rPr>
        <w:t>Sylim et al. [8] developed a blockchain-based system specifically for detecting falsified and substandard drugs in distribution, representing one of the earliest proposals for using distributed ledger technology in pharmaceutical fraud detection. Uddin et al. [9] provided a comprehensive review of blockchain architectures for drug traceability, identifying interoperability and scalability as the primary open challenges. The MediLedger Project [10] represents the most significant industry initiative, implementing DSCSA-compliant product verification on a permissioned blockchain, but remains a proprietary enterprise solution inaccessible to NGOs and developing-country health systems.</w:t>
      </w:r>
    </w:p>
    <w:p>
      <w:pPr>
        <w:pStyle w:val="Normal"/>
        <w:spacing w:before="200" w:after="80"/>
        <w:rPr/>
      </w:pPr>
      <w:r>
        <w:rPr>
          <w:b/>
          <w:i/>
          <w:sz w:val="20"/>
        </w:rPr>
        <w:t>B. AI in Supply Chain Fraud Detection</w:t>
      </w:r>
    </w:p>
    <w:p>
      <w:pPr>
        <w:pStyle w:val="Normal"/>
        <w:spacing w:before="0" w:after="80"/>
        <w:ind w:firstLine="425"/>
        <w:rPr/>
      </w:pPr>
      <w:r>
        <w:rPr>
          <w:sz w:val="20"/>
        </w:rPr>
        <w:t>Bello et al. [11] proposed conceptual frameworks for integrating machine learning with blockchain for real-time fraud detection, but did not implement a working system. Recent work on LLM-grounded explainable AI for supply chain risk [12] demonstrates the feasibility of using temporal graph attention networks with large language models for early warning systems. However, no prior work has combined LLM-based investigation with blockchain-anchored three-party attestation for pharmaceutical fraud detection.</w:t>
      </w:r>
    </w:p>
    <w:p>
      <w:pPr>
        <w:pStyle w:val="Normal"/>
        <w:spacing w:before="200" w:after="80"/>
        <w:rPr/>
      </w:pPr>
      <w:r>
        <w:rPr>
          <w:b/>
          <w:i/>
          <w:sz w:val="20"/>
        </w:rPr>
        <w:t>C. Crisis-Aware Supply Chain Management</w:t>
      </w:r>
    </w:p>
    <w:p>
      <w:pPr>
        <w:pStyle w:val="Normal"/>
        <w:spacing w:before="0" w:after="80"/>
        <w:ind w:firstLine="425"/>
        <w:rPr/>
      </w:pPr>
      <w:r>
        <w:rPr>
          <w:sz w:val="20"/>
        </w:rPr>
        <w:t>Supply chain disruption management has been extensively studied in operations research, with Dijkstra's algorithm widely applied for shortest-path rerouting in logistics networks [13]. However, existing pharmaceutical supply chain systems treat disruption management and fraud detection as separate concerns. PharmaChain is the first system to integrate real-time crisis intelligence (via news monitoring APIs) with blockchain-verified supply chain operations, enabling automatic rerouting recommendations when disruptions affect verified supply routes.</w:t>
      </w:r>
    </w:p>
    <w:p>
      <w:pPr>
        <w:pStyle w:val="Normal"/>
        <w:spacing w:before="200" w:after="80"/>
        <w:rPr/>
      </w:pPr>
      <w:r>
        <w:rPr>
          <w:b/>
          <w:i/>
          <w:sz w:val="20"/>
        </w:rPr>
        <w:t>D. Comparative Analysis</w:t>
      </w:r>
    </w:p>
    <w:p>
      <w:pPr>
        <w:pStyle w:val="Normal"/>
        <w:spacing w:before="80" w:after="160"/>
        <w:jc w:val="center"/>
        <w:rPr/>
      </w:pPr>
      <w:r>
        <w:rPr>
          <w:i/>
          <w:sz w:val="18"/>
        </w:rPr>
        <w:t>TABLE I: Comparative Analysis Against Prior Works</w:t>
      </w:r>
    </w:p>
    <w:tbl>
      <w:tblPr>
        <w:tblStyle w:val="TableGrid"/>
        <w:tblW w:w="1007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015"/>
        <w:gridCol w:w="2015"/>
        <w:gridCol w:w="2015"/>
        <w:gridCol w:w="2015"/>
        <w:gridCol w:w="2015"/>
      </w:tblGrid>
      <w:tr>
        <w:trPr/>
        <w:tc>
          <w:tcPr>
            <w:tcW w:w="2015"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Feature</w:t>
            </w:r>
          </w:p>
        </w:tc>
        <w:tc>
          <w:tcPr>
            <w:tcW w:w="2015"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Gomasta et al. [5]</w:t>
            </w:r>
          </w:p>
        </w:tc>
        <w:tc>
          <w:tcPr>
            <w:tcW w:w="2015"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Jamil et al. [6]</w:t>
            </w:r>
          </w:p>
        </w:tc>
        <w:tc>
          <w:tcPr>
            <w:tcW w:w="2015"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Sherwyn et al.</w:t>
            </w:r>
          </w:p>
        </w:tc>
        <w:tc>
          <w:tcPr>
            <w:tcW w:w="2015"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PharmaChain (Ours)</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Blockchain</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Hyperledger Fabric</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Hyperledger Fabric</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Ganache (local)</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Ethereum Sepolia (live)</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Deployable/live</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(Vercel + Railway)</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Three-party attestation</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 (2-party)</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 core feature</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AI cross-match fraud</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Basic ML</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Hybrid rule + LLM</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LLM investigation</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(Gemini 2.5 Flash)</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IoT dependency</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 — zero hardware</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Crisis rerouting</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(Dijkstra + NewsAPI)</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Entity trust scoring</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 dynamic scores</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Explainable AI</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 human-readable</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DSCSA/FMD compliance</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 audit trail ready</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BFT analysis</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(33%)</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(identified f=0)</w:t>
            </w:r>
          </w:p>
        </w:tc>
      </w:tr>
      <w:tr>
        <w:trPr/>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Accessible to NGOs</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No</w:t>
            </w:r>
          </w:p>
        </w:tc>
        <w:tc>
          <w:tcPr>
            <w:tcW w:w="2015"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Yes — zero cost</w:t>
            </w:r>
          </w:p>
        </w:tc>
      </w:tr>
    </w:tbl>
    <w:p>
      <w:pPr>
        <w:pStyle w:val="Normal"/>
        <w:rPr/>
      </w:pPr>
      <w:r>
        <w:rPr/>
      </w:r>
    </w:p>
    <w:p>
      <w:pPr>
        <w:pStyle w:val="Normal"/>
        <w:spacing w:before="280" w:after="120"/>
        <w:rPr/>
      </w:pPr>
      <w:r>
        <w:rPr>
          <w:b/>
          <w:sz w:val="20"/>
        </w:rPr>
        <w:t>III. SYSTEM ARCHITECTURE</w:t>
      </w:r>
    </w:p>
    <w:p>
      <w:pPr>
        <w:pStyle w:val="Normal"/>
        <w:spacing w:before="200" w:after="80"/>
        <w:rPr/>
      </w:pPr>
      <w:r>
        <w:rPr>
          <w:b/>
          <w:i/>
          <w:sz w:val="20"/>
        </w:rPr>
        <w:t>A. Three-Party Attestation Model</w:t>
      </w:r>
    </w:p>
    <w:p>
      <w:pPr>
        <w:pStyle w:val="Normal"/>
        <w:spacing w:before="0" w:after="80"/>
        <w:ind w:firstLine="425"/>
        <w:rPr/>
      </w:pPr>
      <w:r>
        <w:rPr>
          <w:sz w:val="20"/>
        </w:rPr>
        <w:t>The fundamental architectural innovation of PharmaChain is the three-party attestation model. Unlike prior systems that track linear ownership transfers, PharmaChain requires each party in the supply chain to independently submit handoff data—including quantity, batch number, expiry date, medicine name, and storage temperature—without visibility into other parties' submissions. The Verification AI Engine then cross-matches all three submissions to detect inconsistencies that indicate fraud, diversion, or tampering.</w:t>
      </w:r>
    </w:p>
    <w:p>
      <w:pPr>
        <w:pStyle w:val="Normal"/>
        <w:spacing w:before="0" w:after="80"/>
        <w:ind w:firstLine="425"/>
        <w:rPr/>
      </w:pPr>
      <w:r>
        <w:rPr>
          <w:sz w:val="20"/>
        </w:rPr>
        <w:t>The three-party model creates a fundamental game-theoretic constraint: fraud in PharmaChain requires simultaneous collusion across Manufacturer, Supplier, and Hospital—a condition that is statistically and operationally difficult to sustain when all three transactions are independently recorded on an immutable blockchain ledger. The closest prior work (Gomasta et al. [5]) uses ECDSA double-signing between only two parties (pharmaceutical company and drug regulator), without AI cross-matching of independently submitted data.</w:t>
      </w:r>
    </w:p>
    <w:p>
      <w:pPr>
        <w:pStyle w:val="Normal"/>
        <w:spacing w:before="200" w:after="80"/>
        <w:rPr/>
      </w:pPr>
      <w:r>
        <w:rPr>
          <w:b/>
          <w:i/>
          <w:sz w:val="20"/>
        </w:rPr>
        <w:t>B. Hybrid AI Verification Engine</w:t>
      </w:r>
    </w:p>
    <w:p>
      <w:pPr>
        <w:pStyle w:val="Normal"/>
        <w:spacing w:before="0" w:after="80"/>
        <w:ind w:firstLine="425"/>
        <w:rPr/>
      </w:pPr>
      <w:r>
        <w:rPr>
          <w:sz w:val="20"/>
        </w:rPr>
        <w:t>The Verification AI operates as a two-layer hybrid system. Layer 1 is a deterministic rule engine that executes mathematical cross-matching with guaranteed consistency—it always produces the same output for the same input, with zero dependency on external services. Layer 2 is a Large Language Model (Gemini 2.5 Flash) that generates natural-language investigation reports for flagged shipments, providing root cause analysis and recommended actions. Layer 2 operates asynchronously with graceful fallback: if the LLM API is unavailable, the system continues operating on Layer 1 alone, ensuring the verification pipeline never blocks on external dependencies.</w:t>
      </w:r>
    </w:p>
    <w:p>
      <w:pPr>
        <w:pStyle w:val="Normal"/>
        <w:spacing w:before="200" w:after="80"/>
        <w:rPr/>
      </w:pPr>
      <w:r>
        <w:rPr>
          <w:b/>
          <w:i/>
          <w:sz w:val="20"/>
        </w:rPr>
        <w:t>C. Off-Chain/On-Chain Hybrid Ledger</w:t>
      </w:r>
    </w:p>
    <w:p>
      <w:pPr>
        <w:pStyle w:val="Normal"/>
        <w:spacing w:before="0" w:after="80"/>
        <w:ind w:firstLine="425"/>
        <w:rPr/>
      </w:pPr>
      <w:r>
        <w:rPr>
          <w:sz w:val="20"/>
        </w:rPr>
        <w:t>PharmaChain employs a hybrid ledger architecture that separates storage concerns for optimal performance and cost efficiency. Off-chain storage (PostgreSQL) maintains raw batch data, full handoff records, AI flag details, user profiles, approval logs, and stock levels—enabling fast reads/writes with full structured query capability. On-chain storage (Ethereum Sepolia via PharmaChain.sol smart contract) records SHA-256 checkpoint hashes, verification status, risk scores, and timestamps—providing an immutable audit trail containing only state transitions. This design ensures that the blockchain serves as a tamper-proof witness without incurring the storage cost or gas overhead of full data replication on-chain.</w:t>
      </w:r>
    </w:p>
    <w:p>
      <w:pPr>
        <w:pStyle w:val="Normal"/>
        <w:spacing w:before="200" w:after="80"/>
        <w:rPr/>
      </w:pPr>
      <w:r>
        <w:rPr>
          <w:b/>
          <w:i/>
          <w:sz w:val="20"/>
        </w:rPr>
        <w:t>D. Crisis Disruption Center</w:t>
      </w:r>
    </w:p>
    <w:p>
      <w:pPr>
        <w:pStyle w:val="Normal"/>
        <w:spacing w:before="0" w:after="80"/>
        <w:ind w:firstLine="425"/>
        <w:rPr/>
      </w:pPr>
      <w:r>
        <w:rPr>
          <w:sz w:val="20"/>
        </w:rPr>
        <w:t>The Crisis Disruption Center integrates real-time news intelligence with supply chain operations. Disruption events—natural disasters, geopolitical conflicts, infrastructure failures—are ingested via NewsAPI monitoring and user-reported incidents. Each event is classified by type, severity, affected region, and estimated impact duration. The system models the logistics network as a weighted directed graph and applies Dijkstra's algorithm to compute optimal rerouting paths when disruptions affect active supply routes.</w:t>
      </w:r>
    </w:p>
    <w:p>
      <w:pPr>
        <w:pStyle w:val="Normal"/>
        <w:spacing w:before="200" w:after="80"/>
        <w:rPr/>
      </w:pPr>
      <w:r>
        <w:rPr>
          <w:b/>
          <w:i/>
          <w:sz w:val="20"/>
        </w:rPr>
        <w:t>E. Role-Based Access Control and Admin Hierarchy</w:t>
      </w:r>
    </w:p>
    <w:p>
      <w:pPr>
        <w:pStyle w:val="Normal"/>
        <w:spacing w:before="0" w:after="80"/>
        <w:ind w:firstLine="425"/>
        <w:rPr/>
      </w:pPr>
      <w:r>
        <w:rPr>
          <w:sz w:val="20"/>
        </w:rPr>
        <w:t>PharmaChain implements a three-tier administrative hierarchy with role-scoped access: (1) Admin-Master (admin_master) serves as the platform custodian with full system access, including the ability to view and edit accounts of other administrators; (2) Admin-Manager (admin_manager) acts as the compliance and operations lead, with authority to view global trust scores, crisis events, and manually override AI flags as the human-in-the-loop compliance officer; (3) Admin-Dev (admin_dev) serves as the technical overseer with access to raw data for debugging, system logs, and blockchain transaction hashes, but without authority to override AI flags or modify compliance records. All administrative actions are recorded in an immutable approval log with actor identification, timestamps, and action descriptions.</w:t>
      </w:r>
    </w:p>
    <w:p>
      <w:pPr>
        <w:pStyle w:val="Normal"/>
        <w:spacing w:before="280" w:after="120"/>
        <w:rPr/>
      </w:pPr>
      <w:r>
        <w:rPr>
          <w:b/>
          <w:sz w:val="20"/>
        </w:rPr>
        <w:t>IV. METHODOLOGY</w:t>
      </w:r>
    </w:p>
    <w:p>
      <w:pPr>
        <w:pStyle w:val="Normal"/>
        <w:spacing w:before="200" w:after="80"/>
        <w:rPr/>
      </w:pPr>
      <w:r>
        <w:rPr>
          <w:b/>
          <w:i/>
          <w:sz w:val="20"/>
        </w:rPr>
        <w:t>A. Verification AI Risk Score Formula</w:t>
      </w:r>
    </w:p>
    <w:p>
      <w:pPr>
        <w:pStyle w:val="Normal"/>
        <w:spacing w:before="0" w:after="80"/>
        <w:ind w:firstLine="425"/>
        <w:rPr/>
      </w:pPr>
      <w:r>
        <w:rPr>
          <w:sz w:val="20"/>
        </w:rPr>
        <w:t>The Verification AI computes a composite risk score R for each supply chain handoff using a weighted binary indicator model. The risk score is defined as:</w:t>
      </w:r>
    </w:p>
    <w:p>
      <w:pPr>
        <w:pStyle w:val="Normal"/>
        <w:spacing w:before="120" w:after="120"/>
        <w:jc w:val="center"/>
        <w:rPr/>
      </w:pPr>
      <w:r>
        <w:rPr>
          <w:rFonts w:ascii="Cambria Math" w:hAnsi="Cambria Math"/>
          <w:i/>
          <w:sz w:val="20"/>
        </w:rPr>
        <w:t>R = min( Σᵢ₌₁ⁿ wᵢ · fᵢ , 100 )                    (1)</w:t>
      </w:r>
    </w:p>
    <w:p>
      <w:pPr>
        <w:pStyle w:val="Normal"/>
        <w:spacing w:before="0" w:after="80"/>
        <w:rPr/>
      </w:pPr>
      <w:r>
        <w:rPr>
          <w:sz w:val="20"/>
        </w:rPr>
        <w:t>where R ∈ [0, 100] is the risk score, fᵢ ∈ {0, 1} are binary fraud indicators (0 = no violation, 1 = violation detected), wᵢ are the weights assigned to each rule i, and n is the number of rules evaluated. The risk score is capped at 100 to maintain a normalized scale.</w:t>
      </w:r>
    </w:p>
    <w:p>
      <w:pPr>
        <w:pStyle w:val="Normal"/>
        <w:spacing w:before="80" w:after="160"/>
        <w:jc w:val="center"/>
        <w:rPr/>
      </w:pPr>
      <w:r>
        <w:rPr>
          <w:i/>
          <w:sz w:val="18"/>
        </w:rPr>
        <w:t>TABLE II: Verification AI Rule Weights</w:t>
      </w:r>
    </w:p>
    <w:tbl>
      <w:tblPr>
        <w:tblStyle w:val="TableGrid"/>
        <w:tblW w:w="1007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58"/>
        <w:gridCol w:w="3358"/>
        <w:gridCol w:w="3358"/>
      </w:tblGrid>
      <w:tr>
        <w:trPr/>
        <w:tc>
          <w:tcPr>
            <w:tcW w:w="3358"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Rule (fᵢ)</w:t>
            </w:r>
          </w:p>
        </w:tc>
        <w:tc>
          <w:tcPr>
            <w:tcW w:w="3358"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Condition</w:t>
            </w:r>
          </w:p>
        </w:tc>
        <w:tc>
          <w:tcPr>
            <w:tcW w:w="3358"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Weight (wᵢ)</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f₁</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Quantity deviation &gt; 15% between parties</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30</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f₂</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Quantity deviation &gt; 30% (additive severe)</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20</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f₃</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Expiry date mismatch between parties</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40</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f₄</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Batch number mismatch</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30</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f₅</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Medicine name mismatch</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30</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f₆</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Storage temperature &gt; 30°C (cold chain breach)</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15</w:t>
            </w:r>
          </w:p>
        </w:tc>
      </w:tr>
    </w:tbl>
    <w:p>
      <w:pPr>
        <w:pStyle w:val="Normal"/>
        <w:rPr/>
      </w:pPr>
      <w:r>
        <w:rPr/>
      </w:r>
    </w:p>
    <w:p>
      <w:pPr>
        <w:pStyle w:val="Normal"/>
        <w:spacing w:before="0" w:after="80"/>
        <w:ind w:firstLine="425"/>
        <w:rPr/>
      </w:pPr>
      <w:r>
        <w:rPr>
          <w:sz w:val="20"/>
        </w:rPr>
        <w:t>The quantity deviation between parties is computed as:</w:t>
      </w:r>
    </w:p>
    <w:p>
      <w:pPr>
        <w:pStyle w:val="Normal"/>
        <w:spacing w:before="120" w:after="120"/>
        <w:jc w:val="center"/>
        <w:rPr/>
      </w:pPr>
      <w:r>
        <w:rPr>
          <w:rFonts w:ascii="Cambria Math" w:hAnsi="Cambria Math"/>
          <w:i/>
          <w:sz w:val="20"/>
        </w:rPr>
        <w:t>δq = (max(Q₁, Q₂, Q₃) − min(Q₁, Q₂, Q₃)) / min(Q₁, Q₂, Q₃) × 100     (2)</w:t>
      </w:r>
    </w:p>
    <w:p>
      <w:pPr>
        <w:pStyle w:val="Normal"/>
        <w:spacing w:before="0" w:after="80"/>
        <w:rPr/>
      </w:pPr>
      <w:r>
        <w:rPr>
          <w:sz w:val="20"/>
        </w:rPr>
        <w:t>where Q₁, Q₂, Q₃ are the quantities independently reported by Manufacturer, Supplier, and Hospital respectively. For the two-party comparison (Manufacturer → Supplier), the percentage deviation is computed as |Qmfg − Qsup| / Qmfg. The decision boundary is defined as:</w:t>
      </w:r>
    </w:p>
    <w:p>
      <w:pPr>
        <w:pStyle w:val="Normal"/>
        <w:spacing w:before="120" w:after="120"/>
        <w:jc w:val="center"/>
        <w:rPr/>
      </w:pPr>
      <w:r>
        <w:rPr>
          <w:rFonts w:ascii="Cambria Math" w:hAnsi="Cambria Math"/>
          <w:i/>
          <w:sz w:val="20"/>
        </w:rPr>
        <w:t>Status = VERIFIED  if R &lt; 30</w:t>
      </w:r>
    </w:p>
    <w:p>
      <w:pPr>
        <w:pStyle w:val="Normal"/>
        <w:spacing w:before="120" w:after="120"/>
        <w:jc w:val="center"/>
        <w:rPr/>
      </w:pPr>
      <w:r>
        <w:rPr>
          <w:rFonts w:ascii="Cambria Math" w:hAnsi="Cambria Math"/>
          <w:i/>
          <w:sz w:val="20"/>
        </w:rPr>
        <w:t>Status = FLAGGED   if R ≥ 30                                              (3)</w:t>
      </w:r>
    </w:p>
    <w:p>
      <w:pPr>
        <w:pStyle w:val="Normal"/>
        <w:spacing w:before="0" w:after="80"/>
        <w:ind w:firstLine="425"/>
        <w:rPr/>
      </w:pPr>
      <w:r>
        <w:rPr>
          <w:sz w:val="20"/>
        </w:rPr>
        <w:t>When a shipment is flagged (R ≥ 30), the system invokes Layer 2 (Gemini 2.5 Flash LLM) asynchronously to generate a natural-language investigation report. The LLM receives the mismatch details, triggered rules, and contextual batch information as a structured prompt, and returns a human-readable root cause analysis with recommended actions. If the LLM API is unavailable, the rule-based explanation from Layer 1 is retained as the fallback.</w:t>
      </w:r>
    </w:p>
    <w:p>
      <w:pPr>
        <w:pStyle w:val="Normal"/>
        <w:spacing w:before="200" w:after="80"/>
        <w:rPr/>
      </w:pPr>
      <w:r>
        <w:rPr>
          <w:b/>
          <w:i/>
          <w:sz w:val="20"/>
        </w:rPr>
        <w:t>B. Entity Trust Scoring Engine</w:t>
      </w:r>
    </w:p>
    <w:p>
      <w:pPr>
        <w:pStyle w:val="Normal"/>
        <w:spacing w:before="0" w:after="80"/>
        <w:ind w:firstLine="425"/>
        <w:rPr/>
      </w:pPr>
      <w:r>
        <w:rPr>
          <w:sz w:val="20"/>
        </w:rPr>
        <w:t>The Trust Engine maintains a dynamic trust score for each entity (manufacturer, supplier, hospital) in the supply chain. The trust score is defined as:</w:t>
      </w:r>
    </w:p>
    <w:p>
      <w:pPr>
        <w:pStyle w:val="Normal"/>
        <w:spacing w:before="120" w:after="120"/>
        <w:jc w:val="center"/>
        <w:rPr/>
      </w:pPr>
      <w:r>
        <w:rPr>
          <w:rFonts w:ascii="Cambria Math" w:hAnsi="Cambria Math"/>
          <w:i/>
          <w:sz w:val="20"/>
        </w:rPr>
        <w:t>Tₑ = max(0, 100 − α·φₑ − β·R̄ₑ − γ·δₑ)                                   (4)</w:t>
      </w:r>
    </w:p>
    <w:p>
      <w:pPr>
        <w:pStyle w:val="Normal"/>
        <w:spacing w:before="0" w:after="80"/>
        <w:rPr/>
      </w:pPr>
      <w:r>
        <w:rPr>
          <w:sz w:val="20"/>
        </w:rPr>
        <w:t>where:</w:t>
      </w:r>
    </w:p>
    <w:p>
      <w:pPr>
        <w:pStyle w:val="Normal"/>
        <w:spacing w:before="0" w:after="40"/>
        <w:ind w:start="567"/>
        <w:rPr/>
      </w:pPr>
      <w:r>
        <w:rPr>
          <w:sz w:val="20"/>
        </w:rPr>
        <w:t xml:space="preserve">• </w:t>
      </w:r>
      <w:r>
        <w:rPr>
          <w:sz w:val="20"/>
        </w:rPr>
        <w:t>Tₑ = Trust Score for entity e ∈ [0, 100]</w:t>
      </w:r>
    </w:p>
    <w:p>
      <w:pPr>
        <w:pStyle w:val="Normal"/>
        <w:spacing w:before="0" w:after="40"/>
        <w:ind w:start="567"/>
        <w:rPr/>
      </w:pPr>
      <w:r>
        <w:rPr>
          <w:sz w:val="20"/>
        </w:rPr>
        <w:t xml:space="preserve">• </w:t>
      </w:r>
      <w:r>
        <w:rPr>
          <w:sz w:val="20"/>
        </w:rPr>
        <w:t>φₑ = flag rate = (FLAGGED shipments by e) / (total shipments by e)</w:t>
      </w:r>
    </w:p>
    <w:p>
      <w:pPr>
        <w:pStyle w:val="Normal"/>
        <w:spacing w:before="0" w:after="40"/>
        <w:ind w:start="567"/>
        <w:rPr/>
      </w:pPr>
      <w:r>
        <w:rPr>
          <w:sz w:val="20"/>
        </w:rPr>
        <w:t xml:space="preserve">• </w:t>
      </w:r>
      <w:r>
        <w:rPr>
          <w:sz w:val="20"/>
        </w:rPr>
        <w:t>R̄ₑ = mean risk score across entity's shipments, normalized to [0, 1]</w:t>
      </w:r>
    </w:p>
    <w:p>
      <w:pPr>
        <w:pStyle w:val="Normal"/>
        <w:spacing w:before="0" w:after="40"/>
        <w:ind w:start="567"/>
        <w:rPr/>
      </w:pPr>
      <w:r>
        <w:rPr>
          <w:sz w:val="20"/>
        </w:rPr>
        <w:t xml:space="preserve">• </w:t>
      </w:r>
      <w:r>
        <w:rPr>
          <w:sz w:val="20"/>
        </w:rPr>
        <w:t>δₑ = delay rate = (late confirmations by e) / (total confirmations by e)</w:t>
      </w:r>
    </w:p>
    <w:p>
      <w:pPr>
        <w:pStyle w:val="Normal"/>
        <w:spacing w:before="0" w:after="40"/>
        <w:ind w:start="567"/>
        <w:rPr/>
      </w:pPr>
      <w:r>
        <w:rPr>
          <w:sz w:val="20"/>
        </w:rPr>
        <w:t xml:space="preserve">• </w:t>
      </w:r>
      <w:r>
        <w:rPr>
          <w:sz w:val="20"/>
        </w:rPr>
        <w:t>α = 40, β = 30, γ = 20 are tunable hyperparameters</w:t>
      </w:r>
    </w:p>
    <w:p>
      <w:pPr>
        <w:pStyle w:val="Normal"/>
        <w:spacing w:before="0" w:after="80"/>
        <w:ind w:firstLine="425"/>
        <w:rPr/>
      </w:pPr>
      <w:r>
        <w:rPr>
          <w:sz w:val="20"/>
        </w:rPr>
        <w:t>The trust score decays with each flagged verification event and recovers gradually with successful verifications. This creates a reputation-based incentive mechanism: entities with consistently clean supply chain behavior maintain high trust scores, while repeated violations result in progressive score degradation that triggers enhanced scrutiny from compliance officers.</w:t>
      </w:r>
    </w:p>
    <w:p>
      <w:pPr>
        <w:pStyle w:val="Normal"/>
        <w:spacing w:before="200" w:after="80"/>
        <w:rPr/>
      </w:pPr>
      <w:r>
        <w:rPr>
          <w:b/>
          <w:i/>
          <w:sz w:val="20"/>
        </w:rPr>
        <w:t>C. Crisis Rerouting — Dijkstra on Disrupted Logistics Graph</w:t>
      </w:r>
    </w:p>
    <w:p>
      <w:pPr>
        <w:pStyle w:val="Normal"/>
        <w:spacing w:before="0" w:after="80"/>
        <w:ind w:firstLine="425"/>
        <w:rPr/>
      </w:pPr>
      <w:r>
        <w:rPr>
          <w:sz w:val="20"/>
        </w:rPr>
        <w:t>The logistics network is modeled as a weighted directed graph G = (V, E, W) where V is the set of all warehouse and hospital nodes, E represents all logistics route edges, and W: E → R⁺ is the edge weight function (distance × disruption multiplier).</w:t>
      </w:r>
    </w:p>
    <w:p>
      <w:pPr>
        <w:pStyle w:val="Normal"/>
        <w:spacing w:before="0" w:after="80"/>
        <w:ind w:firstLine="425"/>
        <w:rPr/>
      </w:pPr>
      <w:r>
        <w:rPr>
          <w:sz w:val="20"/>
        </w:rPr>
        <w:t>On disruption event D affecting route set E_D ⊆ E, the edge weights are updated as:</w:t>
      </w:r>
    </w:p>
    <w:p>
      <w:pPr>
        <w:pStyle w:val="Normal"/>
        <w:spacing w:before="120" w:after="120"/>
        <w:jc w:val="center"/>
        <w:rPr/>
      </w:pPr>
      <w:r>
        <w:rPr>
          <w:rFonts w:ascii="Cambria Math" w:hAnsi="Cambria Math"/>
          <w:i/>
          <w:sz w:val="20"/>
        </w:rPr>
        <w:t>W'(e) = ∞  if e ∈ E_D  ;  W'(e) = W(e)  otherwise                       (5)</w:t>
      </w:r>
    </w:p>
    <w:p>
      <w:pPr>
        <w:pStyle w:val="Normal"/>
        <w:spacing w:before="0" w:after="80"/>
        <w:ind w:firstLine="425"/>
        <w:rPr/>
      </w:pPr>
      <w:r>
        <w:rPr>
          <w:sz w:val="20"/>
        </w:rPr>
        <w:t>The optimal rerouting path is computed as:</w:t>
      </w:r>
    </w:p>
    <w:p>
      <w:pPr>
        <w:pStyle w:val="Normal"/>
        <w:spacing w:before="120" w:after="120"/>
        <w:jc w:val="center"/>
        <w:rPr/>
      </w:pPr>
      <w:r>
        <w:rPr>
          <w:rFonts w:ascii="Cambria Math" w:hAnsi="Cambria Math"/>
          <w:i/>
          <w:sz w:val="20"/>
        </w:rPr>
        <w:t>P* = argmin_{P ∈ Paths(s,t)}  Σ_{e ∈ P}  W'(e)                            (6)</w:t>
      </w:r>
    </w:p>
    <w:p>
      <w:pPr>
        <w:pStyle w:val="Normal"/>
        <w:spacing w:before="0" w:after="80"/>
        <w:rPr/>
      </w:pPr>
      <w:r>
        <w:rPr>
          <w:sz w:val="20"/>
        </w:rPr>
        <w:t>solved via Dijkstra's algorithm in O((|V| + |E|) log |V|) time. The disruption multiplier incorporates severity classification (low, medium, high, critical), estimated duration, and geographic proximity to active supply routes. Events are ingested from NewsAPI monitoring and user-reported incidents, classified by an AI severity assessor, and visualized on an interactive geographic map.</w:t>
      </w:r>
    </w:p>
    <w:p>
      <w:pPr>
        <w:pStyle w:val="Normal"/>
        <w:spacing w:before="280" w:after="120"/>
        <w:rPr/>
      </w:pPr>
      <w:r>
        <w:rPr>
          <w:b/>
          <w:sz w:val="20"/>
        </w:rPr>
        <w:t>V. IMPLEMENTATION AND DEPLOYMENT</w:t>
      </w:r>
    </w:p>
    <w:p>
      <w:pPr>
        <w:pStyle w:val="Normal"/>
        <w:spacing w:before="200" w:after="80"/>
        <w:rPr/>
      </w:pPr>
      <w:r>
        <w:rPr>
          <w:b/>
          <w:i/>
          <w:sz w:val="20"/>
        </w:rPr>
        <w:t>A. Technology Stack</w:t>
      </w:r>
    </w:p>
    <w:p>
      <w:pPr>
        <w:pStyle w:val="Normal"/>
        <w:spacing w:before="80" w:after="160"/>
        <w:jc w:val="center"/>
        <w:rPr/>
      </w:pPr>
      <w:r>
        <w:rPr>
          <w:i/>
          <w:sz w:val="18"/>
        </w:rPr>
        <w:t>TABLE III: Technology Stack</w:t>
      </w:r>
    </w:p>
    <w:tbl>
      <w:tblPr>
        <w:tblStyle w:val="TableGrid"/>
        <w:tblW w:w="1007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58"/>
        <w:gridCol w:w="3358"/>
        <w:gridCol w:w="3358"/>
      </w:tblGrid>
      <w:tr>
        <w:trPr/>
        <w:tc>
          <w:tcPr>
            <w:tcW w:w="3358"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Component</w:t>
            </w:r>
          </w:p>
        </w:tc>
        <w:tc>
          <w:tcPr>
            <w:tcW w:w="3358"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Technology</w:t>
            </w:r>
          </w:p>
        </w:tc>
        <w:tc>
          <w:tcPr>
            <w:tcW w:w="3358" w:type="dxa"/>
            <w:tcBorders/>
          </w:tcPr>
          <w:p>
            <w:pPr>
              <w:pStyle w:val="Normal"/>
              <w:widowControl/>
              <w:jc w:val="center"/>
              <w:rPr>
                <w:rFonts w:eastAsia="ＭＳ 明朝" w:cs=""/>
                <w:kern w:val="0"/>
                <w:szCs w:val="22"/>
                <w:lang w:val="en-US" w:eastAsia="en-US" w:bidi="ar-SA"/>
              </w:rPr>
            </w:pPr>
            <w:r>
              <w:rPr>
                <w:rFonts w:eastAsia="ＭＳ 明朝" w:cs=""/>
                <w:b/>
                <w:kern w:val="0"/>
                <w:sz w:val="16"/>
                <w:szCs w:val="22"/>
                <w:lang w:val="en-US" w:eastAsia="en-US" w:bidi="ar-SA"/>
              </w:rPr>
              <w:t>Purpose</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Frontend</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React 18 + Vite</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Single-page application with role-based dashboards</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Backend API</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FastAPI (Python 3.12)</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RESTful API with async support</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Database</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PostgreSQL (Supabase)</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Off-chain structured data storage</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Blockchain</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Ethereum Sepolia + Solidity 0.8.x</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On-chain immutable audit trail</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Web3 Library</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web3.py</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Blockchain interaction from Python backend</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AI Layer 1</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Python rule engine</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Deterministic cross-match verification</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AI Layer 2</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Google Gemini 2.5 Flash</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LLM-powered investigation reports</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Authentication</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JWT (HS256)</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Stateless token-based auth with OTP for admins</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QR Codes</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qrcode (Python)</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Shipment identification and public verification</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Deployment</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Vercel (frontend) + Railway (backend)</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Production cloud deployment</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Version Control</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Git + GitHub</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Source code management</w:t>
            </w:r>
          </w:p>
        </w:tc>
      </w:tr>
      <w:tr>
        <w:trPr/>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Database Migrations</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Alembic</w:t>
            </w:r>
          </w:p>
        </w:tc>
        <w:tc>
          <w:tcPr>
            <w:tcW w:w="3358" w:type="dxa"/>
            <w:tcBorders/>
          </w:tcPr>
          <w:p>
            <w:pPr>
              <w:pStyle w:val="Normal"/>
              <w:widowControl/>
              <w:jc w:val="start"/>
              <w:rPr>
                <w:rFonts w:eastAsia="ＭＳ 明朝" w:cs=""/>
                <w:kern w:val="0"/>
                <w:szCs w:val="22"/>
                <w:lang w:val="en-US" w:eastAsia="en-US" w:bidi="ar-SA"/>
              </w:rPr>
            </w:pPr>
            <w:r>
              <w:rPr>
                <w:rFonts w:eastAsia="ＭＳ 明朝" w:cs=""/>
                <w:kern w:val="0"/>
                <w:sz w:val="16"/>
                <w:szCs w:val="22"/>
                <w:lang w:val="en-US" w:eastAsia="en-US" w:bidi="ar-SA"/>
              </w:rPr>
              <w:t>Schema version control</w:t>
            </w:r>
          </w:p>
        </w:tc>
      </w:tr>
    </w:tbl>
    <w:p>
      <w:pPr>
        <w:pStyle w:val="Normal"/>
        <w:rPr/>
      </w:pPr>
      <w:r>
        <w:rPr/>
      </w:r>
    </w:p>
    <w:p>
      <w:pPr>
        <w:pStyle w:val="Normal"/>
        <w:spacing w:before="200" w:after="80"/>
        <w:rPr/>
      </w:pPr>
      <w:r>
        <w:rPr>
          <w:b/>
          <w:i/>
          <w:sz w:val="20"/>
        </w:rPr>
        <w:t>B. Smart Contract Design — PharmaChain.sol</w:t>
      </w:r>
    </w:p>
    <w:p>
      <w:pPr>
        <w:pStyle w:val="Normal"/>
        <w:spacing w:before="0" w:after="80"/>
        <w:ind w:firstLine="425"/>
        <w:rPr/>
      </w:pPr>
      <w:r>
        <w:rPr>
          <w:sz w:val="20"/>
        </w:rPr>
        <w:t>The PharmaChain smart contract is deployed on Ethereum Sepolia and provides two primary functions: recordHandoff() for recording verified supply chain handoffs, and flagShipment() for recording AI-flagged anomalies. Each record contains a SHA-256 data hash of the off-chain handoff record, the verification status (VERIFIED/FLAGGED), the AI risk score, and a block timestamp. Events (HandoffRecorded, ShipmentFlagged) are emitted for off-chain indexing and real-time monitoring.</w:t>
      </w:r>
    </w:p>
    <w:p>
      <w:pPr>
        <w:pStyle w:val="Normal"/>
        <w:spacing w:before="0" w:after="80"/>
        <w:ind w:firstLine="425"/>
        <w:rPr/>
      </w:pPr>
      <w:r>
        <w:rPr>
          <w:sz w:val="20"/>
        </w:rPr>
        <w:t>The contract uses an owner-based access control model where only the backend service wallet can write to the contract. This custodial model is identified as a security limitation in Section VI and proposed mitigations are discussed.</w:t>
      </w:r>
    </w:p>
    <w:p>
      <w:pPr>
        <w:pStyle w:val="Normal"/>
        <w:spacing w:before="200" w:after="80"/>
        <w:rPr/>
      </w:pPr>
      <w:r>
        <w:rPr>
          <w:b/>
          <w:i/>
          <w:sz w:val="20"/>
        </w:rPr>
        <w:t>C. Database Schema</w:t>
      </w:r>
    </w:p>
    <w:p>
      <w:pPr>
        <w:pStyle w:val="Normal"/>
        <w:spacing w:before="0" w:after="80"/>
        <w:ind w:firstLine="425"/>
        <w:rPr/>
      </w:pPr>
      <w:r>
        <w:rPr>
          <w:sz w:val="20"/>
        </w:rPr>
        <w:t>The PostgreSQL schema comprises the following core entities: Users (authentication and role management), Manufacturers, Suppliers, and Consumers (entity registry with trust scores), MedicineBatches (production records with blockchain hashes), Shipments (logistics tracking with QR codes and dispatched quantities), HandoffRecords (independent party submissions for AI verification), AIFlags (verification results with risk scores and triggered rules), ApprovalLogs (immutable audit trail of all administrative actions), StockLevels (real-time inventory management per entity per medicine), and DisruptionEvents (crisis intelligence records with severity classification and geographic coordinates).</w:t>
      </w:r>
    </w:p>
    <w:p>
      <w:pPr>
        <w:pStyle w:val="Normal"/>
        <w:spacing w:before="200" w:after="80"/>
        <w:rPr/>
      </w:pPr>
      <w:r>
        <w:rPr>
          <w:b/>
          <w:i/>
          <w:sz w:val="20"/>
        </w:rPr>
        <w:t>D. Deployment Architecture</w:t>
      </w:r>
    </w:p>
    <w:p>
      <w:pPr>
        <w:pStyle w:val="Normal"/>
        <w:spacing w:before="0" w:after="80"/>
        <w:ind w:firstLine="425"/>
        <w:rPr/>
      </w:pPr>
      <w:r>
        <w:rPr>
          <w:sz w:val="20"/>
        </w:rPr>
        <w:t>PharmaChain is deployed as a publicly accessible web application. The React frontend is hosted on Vercel with automatic CI/CD from the GitHub repository. The FastAPI backend is deployed on Railway with environment-variable-based configuration for database credentials, blockchain keys, and API tokens. The PostgreSQL database is hosted on Supabase with connection pooling for production workloads. This architecture achieves zero hardware cost for deployment, making PharmaChain immediately accessible to NGOs, government health agencies, and healthcare facilities in developing countries.</w:t>
      </w:r>
    </w:p>
    <w:p>
      <w:pPr>
        <w:pStyle w:val="Normal"/>
        <w:spacing w:before="280" w:after="120"/>
        <w:rPr/>
      </w:pPr>
      <w:r>
        <w:rPr>
          <w:b/>
          <w:sz w:val="20"/>
        </w:rPr>
        <w:t>VI. SECURITY ANALYSIS</w:t>
      </w:r>
    </w:p>
    <w:p>
      <w:pPr>
        <w:pStyle w:val="Normal"/>
        <w:spacing w:before="200" w:after="80"/>
        <w:rPr/>
      </w:pPr>
      <w:r>
        <w:rPr>
          <w:b/>
          <w:i/>
          <w:sz w:val="20"/>
        </w:rPr>
        <w:t>A. Smart Contract Vulnerability Assessment</w:t>
      </w:r>
    </w:p>
    <w:p>
      <w:pPr>
        <w:pStyle w:val="Normal"/>
        <w:spacing w:before="0" w:after="80"/>
        <w:ind w:firstLine="425"/>
        <w:rPr/>
      </w:pPr>
      <w:r>
        <w:rPr>
          <w:sz w:val="20"/>
        </w:rPr>
        <w:t>A comprehensive security audit of PharmaChain.sol identified 10 vulnerabilities across four severity levels: 2 Critical, 3 High, 3 Medium, and 2 Low. The most significant findings are summarized below.</w:t>
      </w:r>
    </w:p>
    <w:p>
      <w:pPr>
        <w:pStyle w:val="Normal"/>
        <w:spacing w:before="0" w:after="80"/>
        <w:ind w:firstLine="425"/>
        <w:rPr/>
      </w:pPr>
      <w:r>
        <w:rPr>
          <w:sz w:val="20"/>
        </w:rPr>
        <w:t>Critical 1 — Single-Owner Central Authority: The contract uses a single owner address for all write operations (recordHandoff, flagShipment). If this private key is compromised, an attacker gains unrestricted ability to forge handoff records and flag legitimate shipments. The BFT system with n = 1 node provides f = 0 fault tolerance—any single compromise breaks the system completely. Proposed mitigation: Replace single owner with multi-signature threshold requiring m-of-n authorized nodes (e.g., 4-of-5) using OpenZeppelin AccessControl or Gnosis Safe.</w:t>
      </w:r>
    </w:p>
    <w:p>
      <w:pPr>
        <w:pStyle w:val="Normal"/>
        <w:spacing w:before="0" w:after="80"/>
        <w:ind w:firstLine="425"/>
        <w:rPr/>
      </w:pPr>
      <w:r>
        <w:rPr>
          <w:sz w:val="20"/>
        </w:rPr>
        <w:t>Critical 2 — Mutable Records: The recordHandoff function overwrites existing entries for a given shipmentId, destroying the immutability guarantee. A compromised owner can silently rewrite any historical handoff record. Proposed mitigation: Add require(!_handoffs[shipmentId].exists) guard before assignment, enforcing append-only semantics.</w:t>
      </w:r>
    </w:p>
    <w:p>
      <w:pPr>
        <w:pStyle w:val="Normal"/>
        <w:spacing w:before="0" w:after="80"/>
        <w:ind w:firstLine="425"/>
        <w:rPr/>
      </w:pPr>
      <w:r>
        <w:rPr>
          <w:sz w:val="20"/>
        </w:rPr>
        <w:t>High 1 — Unconstrained Status String: The status parameter accepts arbitrary strings with no on-chain validation. Proposed mitigation: Replace string status with enum Status { PENDING, VERIFIED, FLAGGED }, which Solidity stores as uint8, saving gas and eliminating invalid state.</w:t>
      </w:r>
    </w:p>
    <w:p>
      <w:pPr>
        <w:pStyle w:val="Normal"/>
        <w:spacing w:before="0" w:after="80"/>
        <w:ind w:firstLine="425"/>
        <w:rPr/>
      </w:pPr>
      <w:r>
        <w:rPr>
          <w:sz w:val="20"/>
        </w:rPr>
        <w:t>High 2 — Off-chain dataHash Without Verification: The dataHash parameter is accepted as a plain string with no format validation. Proposed mitigation: Accept bytes32 dataHash instead, enforcing exact 256-bit size on-chain.</w:t>
      </w:r>
    </w:p>
    <w:p>
      <w:pPr>
        <w:pStyle w:val="Normal"/>
        <w:spacing w:before="0" w:after="80"/>
        <w:ind w:firstLine="425"/>
        <w:rPr/>
      </w:pPr>
      <w:r>
        <w:rPr>
          <w:sz w:val="20"/>
        </w:rPr>
        <w:t>High 3 — Single-Step Ownership Transfer: The transferOwnership function provides instant, irreversible ownership transfer without confirmation from the new owner. Proposed mitigation: Implement two-step transfer using OpenZeppelin's Ownable2Step pattern.</w:t>
      </w:r>
    </w:p>
    <w:p>
      <w:pPr>
        <w:pStyle w:val="Normal"/>
        <w:spacing w:before="200" w:after="80"/>
        <w:rPr/>
      </w:pPr>
      <w:r>
        <w:rPr>
          <w:b/>
          <w:i/>
          <w:sz w:val="20"/>
        </w:rPr>
        <w:t>B. Byzantine Fault Tolerance Analysis</w:t>
      </w:r>
    </w:p>
    <w:p>
      <w:pPr>
        <w:pStyle w:val="Normal"/>
        <w:spacing w:before="0" w:after="80"/>
        <w:ind w:firstLine="425"/>
        <w:rPr/>
      </w:pPr>
      <w:r>
        <w:rPr>
          <w:sz w:val="20"/>
        </w:rPr>
        <w:t>A Byzantine Fault Tolerant (BFT) system with n nodes tolerates at most f = ⌊(n−1)/3⌋ Byzantine (malicious or faulty) nodes. PharmaChain's current smart contract has n = 1 (the single owner), therefore f = 0—the system has zero tolerance for node compromise.</w:t>
      </w:r>
    </w:p>
    <w:p>
      <w:pPr>
        <w:pStyle w:val="Normal"/>
        <w:spacing w:before="120" w:after="120"/>
        <w:jc w:val="center"/>
        <w:rPr/>
      </w:pPr>
      <w:r>
        <w:rPr>
          <w:rFonts w:ascii="Cambria Math" w:hAnsi="Cambria Math"/>
          <w:i/>
          <w:sz w:val="20"/>
        </w:rPr>
        <w:t>f = ⌊(n − 1) / 3⌋ ;   n = 1 → f = 0                                     (7)</w:t>
      </w:r>
    </w:p>
    <w:p>
      <w:pPr>
        <w:pStyle w:val="Normal"/>
        <w:spacing w:before="0" w:after="80"/>
        <w:ind w:firstLine="425"/>
        <w:rPr/>
      </w:pPr>
      <w:r>
        <w:rPr>
          <w:sz w:val="20"/>
        </w:rPr>
        <w:t>To achieve parity with Gomasta et al. [5] (33% tolerance), PharmaChain requires a multi-signature deployment with n ≥ 4 independent signers and m ≥ ⌈2n/3⌉ + 1 signatures per write. For n = 5: require 4-of-5 signatures. One compromised node cannot forge a record; two cannot; only three-of-five (60%) collusion succeeds—safely above the 33% tolerance threshold.</w:t>
      </w:r>
    </w:p>
    <w:p>
      <w:pPr>
        <w:pStyle w:val="Normal"/>
        <w:spacing w:before="200" w:after="80"/>
        <w:rPr/>
      </w:pPr>
      <w:r>
        <w:rPr>
          <w:b/>
          <w:i/>
          <w:sz w:val="20"/>
        </w:rPr>
        <w:t>C. Collusion Attack Analysis</w:t>
      </w:r>
    </w:p>
    <w:p>
      <w:pPr>
        <w:pStyle w:val="Normal"/>
        <w:spacing w:before="0" w:after="80"/>
        <w:ind w:firstLine="425"/>
        <w:rPr/>
      </w:pPr>
      <w:r>
        <w:rPr>
          <w:sz w:val="20"/>
        </w:rPr>
        <w:t>PharmaChain's three-party attestation model creates a natural defense against collusion. For a fraudulent shipment to pass verification undetected, an attacker must satisfy one of the following conditions:</w:t>
      </w:r>
    </w:p>
    <w:p>
      <w:pPr>
        <w:pStyle w:val="Normal"/>
        <w:spacing w:before="0" w:after="40"/>
        <w:ind w:start="567"/>
        <w:rPr/>
      </w:pPr>
      <w:r>
        <w:rPr>
          <w:sz w:val="20"/>
        </w:rPr>
        <w:t xml:space="preserve">• </w:t>
      </w:r>
      <w:r>
        <w:rPr>
          <w:sz w:val="20"/>
        </w:rPr>
        <w:t>Compromise all three parties' submissions simultaneously (three-person conspiracy)</w:t>
      </w:r>
    </w:p>
    <w:p>
      <w:pPr>
        <w:pStyle w:val="Normal"/>
        <w:spacing w:before="0" w:after="40"/>
        <w:ind w:start="567"/>
        <w:rPr/>
      </w:pPr>
      <w:r>
        <w:rPr>
          <w:sz w:val="20"/>
        </w:rPr>
        <w:t xml:space="preserve">• </w:t>
      </w:r>
      <w:r>
        <w:rPr>
          <w:sz w:val="20"/>
        </w:rPr>
        <w:t>Compromise the backend server's ECDSA private key (custodial model limitation)</w:t>
      </w:r>
    </w:p>
    <w:p>
      <w:pPr>
        <w:pStyle w:val="Normal"/>
        <w:spacing w:before="0" w:after="40"/>
        <w:ind w:start="567"/>
        <w:rPr/>
      </w:pPr>
      <w:r>
        <w:rPr>
          <w:sz w:val="20"/>
        </w:rPr>
        <w:t xml:space="preserve">• </w:t>
      </w:r>
      <w:r>
        <w:rPr>
          <w:sz w:val="20"/>
        </w:rPr>
        <w:t>Forge ECDSA signatures on the blockchain (computationally infeasible)</w:t>
      </w:r>
    </w:p>
    <w:p>
      <w:pPr>
        <w:pStyle w:val="Normal"/>
        <w:spacing w:before="0" w:after="40"/>
        <w:ind w:start="567"/>
        <w:rPr/>
      </w:pPr>
      <w:r>
        <w:rPr>
          <w:sz w:val="20"/>
        </w:rPr>
        <w:t xml:space="preserve">• </w:t>
      </w:r>
      <w:r>
        <w:rPr>
          <w:sz w:val="20"/>
        </w:rPr>
        <w:t>Alter blockchain records post-recording (consensus-protected)</w:t>
      </w:r>
    </w:p>
    <w:p>
      <w:pPr>
        <w:pStyle w:val="Normal"/>
        <w:spacing w:before="0" w:after="80"/>
        <w:ind w:firstLine="425"/>
        <w:rPr/>
      </w:pPr>
      <w:r>
        <w:rPr>
          <w:sz w:val="20"/>
        </w:rPr>
        <w:t>The economic cost of three-party collusion significantly exceeds the cost of two-party collusion in prior systems. Additionally, the immutable blockchain audit trail ensures that even successful collusion leaves a forensic evidence trail detectable through subsequent audit.</w:t>
      </w:r>
    </w:p>
    <w:p>
      <w:pPr>
        <w:pStyle w:val="Normal"/>
        <w:spacing w:before="200" w:after="80"/>
        <w:rPr/>
      </w:pPr>
      <w:r>
        <w:rPr>
          <w:b/>
          <w:i/>
          <w:sz w:val="20"/>
        </w:rPr>
        <w:t>D. Insider Threat Model</w:t>
      </w:r>
    </w:p>
    <w:p>
      <w:pPr>
        <w:pStyle w:val="Normal"/>
        <w:spacing w:before="0" w:after="80"/>
        <w:ind w:firstLine="425"/>
        <w:rPr/>
      </w:pPr>
      <w:r>
        <w:rPr>
          <w:sz w:val="20"/>
        </w:rPr>
        <w:t>The current administrative model grants Admin-Master unrestricted access to all system data, creating an insider trading risk: an administrator who sees all three parties' data before verification has advance knowledge of pricing, quantity mismatches, and supply disruptions. This paper proposes a zero-trust admin model where: (1) admins see only mismatch flags without raw values; (2) amendments require cryptographic signatures from both transacting parties; (3) all access is logged on-chain with embedded ECDSA signatures; and (4) decryption authority is split across multiple key custodians requiring quorum consensus. This model is detailed in Section VII as part of the privacy-preserving upgrade path.</w:t>
      </w:r>
    </w:p>
    <w:p>
      <w:pPr>
        <w:pStyle w:val="Normal"/>
        <w:spacing w:before="280" w:after="120"/>
        <w:rPr/>
      </w:pPr>
      <w:r>
        <w:rPr>
          <w:b/>
          <w:sz w:val="20"/>
        </w:rPr>
        <w:t>VII. DISCUSSION</w:t>
      </w:r>
    </w:p>
    <w:p>
      <w:pPr>
        <w:pStyle w:val="Normal"/>
        <w:spacing w:before="200" w:after="80"/>
        <w:rPr/>
      </w:pPr>
      <w:r>
        <w:rPr>
          <w:b/>
          <w:i/>
          <w:sz w:val="20"/>
        </w:rPr>
        <w:t>A. Current Limitations</w:t>
      </w:r>
    </w:p>
    <w:p>
      <w:pPr>
        <w:pStyle w:val="Normal"/>
        <w:spacing w:before="0" w:after="80"/>
        <w:ind w:firstLine="425"/>
        <w:rPr/>
      </w:pPr>
      <w:r>
        <w:rPr>
          <w:sz w:val="20"/>
        </w:rPr>
        <w:t>PharmaChain's current implementation has several limitations that are acknowledged for transparency. First, all sensitive fields (quantity, expiry, temperature) are stored as plaintext in PostgreSQL, exposing them to administrative access and creating the insider threat risk described in Section VI.D. Second, the smart contract uses single-owner access control with f = 0 Byzantine fault tolerance. Third, the system uses custodial ECDSA signing where the backend server signs blockchain transactions on behalf of individual parties, rather than each party signing with their own private keys. Fourth, experimental performance benchmarks (transaction throughput, AI latency, false positive/negative rates) have not been formally conducted.</w:t>
      </w:r>
    </w:p>
    <w:p>
      <w:pPr>
        <w:pStyle w:val="Normal"/>
        <w:spacing w:before="200" w:after="80"/>
        <w:rPr/>
      </w:pPr>
      <w:r>
        <w:rPr>
          <w:b/>
          <w:i/>
          <w:sz w:val="20"/>
        </w:rPr>
        <w:t>B. Proposed Three-Layer Privacy Model</w:t>
      </w:r>
    </w:p>
    <w:p>
      <w:pPr>
        <w:pStyle w:val="Normal"/>
        <w:spacing w:before="0" w:after="80"/>
        <w:ind w:firstLine="425"/>
        <w:rPr/>
      </w:pPr>
      <w:r>
        <w:rPr>
          <w:sz w:val="20"/>
        </w:rPr>
        <w:t>PharmaChain proposes a three-layer data confidentiality model for production deployment:</w:t>
      </w:r>
    </w:p>
    <w:p>
      <w:pPr>
        <w:pStyle w:val="Normal"/>
        <w:spacing w:before="0" w:after="80"/>
        <w:ind w:firstLine="425"/>
        <w:rPr/>
      </w:pPr>
      <w:r>
        <w:rPr>
          <w:sz w:val="20"/>
        </w:rPr>
        <w:t>Phase 1 — Field-Level AES-256 Encryption: Sensitive columns in the handoff_records table (quantity, expiry, temperature) are encrypted with AES-256-GCM using server-held keys. The Verification AI decrypts server-side for comparison only, and the raw values never persist in plaintext in the database. This ensures no supply chain party can access another party's raw submission through database queries.</w:t>
      </w:r>
    </w:p>
    <w:p>
      <w:pPr>
        <w:pStyle w:val="Normal"/>
        <w:spacing w:before="0" w:after="80"/>
        <w:ind w:firstLine="425"/>
        <w:rPr/>
      </w:pPr>
      <w:r>
        <w:rPr>
          <w:sz w:val="20"/>
        </w:rPr>
        <w:t>Phase 2 — Salted Hash Commitments: Replace plaintext quantities with hash(quantity || salt) using SHA-256. Each party submits their commitment hash at handoff time. The Verification AI compares hashes to determine equality without accessing raw values. This eliminates even server-side plaintext exposure during verification.</w:t>
      </w:r>
    </w:p>
    <w:p>
      <w:pPr>
        <w:pStyle w:val="Normal"/>
        <w:spacing w:before="0" w:after="80"/>
        <w:ind w:firstLine="425"/>
        <w:rPr/>
      </w:pPr>
      <w:r>
        <w:rPr>
          <w:sz w:val="20"/>
        </w:rPr>
        <w:t>Phase 3 — Zero-Knowledge Proof Attestation: Implement ZK-SNARK circuits using Circom and SnarkJS for quantity deviation verification. The ZKP statement to be proven is: "I know quantities Q₁, Q₂, Q₃ such that |Q₁ − Q₂| / Q₁ &gt; 0.15, and I am not revealing Q₁, Q₂, or Q₃." The Groth16 proof system over BN128 enables the AI to produce a cryptographically verifiable FLAGGED or VERIFIED assertion without the circuit witness (individual party quantities) ever being exposed to any party, administrator, or the blockchain record. This removes even the AI server from the trust boundary.</w:t>
      </w:r>
    </w:p>
    <w:p>
      <w:pPr>
        <w:pStyle w:val="Normal"/>
        <w:spacing w:before="200" w:after="80"/>
        <w:rPr/>
      </w:pPr>
      <w:r>
        <w:rPr>
          <w:b/>
          <w:i/>
          <w:sz w:val="20"/>
        </w:rPr>
        <w:t>C. Alternatives to Hardware-Based Trusted Execution Environments</w:t>
      </w:r>
    </w:p>
    <w:p>
      <w:pPr>
        <w:pStyle w:val="Normal"/>
        <w:spacing w:before="0" w:after="80"/>
        <w:ind w:firstLine="425"/>
        <w:rPr/>
      </w:pPr>
      <w:r>
        <w:rPr>
          <w:sz w:val="20"/>
        </w:rPr>
        <w:t>For production deployment where hardware TEEs (Intel SGX, ARM TrustZone) are unavailable, PharmaChain evaluates three categories of software alternatives: (1) Multi-Party Computation (MPC) for splitting computations among independent nodes; (2) Fully Homomorphic Encryption (FHE) for computation on encrypted data without decryption; and (3) Zero-Knowledge Proofs (ZKPs) for proving correctness without revealing data. For PharmaChain's specific use case—arithmetic threshold comparison with private inputs—ZKPs via Circom + SnarkJS are identified as the optimal choice, offering the necessary verifiability without the performance overhead of FHE or the coordination requirements of MPC.</w:t>
      </w:r>
    </w:p>
    <w:p>
      <w:pPr>
        <w:pStyle w:val="Normal"/>
        <w:spacing w:before="0" w:after="80"/>
        <w:ind w:firstLine="425"/>
        <w:rPr/>
      </w:pPr>
      <w:r>
        <w:rPr>
          <w:sz w:val="20"/>
        </w:rPr>
        <w:t>Complementary hardware security modules (HSMs) are recommended for key custody in production, providing tamper-resistant storage for ECDSA private keys and AES-256 encryption keys outside the main CPU. Trusted Platform Modules (TPMs) provide hardware-level attestation for verifying the integrity of the AI verification service itself.</w:t>
      </w:r>
    </w:p>
    <w:p>
      <w:pPr>
        <w:pStyle w:val="Normal"/>
        <w:spacing w:before="280" w:after="120"/>
        <w:rPr/>
      </w:pPr>
      <w:r>
        <w:rPr>
          <w:b/>
          <w:sz w:val="20"/>
        </w:rPr>
        <w:t>VIII. FUTURE WORK</w:t>
      </w:r>
    </w:p>
    <w:p>
      <w:pPr>
        <w:pStyle w:val="Normal"/>
        <w:spacing w:before="0" w:after="80"/>
        <w:ind w:firstLine="425"/>
        <w:rPr/>
      </w:pPr>
      <w:r>
        <w:rPr>
          <w:sz w:val="20"/>
        </w:rPr>
        <w:t>The following directions are identified for extending PharmaChain:</w:t>
      </w:r>
    </w:p>
    <w:p>
      <w:pPr>
        <w:pStyle w:val="Normal"/>
        <w:spacing w:before="0" w:after="40"/>
        <w:ind w:start="567"/>
        <w:rPr/>
      </w:pPr>
      <w:r>
        <w:rPr>
          <w:sz w:val="20"/>
        </w:rPr>
        <w:t xml:space="preserve">• </w:t>
      </w:r>
      <w:r>
        <w:rPr>
          <w:sz w:val="20"/>
        </w:rPr>
        <w:t>Federated Learning for Fraud Detection: Train XGBoost-based fraud detection models across multiple hospital networks without sharing raw data, enabling collaborative intelligence while preserving data sovereignty.</w:t>
      </w:r>
    </w:p>
    <w:p>
      <w:pPr>
        <w:pStyle w:val="Normal"/>
        <w:spacing w:before="0" w:after="40"/>
        <w:ind w:start="567"/>
        <w:rPr/>
      </w:pPr>
      <w:r>
        <w:rPr>
          <w:sz w:val="20"/>
        </w:rPr>
        <w:t xml:space="preserve">• </w:t>
      </w:r>
      <w:r>
        <w:rPr>
          <w:sz w:val="20"/>
        </w:rPr>
        <w:t>Zero-Knowledge Proof Attestation: Implement the Phase 3 ZK-SNARK circuits for quantity deviation verification using Circom/SnarkJS, with on-chain Solidity verifier contracts generated via snarkjs zkey export.</w:t>
      </w:r>
    </w:p>
    <w:p>
      <w:pPr>
        <w:pStyle w:val="Normal"/>
        <w:spacing w:before="0" w:after="40"/>
        <w:ind w:start="567"/>
        <w:rPr/>
      </w:pPr>
      <w:r>
        <w:rPr>
          <w:sz w:val="20"/>
        </w:rPr>
        <w:t xml:space="preserve">• </w:t>
      </w:r>
      <w:r>
        <w:rPr>
          <w:sz w:val="20"/>
        </w:rPr>
        <w:t>NFT-Based Medicine Passports: Assign each batch a soulbound NFT (ERC-5192) tracking provenance from manufacturing lab to patient, creating a publicly verifiable medicine identity.</w:t>
      </w:r>
    </w:p>
    <w:p>
      <w:pPr>
        <w:pStyle w:val="Normal"/>
        <w:spacing w:before="0" w:after="40"/>
        <w:ind w:start="567"/>
        <w:rPr/>
      </w:pPr>
      <w:r>
        <w:rPr>
          <w:sz w:val="20"/>
        </w:rPr>
        <w:t xml:space="preserve">• </w:t>
      </w:r>
      <w:r>
        <w:rPr>
          <w:sz w:val="20"/>
        </w:rPr>
        <w:t>DSCSA/FMD Compliance API: Direct integration with the FDA DSCSA serialization system and EU FMD repository for regulatory-grade compliance automation.</w:t>
      </w:r>
    </w:p>
    <w:p>
      <w:pPr>
        <w:pStyle w:val="Normal"/>
        <w:spacing w:before="0" w:after="40"/>
        <w:ind w:start="567"/>
        <w:rPr/>
      </w:pPr>
      <w:r>
        <w:rPr>
          <w:sz w:val="20"/>
        </w:rPr>
        <w:t xml:space="preserve">• </w:t>
      </w:r>
      <w:r>
        <w:rPr>
          <w:sz w:val="20"/>
        </w:rPr>
        <w:t>Multi-Chain Bridge: Cross-chain verification between Ethereum (public audit trail) and Hyperledger Fabric (enterprise operations) to leverage the strengths of both permissioned and permissionless ledgers.</w:t>
      </w:r>
    </w:p>
    <w:p>
      <w:pPr>
        <w:pStyle w:val="Normal"/>
        <w:spacing w:before="0" w:after="40"/>
        <w:ind w:start="567"/>
        <w:rPr/>
      </w:pPr>
      <w:r>
        <w:rPr>
          <w:sz w:val="20"/>
        </w:rPr>
        <w:t xml:space="preserve">• </w:t>
      </w:r>
      <w:r>
        <w:rPr>
          <w:sz w:val="20"/>
        </w:rPr>
        <w:t>Decentralized Identity (DID): Replace JWT-based authentication with W3C DID standard for self-sovereign entity identities, eliminating centralized credential management.</w:t>
      </w:r>
    </w:p>
    <w:p>
      <w:pPr>
        <w:pStyle w:val="Normal"/>
        <w:spacing w:before="0" w:after="40"/>
        <w:ind w:start="567"/>
        <w:rPr/>
      </w:pPr>
      <w:r>
        <w:rPr>
          <w:sz w:val="20"/>
        </w:rPr>
        <w:t xml:space="preserve">• </w:t>
      </w:r>
      <w:r>
        <w:rPr>
          <w:sz w:val="20"/>
        </w:rPr>
        <w:t>Pandemic Simulation Module: Integrate SIR model disease spread simulations to predict medicine demand 30 days ahead, enabling proactive supply chain pre-positioning.</w:t>
      </w:r>
    </w:p>
    <w:p>
      <w:pPr>
        <w:pStyle w:val="Normal"/>
        <w:spacing w:before="0" w:after="40"/>
        <w:ind w:start="567"/>
        <w:rPr/>
      </w:pPr>
      <w:r>
        <w:rPr>
          <w:sz w:val="20"/>
        </w:rPr>
        <w:t xml:space="preserve">• </w:t>
      </w:r>
      <w:r>
        <w:rPr>
          <w:sz w:val="20"/>
        </w:rPr>
        <w:t>Experimental Benchmarks: Conduct formal performance evaluation including transaction throughput (TPS), verification AI latency, false positive/negative rates, and Gemini API response time distributions.</w:t>
      </w:r>
    </w:p>
    <w:p>
      <w:pPr>
        <w:pStyle w:val="Normal"/>
        <w:spacing w:before="280" w:after="120"/>
        <w:rPr/>
      </w:pPr>
      <w:r>
        <w:rPr>
          <w:b/>
          <w:sz w:val="20"/>
        </w:rPr>
        <w:t>IX. CONCLUSION</w:t>
      </w:r>
    </w:p>
    <w:p>
      <w:pPr>
        <w:pStyle w:val="Normal"/>
        <w:spacing w:before="0" w:after="80"/>
        <w:ind w:firstLine="425"/>
        <w:rPr/>
      </w:pPr>
      <w:r>
        <w:rPr>
          <w:sz w:val="20"/>
        </w:rPr>
        <w:t>This paper presented PharmaChain, a hybrid AI and blockchain framework that introduces three-party attestation verification for pharmaceutical supply chain integrity. The system's core innovation—requiring independent data submission from Manufacturer, Supplier, and Hospital, cross-matched by a deterministic rule engine augmented with LLM-powered investigation—addresses the fundamental gap in prior work where blockchain provides traceability but not fraud detection, and AI provides analysis but not immutable evidence. The mathematical verification model (R = min(Σ wᵢ·fᵢ, 100)) provides deterministic, reproducible fraud scoring, while the Gemini 2.5 Flash integration delivers human-readable investigation reports that bridge the gap between algorithmic detection and operational decision-making.</w:t>
      </w:r>
    </w:p>
    <w:p>
      <w:pPr>
        <w:pStyle w:val="Normal"/>
        <w:spacing w:before="0" w:after="80"/>
        <w:ind w:firstLine="425"/>
        <w:rPr/>
      </w:pPr>
      <w:r>
        <w:rPr>
          <w:sz w:val="20"/>
        </w:rPr>
        <w:t>The system's deployment on Vercel + Railway with zero hardware requirements demonstrates that enterprise-grade supply chain verification is achievable at zero infrastructure cost—a critical factor for adoption in sub-Saharan Africa, South Asia, and other regions where the counterfeit medicine crisis claims hundreds of thousands of lives annually. The security analysis honestly identifies the system's current limitations—single-owner smart contract (f = 0 BFT), plaintext data storage, custodial signing—while proposing a concrete three-phase privacy upgrade path from AES-256 field encryption through salted hash commitments to full zero-knowledge proof attestation.</w:t>
      </w:r>
    </w:p>
    <w:p>
      <w:pPr>
        <w:pStyle w:val="Normal"/>
        <w:spacing w:before="0" w:after="80"/>
        <w:ind w:firstLine="425"/>
        <w:rPr/>
      </w:pPr>
      <w:r>
        <w:rPr>
          <w:sz w:val="20"/>
        </w:rPr>
        <w:t>PharmaChain implements a zero-trust insider-aware architecture where no single human, including administrators, should be able to unilaterally access or modify sensitive trade data in the proposed production model. Verification is performed by the Verification AI on encrypted or hashed data, yielding only a boolean match result. Amendments require explicit cryptographic signatures from both transacting parties, making collusion between an admin and a single party mathematically insufficient to alter records. All access is immutably logged on blockchain with ECDSA signatures embedded, providing forensic evidence of insider trading attempts. This design separates the roles of verification (AI), consent (cryptographic signatures), adjudication (admin), and audit (immutable log), ensuring no single human holds enough authority to manipulate the supply chain.</w:t>
      </w:r>
    </w:p>
    <w:p>
      <w:pPr>
        <w:pStyle w:val="Normal"/>
        <w:spacing w:before="0" w:after="80"/>
        <w:ind w:firstLine="425"/>
        <w:rPr/>
      </w:pPr>
      <w:r>
        <w:rPr>
          <w:sz w:val="20"/>
        </w:rPr>
        <w:t>Future work will focus on implementing the ZK-SNARK verification circuits, conducting formal performance benchmarks, and extending the system with federated learning for collaborative fraud detection across healthcare networks.</w:t>
      </w:r>
    </w:p>
    <w:p>
      <w:pPr>
        <w:pStyle w:val="Normal"/>
        <w:spacing w:before="280" w:after="120"/>
        <w:rPr/>
      </w:pPr>
      <w:r>
        <w:rPr>
          <w:b/>
          <w:sz w:val="20"/>
        </w:rPr>
        <w:t>REFERENCES</w:t>
      </w:r>
    </w:p>
    <w:p>
      <w:pPr>
        <w:pStyle w:val="Normal"/>
        <w:spacing w:before="0" w:after="40"/>
        <w:ind w:hanging="283" w:start="283"/>
        <w:rPr/>
      </w:pPr>
      <w:r>
        <w:rPr>
          <w:sz w:val="16"/>
        </w:rPr>
        <w:t>[1] WHO, "1 in 10 medical products in developing countries is substandard or falsified," WHO/EMP/RHT/2017.01, World Health Organization, 2017.</w:t>
      </w:r>
    </w:p>
    <w:p>
      <w:pPr>
        <w:pStyle w:val="Normal"/>
        <w:spacing w:before="0" w:after="40"/>
        <w:ind w:hanging="283" w:start="283"/>
        <w:rPr/>
      </w:pPr>
      <w:r>
        <w:rPr>
          <w:sz w:val="16"/>
        </w:rPr>
        <w:t>[2] UNODC, "Fake Medicines Kill Almost 500,000 Sub-Saharan Africans a Year," United Nations Office on Drugs and Crime, Feb. 2023. [Online]. Available: https://news.un.org/en/story/2023/02/1133062</w:t>
      </w:r>
    </w:p>
    <w:p>
      <w:pPr>
        <w:pStyle w:val="Normal"/>
        <w:spacing w:before="0" w:after="40"/>
        <w:ind w:hanging="283" w:start="283"/>
        <w:rPr/>
      </w:pPr>
      <w:r>
        <w:rPr>
          <w:sz w:val="16"/>
        </w:rPr>
        <w:t>[3] FDA, "Drug Supply Chain Security Act (DSCSA)," U.S. Food and Drug Administration, 2023. [Online]. Available: https://www.fda.gov/drugs/drug-supply-chain-integrity/drug-supply-chain-security-act-dscsa</w:t>
      </w:r>
    </w:p>
    <w:p>
      <w:pPr>
        <w:pStyle w:val="Normal"/>
        <w:spacing w:before="0" w:after="40"/>
        <w:ind w:hanging="283" w:start="283"/>
        <w:rPr/>
      </w:pPr>
      <w:r>
        <w:rPr>
          <w:sz w:val="16"/>
        </w:rPr>
        <w:t>[4] S. Nakamoto, "Bitcoin: A Peer-to-Peer Electronic Cash System," 2008. [Online]. Available: https://bitcoin.org/bitcoin.pdf</w:t>
      </w:r>
    </w:p>
    <w:p>
      <w:pPr>
        <w:pStyle w:val="Normal"/>
        <w:spacing w:before="0" w:after="40"/>
        <w:ind w:hanging="283" w:start="283"/>
        <w:rPr/>
      </w:pPr>
      <w:r>
        <w:rPr>
          <w:sz w:val="16"/>
        </w:rPr>
        <w:t>[5] S. S. Gomasta, A. Dhali, T. Tahlil, M. M. Anwar, and A. B. M. S. Ali, "PharmaChain: Blockchain-based drug supply chain provenance verification system," Heliyon, vol. 9, no. 7, e17957, Jul. 2023. doi: 10.1016/j.heliyon.2023.e17957</w:t>
      </w:r>
    </w:p>
    <w:p>
      <w:pPr>
        <w:pStyle w:val="Normal"/>
        <w:spacing w:before="0" w:after="40"/>
        <w:ind w:hanging="283" w:start="283"/>
        <w:rPr/>
      </w:pPr>
      <w:r>
        <w:rPr>
          <w:sz w:val="16"/>
        </w:rPr>
        <w:t>[6] F. Jamil, L. Hang, K. Kim, and D. Kim, "A novel medical blockchain model for drug supply chain integrity management in a smart hospital," Electronics, vol. 8, no. 5, p. 505, May 2019. doi: 10.3390/electronics8050505</w:t>
      </w:r>
    </w:p>
    <w:p>
      <w:pPr>
        <w:pStyle w:val="Normal"/>
        <w:spacing w:before="0" w:after="40"/>
        <w:ind w:hanging="283" w:start="283"/>
        <w:rPr/>
      </w:pPr>
      <w:r>
        <w:rPr>
          <w:sz w:val="16"/>
        </w:rPr>
        <w:t>[7] A. Musamih, K. Salah, R. Jayaraman, J. Arshad, M. Debe, Y. Al-Hammadi, and S. Ellahham, "A blockchain-based approach for drug traceability in healthcare supply chain," IEEE Access, vol. 9, pp. 9728–9743, 2021. doi: 10.1109/ACCESS.2021.3049711</w:t>
      </w:r>
    </w:p>
    <w:p>
      <w:pPr>
        <w:pStyle w:val="Normal"/>
        <w:spacing w:before="0" w:after="40"/>
        <w:ind w:hanging="283" w:start="283"/>
        <w:rPr/>
      </w:pPr>
      <w:r>
        <w:rPr>
          <w:sz w:val="16"/>
        </w:rPr>
        <w:t>[8] P. Sylim, F. Liu, A. Marcelo, and P. Fontelo, "Blockchain technology for detecting falsified and substandard drugs in distribution: pharmaceutical supply chain intervention," JMIR Research Protocols, vol. 7, no. 9, 2018. doi: 10.2196/10163</w:t>
      </w:r>
    </w:p>
    <w:p>
      <w:pPr>
        <w:pStyle w:val="Normal"/>
        <w:spacing w:before="0" w:after="40"/>
        <w:ind w:hanging="283" w:start="283"/>
        <w:rPr/>
      </w:pPr>
      <w:r>
        <w:rPr>
          <w:sz w:val="16"/>
        </w:rPr>
        <w:t>[9] M. Uddin, K. Salah, R. Jayaraman, S. Pesic, and S. Ellahham, "Blockchain for drug traceability: Architectures and open challenges," Health Informatics Journal, vol. 27, no. 2, 2021. doi: 10.1177/14604582211011228</w:t>
      </w:r>
    </w:p>
    <w:p>
      <w:pPr>
        <w:pStyle w:val="Normal"/>
        <w:spacing w:before="0" w:after="40"/>
        <w:ind w:hanging="283" w:start="283"/>
        <w:rPr/>
      </w:pPr>
      <w:r>
        <w:rPr>
          <w:sz w:val="16"/>
        </w:rPr>
        <w:t>[10] A. K. Bapatla, S. P. Mohanty, and E. Kougianos, "Pharmachain 3.0: Efficient tracking and tracing of drugs in the pharmaceutical supply chain using blockchain integrated product serialization mechanism," Cogent Business &amp; Management, 2024. doi: 10.1080/23311975.2025.2551811</w:t>
      </w:r>
    </w:p>
    <w:p>
      <w:pPr>
        <w:pStyle w:val="Normal"/>
        <w:spacing w:before="0" w:after="40"/>
        <w:ind w:hanging="283" w:start="283"/>
        <w:rPr/>
      </w:pPr>
      <w:r>
        <w:rPr>
          <w:sz w:val="16"/>
        </w:rPr>
        <w:t>[11] H. O. Bello, C. Idemudia, and T. V. Iyelolu, "Integrating machine learning and blockchain: Conceptual frameworks for real-time fraud detection and prevention," World Journal of Advanced Research and Reviews, vol. 23, no. 1, pp. 056–068, 2024.</w:t>
      </w:r>
    </w:p>
    <w:p>
      <w:pPr>
        <w:pStyle w:val="Normal"/>
        <w:spacing w:before="0" w:after="40"/>
        <w:ind w:hanging="283" w:start="283"/>
        <w:rPr/>
      </w:pPr>
      <w:r>
        <w:rPr>
          <w:sz w:val="16"/>
        </w:rPr>
        <w:t>[12] "LLM-Grounded Explainable AI for Supply Chain Risk Early Warning via Temporal Graph Attention Networks," arXiv:2603.04818, 2026. [Online]. Available: https://arxiv.org/html/2603.04818</w:t>
      </w:r>
    </w:p>
    <w:p>
      <w:pPr>
        <w:pStyle w:val="Normal"/>
        <w:spacing w:before="0" w:after="40"/>
        <w:ind w:hanging="283" w:start="283"/>
        <w:rPr/>
      </w:pPr>
      <w:r>
        <w:rPr>
          <w:sz w:val="16"/>
        </w:rPr>
        <w:t>[13] E. W. Dijkstra, "A note on two problems in connexion with graphs," Numerische Mathematik, vol. 1, no. 1, pp. 269–271, 1959.</w:t>
      </w:r>
    </w:p>
    <w:p>
      <w:pPr>
        <w:pStyle w:val="Normal"/>
        <w:spacing w:before="0" w:after="40"/>
        <w:ind w:hanging="283" w:start="283"/>
        <w:rPr/>
      </w:pPr>
      <w:r>
        <w:rPr>
          <w:sz w:val="16"/>
        </w:rPr>
        <w:t>[14] U. J. Munasinghe and M. N. Halgamuge, "Supply chain traceability and counterfeit detection of COVID-19 vaccines using novel blockchain-based Vacledger system," Expert Systems with Applications, vol. 228, p. 120293, 2023. doi: 10.1016/j.eswa.2023.120293</w:t>
      </w:r>
    </w:p>
    <w:p>
      <w:pPr>
        <w:pStyle w:val="Normal"/>
        <w:spacing w:before="0" w:after="40"/>
        <w:ind w:hanging="283" w:start="283"/>
        <w:rPr/>
      </w:pPr>
      <w:r>
        <w:rPr>
          <w:sz w:val="16"/>
        </w:rPr>
        <w:t>[15] S. D'Souza, D. Nazareth, and C. Vaz, "Blockchain and AI in Pharmaceutical Supply Chain," SSRN Electronic Journal, 2021. doi: 10.2139/ssrn.3852034</w:t>
      </w:r>
    </w:p>
    <w:sectPr>
      <w:type w:val="nextPage"/>
      <w:pgSz w:w="12240" w:h="15840"/>
      <w:pgMar w:left="1083" w:right="108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0"/>
      <w:jc w:val="start"/>
    </w:pPr>
    <w:rPr>
      <w:rFonts w:ascii="Times New Roman" w:hAnsi="Times New Roman"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ages>10</Pages>
  <Words>4794</Words>
  <Characters>30204</Characters>
  <CharactersWithSpaces>34878</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2026-05-25T02:14:03Z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