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</w:pPr>
      <w:r>
        <w:rPr>
          <w:color w:val="FACC15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</w:pPr>
      <w:r>
        <w:rPr>
          <w:b/>
          <w:color w:val="111827"/>
          <w:sz w:val="56"/>
        </w:rPr>
        <w:t>Dynamo AI</w:t>
      </w:r>
    </w:p>
    <w:p>
      <w:pPr>
        <w:spacing w:after="240"/>
      </w:pPr>
      <w:r>
        <w:rPr>
          <w:b/>
          <w:color w:val="FACC15"/>
          <w:sz w:val="40"/>
        </w:rPr>
        <w:t>Faculty Ambassador Program</w:t>
      </w:r>
    </w:p>
    <w:p>
      <w:pPr>
        <w:spacing w:after="40"/>
      </w:pPr>
      <w:r>
        <w:rPr>
          <w:b w:val="0"/>
          <w:i/>
          <w:color w:val="6B7280"/>
          <w:sz w:val="19"/>
        </w:rPr>
        <w:t>Partner Information Pack  ·  Confidential  ·  July 2026</w:t>
      </w:r>
    </w:p>
    <w:p>
      <w:pPr>
        <w:spacing w:after="280"/>
      </w:pPr>
      <w:r>
        <w:rPr>
          <w:b w:val="0"/>
          <w:i w:val="0"/>
          <w:color w:val="1F2937"/>
          <w:sz w:val="21"/>
        </w:rPr>
        <w:t>Welcome to the Dynamo AI Faculty Ambassador Program — a referral partnership designed exclusively for academic faculty across India. As a partner, you earn a 15% commission on every student subscription you refer, paid monthly via bank transfer.</w:t>
      </w:r>
    </w:p>
    <w:p>
      <w:pPr>
        <w:spacing w:before="40" w:after="4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111827"/>
          <w:sz w:val="26"/>
        </w:rPr>
        <w:t>1.  What is Dynamo AI?</w:t>
      </w:r>
    </w:p>
    <w:p>
      <w:pPr>
        <w:spacing w:after="160"/>
      </w:pPr>
      <w:r>
        <w:rPr>
          <w:b w:val="0"/>
          <w:i w:val="0"/>
          <w:color w:val="1F2937"/>
          <w:sz w:val="21"/>
        </w:rPr>
        <w:t>Dynamo AI is an AI-powered Research Operating System built for students and researchers. It combines fast AI chat (Gemini 3.6 Flash), multi-model deep research, web search, document summarisation, AI + plagiarism detection, image generation, and smart study tools — all in one platform.</w:t>
      </w:r>
    </w:p>
    <w:p>
      <w:pPr>
        <w:spacing w:before="80" w:after="80"/>
      </w:pPr>
      <w:r>
        <w:rPr>
          <w:b/>
          <w:color w:val="1F2937"/>
          <w:sz w:val="22"/>
        </w:rPr>
        <w:t>Key features students love:</w:t>
      </w:r>
    </w:p>
    <w:p>
      <w:pPr>
        <w:pStyle w:val="ListBullet"/>
        <w:spacing w:after="60"/>
      </w:pPr>
      <w:r>
        <w:rPr>
          <w:color w:val="1F2937"/>
          <w:sz w:val="21"/>
        </w:rPr>
        <w:t>⚡  Fast AI Chat  —  answers in seconds, cites sources</w:t>
      </w:r>
    </w:p>
    <w:p>
      <w:pPr>
        <w:pStyle w:val="ListBullet"/>
        <w:spacing w:after="60"/>
      </w:pPr>
      <w:r>
        <w:rPr>
          <w:color w:val="1F2937"/>
          <w:sz w:val="21"/>
        </w:rPr>
        <w:t>🔬  Deep Research  —  multi-model pipeline (Claude + Gemini + GPT)</w:t>
      </w:r>
    </w:p>
    <w:p>
      <w:pPr>
        <w:pStyle w:val="ListBullet"/>
        <w:spacing w:after="60"/>
      </w:pPr>
      <w:r>
        <w:rPr>
          <w:color w:val="1F2937"/>
          <w:sz w:val="21"/>
        </w:rPr>
        <w:t>📄  Document Library  —  summarise and query any PDF or DOCX</w:t>
      </w:r>
    </w:p>
    <w:p>
      <w:pPr>
        <w:pStyle w:val="ListBullet"/>
        <w:spacing w:after="60"/>
      </w:pPr>
      <w:r>
        <w:rPr>
          <w:color w:val="1F2937"/>
          <w:sz w:val="21"/>
        </w:rPr>
        <w:t>🤖  AI &amp; Plagiarism Detector  —  built-in, no extra charge</w:t>
      </w:r>
    </w:p>
    <w:p>
      <w:pPr>
        <w:pStyle w:val="ListBullet"/>
        <w:spacing w:after="60"/>
      </w:pPr>
      <w:r>
        <w:rPr>
          <w:color w:val="1F2937"/>
          <w:sz w:val="21"/>
        </w:rPr>
        <w:t>🎨  Image &amp; Slide Generation  —  create visuals instantly</w:t>
      </w:r>
    </w:p>
    <w:p>
      <w:pPr>
        <w:pStyle w:val="ListBullet"/>
        <w:spacing w:after="60"/>
      </w:pPr>
      <w:r>
        <w:rPr>
          <w:color w:val="1F2937"/>
          <w:sz w:val="21"/>
        </w:rPr>
        <w:t>📚  Study Tools  —  quiz me, flashcards, study guides, radio mode</w:t>
      </w:r>
    </w:p>
    <w:p>
      <w:pPr>
        <w:spacing w:before="40" w:after="4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111827"/>
          <w:sz w:val="26"/>
        </w:rPr>
        <w:t>2.  Program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FACC15"/>
          </w:tcPr>
          <w:p>
            <w:pPr>
              <w:spacing w:after="0"/>
            </w:pPr>
            <w:r>
              <w:rPr>
                <w:b/>
                <w:color w:val="111827"/>
                <w:sz w:val="19"/>
              </w:rPr>
              <w:t>Plan</w:t>
            </w:r>
          </w:p>
        </w:tc>
        <w:tc>
          <w:tcPr>
            <w:tcW w:type="dxa" w:w="2257"/>
            <w:shd w:val="clear" w:color="auto" w:fill="FACC15"/>
          </w:tcPr>
          <w:p>
            <w:pPr>
              <w:spacing w:after="0"/>
            </w:pPr>
            <w:r>
              <w:rPr>
                <w:b/>
                <w:color w:val="111827"/>
                <w:sz w:val="19"/>
              </w:rPr>
              <w:t>Monthly Price</w:t>
            </w:r>
          </w:p>
        </w:tc>
        <w:tc>
          <w:tcPr>
            <w:tcW w:type="dxa" w:w="2257"/>
            <w:shd w:val="clear" w:color="auto" w:fill="FACC15"/>
          </w:tcPr>
          <w:p>
            <w:pPr>
              <w:spacing w:after="0"/>
            </w:pPr>
            <w:r>
              <w:rPr>
                <w:b/>
                <w:color w:val="111827"/>
                <w:sz w:val="19"/>
              </w:rPr>
              <w:t>Your Commission (15%)</w:t>
            </w:r>
          </w:p>
        </w:tc>
        <w:tc>
          <w:tcPr>
            <w:tcW w:type="dxa" w:w="2257"/>
            <w:shd w:val="clear" w:color="auto" w:fill="FACC15"/>
          </w:tcPr>
          <w:p>
            <w:pPr>
              <w:spacing w:after="0"/>
            </w:pPr>
            <w:r>
              <w:rPr>
                <w:b/>
                <w:color w:val="111827"/>
                <w:sz w:val="19"/>
              </w:rPr>
              <w:t>Payout Timing</w:t>
            </w:r>
          </w:p>
        </w:tc>
      </w:tr>
      <w:tr>
        <w:tc>
          <w:tcPr>
            <w:tcW w:type="dxa" w:w="2257"/>
            <w:shd w:val="clear" w:color="auto" w:fill="F9FAFB"/>
          </w:tcPr>
          <w:p>
            <w:pPr>
              <w:spacing w:after="0"/>
            </w:pPr>
            <w:r>
              <w:rPr>
                <w:color w:val="1F2937"/>
                <w:sz w:val="19"/>
              </w:rPr>
              <w:t>Free</w:t>
            </w:r>
          </w:p>
        </w:tc>
        <w:tc>
          <w:tcPr>
            <w:tcW w:type="dxa" w:w="2257"/>
            <w:shd w:val="clear" w:color="auto" w:fill="F9FAFB"/>
          </w:tcPr>
          <w:p>
            <w:pPr>
              <w:spacing w:after="0"/>
            </w:pPr>
            <w:r>
              <w:rPr>
                <w:color w:val="1F2937"/>
                <w:sz w:val="19"/>
              </w:rPr>
              <w:t>₹0</w:t>
            </w:r>
          </w:p>
        </w:tc>
        <w:tc>
          <w:tcPr>
            <w:tcW w:type="dxa" w:w="2257"/>
            <w:shd w:val="clear" w:color="auto" w:fill="F9FAFB"/>
          </w:tcPr>
          <w:p>
            <w:pPr>
              <w:spacing w:after="0"/>
            </w:pPr>
            <w:r>
              <w:rPr>
                <w:color w:val="1F2937"/>
                <w:sz w:val="19"/>
              </w:rPr>
              <w:t>Not eligible</w:t>
            </w:r>
          </w:p>
        </w:tc>
        <w:tc>
          <w:tcPr>
            <w:tcW w:type="dxa" w:w="2257"/>
            <w:shd w:val="clear" w:color="auto" w:fill="F9FAFB"/>
          </w:tcPr>
          <w:p>
            <w:pPr>
              <w:spacing w:after="0"/>
            </w:pPr>
            <w:r>
              <w:rPr>
                <w:color w:val="1F2937"/>
                <w:sz w:val="19"/>
              </w:rPr>
              <w:t>—</w:t>
            </w:r>
          </w:p>
        </w:tc>
      </w:tr>
      <w:tr>
        <w:tc>
          <w:tcPr>
            <w:tcW w:type="dxa" w:w="2257"/>
            <w:shd w:val="clear" w:color="auto" w:fill="F3F4F6"/>
          </w:tcPr>
          <w:p>
            <w:pPr>
              <w:spacing w:after="0"/>
            </w:pPr>
            <w:r>
              <w:rPr>
                <w:color w:val="1F2937"/>
                <w:sz w:val="19"/>
              </w:rPr>
              <w:t>Plus</w:t>
            </w:r>
          </w:p>
        </w:tc>
        <w:tc>
          <w:tcPr>
            <w:tcW w:type="dxa" w:w="2257"/>
            <w:shd w:val="clear" w:color="auto" w:fill="F3F4F6"/>
          </w:tcPr>
          <w:p>
            <w:pPr>
              <w:spacing w:after="0"/>
            </w:pPr>
            <w:r>
              <w:rPr>
                <w:color w:val="1F2937"/>
                <w:sz w:val="19"/>
              </w:rPr>
              <w:t>₹799 / month</w:t>
            </w:r>
          </w:p>
        </w:tc>
        <w:tc>
          <w:tcPr>
            <w:tcW w:type="dxa" w:w="2257"/>
            <w:shd w:val="clear" w:color="auto" w:fill="F3F4F6"/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₹120 per student</w:t>
            </w:r>
          </w:p>
        </w:tc>
        <w:tc>
          <w:tcPr>
            <w:tcW w:type="dxa" w:w="2257"/>
            <w:shd w:val="clear" w:color="auto" w:fill="F3F4F6"/>
          </w:tcPr>
          <w:p>
            <w:pPr>
              <w:spacing w:after="0"/>
            </w:pPr>
            <w:r>
              <w:rPr>
                <w:color w:val="1F2937"/>
                <w:sz w:val="19"/>
              </w:rPr>
              <w:t>Monthly</w:t>
            </w:r>
          </w:p>
        </w:tc>
      </w:tr>
      <w:tr>
        <w:tc>
          <w:tcPr>
            <w:tcW w:type="dxa" w:w="2257"/>
            <w:shd w:val="clear" w:color="auto" w:fill="F9FAFB"/>
          </w:tcPr>
          <w:p>
            <w:pPr>
              <w:spacing w:after="0"/>
            </w:pPr>
            <w:r>
              <w:rPr>
                <w:color w:val="1F2937"/>
                <w:sz w:val="19"/>
              </w:rPr>
              <w:t>Pro</w:t>
            </w:r>
          </w:p>
        </w:tc>
        <w:tc>
          <w:tcPr>
            <w:tcW w:type="dxa" w:w="2257"/>
            <w:shd w:val="clear" w:color="auto" w:fill="F9FAFB"/>
          </w:tcPr>
          <w:p>
            <w:pPr>
              <w:spacing w:after="0"/>
            </w:pPr>
            <w:r>
              <w:rPr>
                <w:color w:val="1F2937"/>
                <w:sz w:val="19"/>
              </w:rPr>
              <w:t>₹1,799 / month</w:t>
            </w:r>
          </w:p>
        </w:tc>
        <w:tc>
          <w:tcPr>
            <w:tcW w:type="dxa" w:w="2257"/>
            <w:shd w:val="clear" w:color="auto" w:fill="F9FAFB"/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₹270 per student</w:t>
            </w:r>
          </w:p>
        </w:tc>
        <w:tc>
          <w:tcPr>
            <w:tcW w:type="dxa" w:w="2257"/>
            <w:shd w:val="clear" w:color="auto" w:fill="F9FAFB"/>
          </w:tcPr>
          <w:p>
            <w:pPr>
              <w:spacing w:after="0"/>
            </w:pPr>
            <w:r>
              <w:rPr>
                <w:color w:val="1F2937"/>
                <w:sz w:val="19"/>
              </w:rPr>
              <w:t>Monthly</w:t>
            </w:r>
          </w:p>
        </w:tc>
      </w:tr>
    </w:tbl>
    <w:p/>
    <w:p>
      <w:pPr>
        <w:spacing w:after="80"/>
      </w:pPr>
      <w:r>
        <w:rPr>
          <w:b w:val="0"/>
          <w:i/>
          <w:color w:val="6B7280"/>
          <w:sz w:val="19"/>
        </w:rPr>
        <w:t>Commission is one-time per student (on their first paid subscription). Basic / Free plans do not earn commission.</w:t>
      </w:r>
    </w:p>
    <w:p>
      <w:pPr>
        <w:spacing w:before="40" w:after="4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111827"/>
          <w:sz w:val="26"/>
        </w:rPr>
        <w:t>3.  How It Works — Step by Step</w:t>
      </w:r>
    </w:p>
    <w:p>
      <w:pPr>
        <w:spacing w:after="100"/>
      </w:pPr>
      <w:r>
        <w:rPr>
          <w:b/>
          <w:color w:val="FACC15"/>
          <w:sz w:val="22"/>
        </w:rPr>
        <w:t xml:space="preserve">  1.  </w:t>
      </w:r>
      <w:r>
        <w:rPr>
          <w:b/>
          <w:color w:val="111827"/>
          <w:sz w:val="21"/>
        </w:rPr>
        <w:t xml:space="preserve">Apply  —  </w:t>
      </w:r>
      <w:r>
        <w:rPr>
          <w:color w:val="1F2937"/>
          <w:sz w:val="21"/>
        </w:rPr>
        <w:t>Submit your application at app.dynamoai.in/partner-signup. We review within 2–3 business days.</w:t>
      </w:r>
    </w:p>
    <w:p>
      <w:pPr>
        <w:spacing w:after="100"/>
      </w:pPr>
      <w:r>
        <w:rPr>
          <w:b/>
          <w:color w:val="FACC15"/>
          <w:sz w:val="22"/>
        </w:rPr>
        <w:t xml:space="preserve">  2.  </w:t>
      </w:r>
      <w:r>
        <w:rPr>
          <w:b/>
          <w:color w:val="111827"/>
          <w:sz w:val="21"/>
        </w:rPr>
        <w:t xml:space="preserve">Get Approved  —  </w:t>
      </w:r>
      <w:r>
        <w:rPr>
          <w:color w:val="1F2937"/>
          <w:sz w:val="21"/>
        </w:rPr>
        <w:t>You receive a unique referral code (e.g. ANISH001) and a personal referral link via email.</w:t>
      </w:r>
    </w:p>
    <w:p>
      <w:pPr>
        <w:spacing w:after="100"/>
      </w:pPr>
      <w:r>
        <w:rPr>
          <w:b/>
          <w:color w:val="FACC15"/>
          <w:sz w:val="22"/>
        </w:rPr>
        <w:t xml:space="preserve">  3.  </w:t>
      </w:r>
      <w:r>
        <w:rPr>
          <w:b/>
          <w:color w:val="111827"/>
          <w:sz w:val="21"/>
        </w:rPr>
        <w:t xml:space="preserve">Share  —  </w:t>
      </w:r>
      <w:r>
        <w:rPr>
          <w:color w:val="1F2937"/>
          <w:sz w:val="21"/>
        </w:rPr>
        <w:t>Share your link during FDPs, workshops, or class — students sign up at app.dynamoai.in/?ref=ANISH001.</w:t>
      </w:r>
    </w:p>
    <w:p>
      <w:pPr>
        <w:spacing w:after="100"/>
      </w:pPr>
      <w:r>
        <w:rPr>
          <w:b/>
          <w:color w:val="FACC15"/>
          <w:sz w:val="22"/>
        </w:rPr>
        <w:t xml:space="preserve">  4.  </w:t>
      </w:r>
      <w:r>
        <w:rPr>
          <w:b/>
          <w:color w:val="111827"/>
          <w:sz w:val="21"/>
        </w:rPr>
        <w:t xml:space="preserve">Student Pays  —  </w:t>
      </w:r>
      <w:r>
        <w:rPr>
          <w:color w:val="1F2937"/>
          <w:sz w:val="21"/>
        </w:rPr>
        <w:t>When a student subscribes to Plus or Pro, a commission is automatically credited to your account.</w:t>
      </w:r>
    </w:p>
    <w:p>
      <w:pPr>
        <w:spacing w:after="100"/>
      </w:pPr>
      <w:r>
        <w:rPr>
          <w:b/>
          <w:color w:val="FACC15"/>
          <w:sz w:val="22"/>
        </w:rPr>
        <w:t xml:space="preserve">  5.  </w:t>
      </w:r>
      <w:r>
        <w:rPr>
          <w:b/>
          <w:color w:val="111827"/>
          <w:sz w:val="21"/>
        </w:rPr>
        <w:t xml:space="preserve">Get Paid  —  </w:t>
      </w:r>
      <w:r>
        <w:rPr>
          <w:color w:val="1F2937"/>
          <w:sz w:val="21"/>
        </w:rPr>
        <w:t>Every month, we process all pending commissions and transfer the amount to your bank account.</w:t>
      </w:r>
    </w:p>
    <w:p>
      <w:pPr>
        <w:spacing w:before="40" w:after="4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111827"/>
          <w:sz w:val="26"/>
        </w:rPr>
        <w:t>4.  Your Partner Dashboard</w:t>
      </w:r>
    </w:p>
    <w:p>
      <w:pPr>
        <w:spacing w:after="100"/>
      </w:pPr>
      <w:r>
        <w:rPr>
          <w:b w:val="0"/>
          <w:i w:val="0"/>
          <w:color w:val="1F2937"/>
          <w:sz w:val="21"/>
        </w:rPr>
        <w:t>Log in at app.dynamoai.in/partner-dashboard to access:</w:t>
      </w:r>
    </w:p>
    <w:p>
      <w:pPr>
        <w:pStyle w:val="ListBullet"/>
        <w:spacing w:after="60"/>
      </w:pPr>
      <w:r>
        <w:rPr>
          <w:color w:val="1F2937"/>
          <w:sz w:val="21"/>
        </w:rPr>
        <w:t>Your unique referral link + one-click WhatsApp / LinkedIn / Email share buttons</w:t>
      </w:r>
    </w:p>
    <w:p>
      <w:pPr>
        <w:pStyle w:val="ListBullet"/>
        <w:spacing w:after="60"/>
      </w:pPr>
      <w:r>
        <w:rPr>
          <w:color w:val="1F2937"/>
          <w:sz w:val="21"/>
        </w:rPr>
        <w:t>Live stats: total referrals, trial users, paid conversions, pending &amp; lifetime earnings</w:t>
      </w:r>
    </w:p>
    <w:p>
      <w:pPr>
        <w:pStyle w:val="ListBullet"/>
        <w:spacing w:after="60"/>
      </w:pPr>
      <w:r>
        <w:rPr>
          <w:color w:val="1F2937"/>
          <w:sz w:val="21"/>
        </w:rPr>
        <w:t>Full referral history with student plan and commission status</w:t>
      </w:r>
    </w:p>
    <w:p>
      <w:pPr>
        <w:pStyle w:val="ListBullet"/>
        <w:spacing w:after="60"/>
      </w:pPr>
      <w:r>
        <w:rPr>
          <w:color w:val="1F2937"/>
          <w:sz w:val="21"/>
        </w:rPr>
        <w:t>Payout history with transaction references</w:t>
      </w:r>
    </w:p>
    <w:p>
      <w:pPr>
        <w:pStyle w:val="ListBullet"/>
        <w:spacing w:after="60"/>
      </w:pPr>
      <w:r>
        <w:rPr>
          <w:color w:val="1F2937"/>
          <w:sz w:val="21"/>
        </w:rPr>
        <w:t>Downloadable partner resources: PPT, brochure, email templates</w:t>
      </w:r>
    </w:p>
    <w:p>
      <w:pPr>
        <w:spacing w:before="40" w:after="4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111827"/>
          <w:sz w:val="26"/>
        </w:rPr>
        <w:t>5.  Key Terms &amp; Conditions</w:t>
      </w:r>
    </w:p>
    <w:p>
      <w:pPr>
        <w:spacing w:after="100"/>
      </w:pPr>
      <w:r>
        <w:rPr>
          <w:b/>
          <w:color w:val="111827"/>
          <w:sz w:val="21"/>
        </w:rPr>
        <w:t xml:space="preserve">Eligibility:  </w:t>
      </w:r>
      <w:r>
        <w:rPr>
          <w:color w:val="1F2937"/>
          <w:sz w:val="21"/>
        </w:rPr>
        <w:t>Open to faculty at any recognised Indian institution (colleges, universities, IITs, NITs, deemed universities).</w:t>
      </w:r>
    </w:p>
    <w:p>
      <w:pPr>
        <w:spacing w:after="100"/>
      </w:pPr>
      <w:r>
        <w:rPr>
          <w:b/>
          <w:color w:val="111827"/>
          <w:sz w:val="21"/>
        </w:rPr>
        <w:t xml:space="preserve">Commission:  </w:t>
      </w:r>
      <w:r>
        <w:rPr>
          <w:color w:val="1F2937"/>
          <w:sz w:val="21"/>
        </w:rPr>
        <w:t>15% of the student's first paid month. One commission per student, ever — even if they upgrade plans later.</w:t>
      </w:r>
    </w:p>
    <w:p>
      <w:pPr>
        <w:spacing w:after="100"/>
      </w:pPr>
      <w:r>
        <w:rPr>
          <w:b/>
          <w:color w:val="111827"/>
          <w:sz w:val="21"/>
        </w:rPr>
        <w:t xml:space="preserve">Eligible Plans:  </w:t>
      </w:r>
      <w:r>
        <w:rPr>
          <w:color w:val="1F2937"/>
          <w:sz w:val="21"/>
        </w:rPr>
        <w:t>Plus (₹799/mo) and Pro (₹1,799/mo) only. Free/Basic plans earn no commission.</w:t>
      </w:r>
    </w:p>
    <w:p>
      <w:pPr>
        <w:spacing w:after="100"/>
      </w:pPr>
      <w:r>
        <w:rPr>
          <w:b/>
          <w:color w:val="111827"/>
          <w:sz w:val="21"/>
        </w:rPr>
        <w:t xml:space="preserve">Referral Window:  </w:t>
      </w:r>
      <w:r>
        <w:rPr>
          <w:color w:val="1F2937"/>
          <w:sz w:val="21"/>
        </w:rPr>
        <w:t>The referral is tracked from the moment the student signs up using your link. There is no time limit — if they pay 6 months later, you still earn.</w:t>
      </w:r>
    </w:p>
    <w:p>
      <w:pPr>
        <w:spacing w:after="100"/>
      </w:pPr>
      <w:r>
        <w:rPr>
          <w:b/>
          <w:color w:val="111827"/>
          <w:sz w:val="21"/>
        </w:rPr>
        <w:t xml:space="preserve">Payout:  </w:t>
      </w:r>
      <w:r>
        <w:rPr>
          <w:color w:val="1F2937"/>
          <w:sz w:val="21"/>
        </w:rPr>
        <w:t>Bank transfer by the 10th of each month for all commissions earned in the previous month. Minimum payout threshold: ₹500.</w:t>
      </w:r>
    </w:p>
    <w:p>
      <w:pPr>
        <w:spacing w:after="100"/>
      </w:pPr>
      <w:r>
        <w:rPr>
          <w:b/>
          <w:color w:val="111827"/>
          <w:sz w:val="21"/>
        </w:rPr>
        <w:t xml:space="preserve">Code of Conduct:  </w:t>
      </w:r>
      <w:r>
        <w:rPr>
          <w:color w:val="1F2937"/>
          <w:sz w:val="21"/>
        </w:rPr>
        <w:t>Partners may not misrepresent Dynamo AI, offer refunds on our behalf, or purchase subscriptions using their own referral link.</w:t>
      </w:r>
    </w:p>
    <w:p>
      <w:pPr>
        <w:spacing w:after="100"/>
      </w:pPr>
      <w:r>
        <w:rPr>
          <w:b/>
          <w:color w:val="111827"/>
          <w:sz w:val="21"/>
        </w:rPr>
        <w:t xml:space="preserve">Termination:  </w:t>
      </w:r>
      <w:r>
        <w:rPr>
          <w:color w:val="1F2937"/>
          <w:sz w:val="21"/>
        </w:rPr>
        <w:t>Dynamo AI reserves the right to terminate a partnership with 30 days notice. Commissions earned before termination are honoured.</w:t>
      </w:r>
    </w:p>
    <w:p>
      <w:pPr>
        <w:spacing w:before="40" w:after="4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111827"/>
          <w:sz w:val="26"/>
        </w:rPr>
        <w:t>6.  Frequently Asked Questions</w:t>
      </w:r>
    </w:p>
    <w:p>
      <w:pPr>
        <w:spacing w:after="40"/>
      </w:pPr>
      <w:r>
        <w:rPr>
          <w:b/>
          <w:i w:val="0"/>
          <w:color w:val="111827"/>
          <w:sz w:val="21"/>
        </w:rPr>
        <w:t>Q: Do students get any benefit for using my link?</w:t>
      </w:r>
    </w:p>
    <w:p>
      <w:pPr>
        <w:spacing w:after="160"/>
      </w:pPr>
      <w:r>
        <w:rPr>
          <w:b w:val="0"/>
          <w:i w:val="0"/>
          <w:color w:val="1F2937"/>
          <w:sz w:val="21"/>
        </w:rPr>
        <w:t>A: Students get access to the same plans at the standard price. Your referral simply credits you — it costs them nothing extra.</w:t>
      </w:r>
    </w:p>
    <w:p>
      <w:pPr>
        <w:spacing w:after="40"/>
      </w:pPr>
      <w:r>
        <w:rPr>
          <w:b/>
          <w:i w:val="0"/>
          <w:color w:val="111827"/>
          <w:sz w:val="21"/>
        </w:rPr>
        <w:t>Q: How many students can I refer?</w:t>
      </w:r>
    </w:p>
    <w:p>
      <w:pPr>
        <w:spacing w:after="160"/>
      </w:pPr>
      <w:r>
        <w:rPr>
          <w:b w:val="0"/>
          <w:i w:val="0"/>
          <w:color w:val="1F2937"/>
          <w:sz w:val="21"/>
        </w:rPr>
        <w:t>A: Unlimited. There is no cap on the number of referrals or earnings.</w:t>
      </w:r>
    </w:p>
    <w:p>
      <w:pPr>
        <w:spacing w:after="40"/>
      </w:pPr>
      <w:r>
        <w:rPr>
          <w:b/>
          <w:i w:val="0"/>
          <w:color w:val="111827"/>
          <w:sz w:val="21"/>
        </w:rPr>
        <w:t>Q: What if a student signs up but pays later?</w:t>
      </w:r>
    </w:p>
    <w:p>
      <w:pPr>
        <w:spacing w:after="160"/>
      </w:pPr>
      <w:r>
        <w:rPr>
          <w:b w:val="0"/>
          <w:i w:val="0"/>
          <w:color w:val="1F2937"/>
          <w:sz w:val="21"/>
        </w:rPr>
        <w:t>A: As long as they used your link when they created their account, you get the commission whenever they pay — even months later.</w:t>
      </w:r>
    </w:p>
    <w:p>
      <w:pPr>
        <w:spacing w:after="40"/>
      </w:pPr>
      <w:r>
        <w:rPr>
          <w:b/>
          <w:i w:val="0"/>
          <w:color w:val="111827"/>
          <w:sz w:val="21"/>
        </w:rPr>
        <w:t>Q: Can I share the link publicly (social media, college group)?</w:t>
      </w:r>
    </w:p>
    <w:p>
      <w:pPr>
        <w:spacing w:after="160"/>
      </w:pPr>
      <w:r>
        <w:rPr>
          <w:b w:val="0"/>
          <w:i w:val="0"/>
          <w:color w:val="1F2937"/>
          <w:sz w:val="21"/>
        </w:rPr>
        <w:t>A: Yes. You can share it anywhere — WhatsApp groups, LinkedIn, your college LMS, email newsletters.</w:t>
      </w:r>
    </w:p>
    <w:p>
      <w:pPr>
        <w:spacing w:after="40"/>
      </w:pPr>
      <w:r>
        <w:rPr>
          <w:b/>
          <w:i w:val="0"/>
          <w:color w:val="111827"/>
          <w:sz w:val="21"/>
        </w:rPr>
        <w:t>Q: How do I receive my payout?</w:t>
      </w:r>
    </w:p>
    <w:p>
      <w:pPr>
        <w:spacing w:after="160"/>
      </w:pPr>
      <w:r>
        <w:rPr>
          <w:b w:val="0"/>
          <w:i w:val="0"/>
          <w:color w:val="1F2937"/>
          <w:sz w:val="21"/>
        </w:rPr>
        <w:t>A: Add your bank details in the Partner Dashboard. We process transfers by the 10th of each month.</w:t>
      </w:r>
    </w:p>
    <w:p>
      <w:pPr>
        <w:spacing w:after="40"/>
      </w:pPr>
      <w:r>
        <w:rPr>
          <w:b/>
          <w:i w:val="0"/>
          <w:color w:val="111827"/>
          <w:sz w:val="21"/>
        </w:rPr>
        <w:t>Q: I don't have a Dynamo AI account yet. Can I still apply?</w:t>
      </w:r>
    </w:p>
    <w:p>
      <w:pPr>
        <w:spacing w:after="160"/>
      </w:pPr>
      <w:r>
        <w:rPr>
          <w:b w:val="0"/>
          <w:i w:val="0"/>
          <w:color w:val="1F2937"/>
          <w:sz w:val="21"/>
        </w:rPr>
        <w:t>A: Yes — apply at /partner-signup with any email. We'll approve you first and you can sign up for Dynamo AI later.</w:t>
      </w:r>
    </w:p>
    <w:p>
      <w:pPr>
        <w:spacing w:before="40" w:after="40"/>
        <w:pBdr>
          <w:bottom w:val="single" w:sz="4" w:space="1" w:color="E5E7EB"/>
        </w:pBdr>
      </w:pPr>
    </w:p>
    <w:p>
      <w:pPr>
        <w:spacing w:before="280" w:after="120"/>
      </w:pPr>
      <w:r>
        <w:rPr>
          <w:b/>
          <w:color w:val="111827"/>
          <w:sz w:val="26"/>
        </w:rPr>
        <w:t>7.  Ready to Get Started?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F9FAFB"/>
          </w:tcPr>
          <w:p>
            <w:pPr>
              <w:spacing w:after="0"/>
            </w:pPr>
            <w:r>
              <w:rPr>
                <w:b/>
                <w:color w:val="111827"/>
                <w:sz w:val="20"/>
              </w:rPr>
              <w:t>Apply Now</w:t>
            </w:r>
          </w:p>
        </w:tc>
        <w:tc>
          <w:tcPr>
            <w:tcW w:type="dxa" w:w="4514"/>
            <w:shd w:val="clear" w:color="auto" w:fill="FFFBEB"/>
          </w:tcPr>
          <w:p>
            <w:pPr>
              <w:spacing w:after="0"/>
            </w:pPr>
            <w:r>
              <w:rPr>
                <w:color w:val="D97706"/>
                <w:sz w:val="20"/>
              </w:rPr>
              <w:t>app.dynamoai.in/partner-signup</w:t>
            </w:r>
          </w:p>
        </w:tc>
      </w:tr>
      <w:tr>
        <w:tc>
          <w:tcPr>
            <w:tcW w:type="dxa" w:w="4514"/>
            <w:shd w:val="clear" w:color="auto" w:fill="F9FAFB"/>
          </w:tcPr>
          <w:p>
            <w:pPr>
              <w:spacing w:after="0"/>
            </w:pPr>
            <w:r>
              <w:rPr>
                <w:b/>
                <w:color w:val="111827"/>
                <w:sz w:val="20"/>
              </w:rPr>
              <w:t>Partner Dashboard</w:t>
            </w:r>
          </w:p>
        </w:tc>
        <w:tc>
          <w:tcPr>
            <w:tcW w:type="dxa" w:w="4514"/>
            <w:shd w:val="clear" w:color="auto" w:fill="FFFBEB"/>
          </w:tcPr>
          <w:p>
            <w:pPr>
              <w:spacing w:after="0"/>
            </w:pPr>
            <w:r>
              <w:rPr>
                <w:color w:val="D97706"/>
                <w:sz w:val="20"/>
              </w:rPr>
              <w:t>app.dynamoai.in/partner-dashboard</w:t>
            </w:r>
          </w:p>
        </w:tc>
      </w:tr>
      <w:tr>
        <w:tc>
          <w:tcPr>
            <w:tcW w:type="dxa" w:w="4514"/>
            <w:shd w:val="clear" w:color="auto" w:fill="F9FAFB"/>
          </w:tcPr>
          <w:p>
            <w:pPr>
              <w:spacing w:after="0"/>
            </w:pPr>
            <w:r>
              <w:rPr>
                <w:b/>
                <w:color w:val="111827"/>
                <w:sz w:val="20"/>
              </w:rPr>
              <w:t>Support / Questions</w:t>
            </w:r>
          </w:p>
        </w:tc>
        <w:tc>
          <w:tcPr>
            <w:tcW w:type="dxa" w:w="4514"/>
            <w:shd w:val="clear" w:color="auto" w:fill="FFFBEB"/>
          </w:tcPr>
          <w:p>
            <w:pPr>
              <w:spacing w:after="0"/>
            </w:pPr>
            <w:r>
              <w:rPr>
                <w:color w:val="D97706"/>
                <w:sz w:val="20"/>
              </w:rPr>
              <w:t>support@dynamoai.in</w:t>
            </w:r>
          </w:p>
        </w:tc>
      </w:tr>
    </w:tbl>
    <w:p/>
    <w:p>
      <w:pPr>
        <w:spacing w:before="240"/>
      </w:pPr>
      <w:r>
        <w:rPr>
          <w:color w:val="FACC15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b w:val="0"/>
          <w:i/>
          <w:color w:val="6B7280"/>
          <w:sz w:val="17"/>
        </w:rPr>
        <w:t>This document is intended for approved and prospective Dynamo AI Faculty Ambassadors only. Do not distribute externally. For queries, contact support@dynamoai.in.</w:t>
      </w:r>
    </w:p>
    <w:p>
      <w:pPr>
        <w:spacing w:after="0"/>
      </w:pPr>
      <w:r>
        <w:rPr>
          <w:b w:val="0"/>
          <w:i w:val="0"/>
          <w:color w:val="6B7280"/>
          <w:sz w:val="17"/>
        </w:rPr>
        <w:t>© 2026 Dynamo AI. All rights reserved.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