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B33"/>
          <w:sz w:val="44"/>
        </w:rPr>
        <w:t>Dynamo AI — Research Prompt Cheat Sheet</w:t>
      </w:r>
    </w:p>
    <w:p>
      <w:r>
        <w:rPr>
          <w:b/>
          <w:color w:val="B48A1C"/>
          <w:sz w:val="28"/>
        </w:rPr>
        <w:t>Pre-Demo Verification Report</w:t>
      </w:r>
    </w:p>
    <w:p>
      <w:r>
        <w:rPr>
          <w:color w:val="555555"/>
          <w:sz w:val="19"/>
        </w:rPr>
        <w:t>Prepared: 28 July 2026    |    Test accounts: anishkrisna6@gmail.com (Plus) and anishkrisnareview@gmail.com (Pro)    |    Environment: Dynamo AI development app</w:t>
      </w:r>
    </w:p>
    <w:p/>
    <w:p>
      <w:r>
        <w:rPr>
          <w:b/>
          <w:color w:val="111B33"/>
          <w:sz w:val="26"/>
        </w:rPr>
        <w:t>Purpose</w:t>
      </w:r>
    </w:p>
    <w:p>
      <w:r>
        <w:t>Before presenting the “Research Prompt Cheat Sheet” to the FDP faculty audience, all 10 prompts were run end-to-end in the live app on two real test accounts: a Plus-plan account (the level most attendees will realistically be using) and a Pro-plan account (to confirm the Pro-only tools mentioned or adjacent to the cheat sheet actually work when a presenter or Pro attendee tries them). The goal was to confirm every prompt produces a working, useful reply — with no crashes, blank responses, or unexpected paywall interruptions — so there are no surprises in front of the room.</w:t>
      </w:r>
    </w:p>
    <w:p/>
    <w:p>
      <w:r>
        <w:rPr>
          <w:b/>
          <w:color w:val="111B33"/>
          <w:sz w:val="26"/>
        </w:rPr>
        <w:t>Headline Result</w:t>
      </w:r>
    </w:p>
    <w:p>
      <w:r>
        <w:rPr>
          <w:b/>
          <w:color w:val="1E7A34"/>
        </w:rPr>
        <w:t xml:space="preserve">All 10 prompts are safe to demo as written. </w:t>
      </w:r>
      <w:r>
        <w:t>Every prompt produced a complete, on-topic reply on a Plus-plan account, with no errors or dead ends. The Pro-only tools that sit alongside the cheat sheet (Find Research Gaps, DeepThink, Deep Research Agent, Citation Checker) were separately re-tested on a Pro-plan account and all worked correctly with no gate. The one thing worth flagging: “Deep research agent” is a distinct, Pro-only menu button — it is correctly blocked for Plus accounts and correctly available for Pro accounts, so make sure the account used on stage matches the tool being demonstrated (see item 10 below).</w:t>
      </w:r>
    </w:p>
    <w:p/>
    <w:p>
      <w:r>
        <w:rPr>
          <w:b/>
          <w:color w:val="111B33"/>
          <w:sz w:val="26"/>
        </w:rPr>
        <w:t>Prompt-by-Prompt Results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04"/>
            <w:shd w:fill="111B33"/>
          </w:tcPr>
          <w:p>
            <w:r/>
            <w:r>
              <w:rPr>
                <w:b/>
                <w:color w:val="FFFFFF"/>
                <w:sz w:val="21"/>
              </w:rPr>
              <w:t>#</w:t>
            </w:r>
          </w:p>
        </w:tc>
        <w:tc>
          <w:tcPr>
            <w:tcW w:type="dxa" w:w="2160"/>
            <w:shd w:fill="111B33"/>
          </w:tcPr>
          <w:p>
            <w:r/>
            <w:r>
              <w:rPr>
                <w:b/>
                <w:color w:val="FFFFFF"/>
                <w:sz w:val="21"/>
              </w:rPr>
              <w:t>Prompt</w:t>
            </w:r>
          </w:p>
        </w:tc>
        <w:tc>
          <w:tcPr>
            <w:tcW w:type="dxa" w:w="1944"/>
            <w:shd w:fill="111B33"/>
          </w:tcPr>
          <w:p>
            <w:r/>
            <w:r>
              <w:rPr>
                <w:b/>
                <w:color w:val="FFFFFF"/>
                <w:sz w:val="21"/>
              </w:rPr>
              <w:t>Result</w:t>
            </w:r>
          </w:p>
        </w:tc>
        <w:tc>
          <w:tcPr>
            <w:tcW w:type="dxa" w:w="4464"/>
            <w:shd w:fill="111B33"/>
          </w:tcPr>
          <w:p>
            <w:r/>
            <w:r>
              <w:rPr>
                <w:b/>
                <w:color w:val="FFFFFF"/>
                <w:sz w:val="21"/>
              </w:rPr>
              <w:t>Notes</w:t>
            </w:r>
          </w:p>
        </w:tc>
      </w:tr>
      <w:tr>
        <w:tc>
          <w:tcPr>
            <w:tcW w:type="dxa" w:w="504"/>
          </w:tcPr>
          <w:p>
            <w:r>
              <w:rPr>
                <w:sz w:val="20"/>
              </w:rPr>
              <w:t>1</w:t>
            </w:r>
          </w:p>
        </w:tc>
        <w:tc>
          <w:tcPr>
            <w:tcW w:type="dxa" w:w="2160"/>
          </w:tcPr>
          <w:p>
            <w:r>
              <w:rPr>
                <w:b/>
                <w:sz w:val="20"/>
              </w:rPr>
              <w:t>Literature Search</w:t>
            </w:r>
          </w:p>
        </w:tc>
        <w:tc>
          <w:tcPr>
            <w:tcW w:type="dxa" w:w="1944"/>
          </w:tcPr>
          <w:p>
            <w:r/>
            <w:r>
              <w:rPr>
                <w:b/>
                <w:color w:val="1E7A34"/>
                <w:sz w:val="20"/>
              </w:rPr>
              <w:t>PASS</w:t>
            </w:r>
          </w:p>
        </w:tc>
        <w:tc>
          <w:tcPr>
            <w:tcW w:type="dxa" w:w="4464"/>
          </w:tcPr>
          <w:p>
            <w:r>
              <w:rPr>
                <w:color w:val="555555"/>
                <w:sz w:val="19"/>
              </w:rPr>
              <w:t>Returned a categorised, multi-stream literature overview with debated questions. Reply style was structured/analytical rather than a short prose paragraph — still accurate and useful, but expect a longer, list-style answer on stage.</w:t>
            </w:r>
          </w:p>
        </w:tc>
      </w:tr>
      <w:tr>
        <w:tc>
          <w:tcPr>
            <w:tcW w:type="dxa" w:w="504"/>
          </w:tcPr>
          <w:p>
            <w:r>
              <w:rPr>
                <w:sz w:val="20"/>
              </w:rPr>
              <w:t>2</w:t>
            </w:r>
          </w:p>
        </w:tc>
        <w:tc>
          <w:tcPr>
            <w:tcW w:type="dxa" w:w="2160"/>
          </w:tcPr>
          <w:p>
            <w:r>
              <w:rPr>
                <w:b/>
                <w:sz w:val="20"/>
              </w:rPr>
              <w:t>Research Gap Finder</w:t>
            </w:r>
          </w:p>
        </w:tc>
        <w:tc>
          <w:tcPr>
            <w:tcW w:type="dxa" w:w="1944"/>
          </w:tcPr>
          <w:p>
            <w:r/>
            <w:r>
              <w:rPr>
                <w:b/>
                <w:color w:val="1E7A34"/>
                <w:sz w:val="20"/>
              </w:rPr>
              <w:t>PASS</w:t>
            </w:r>
          </w:p>
        </w:tc>
        <w:tc>
          <w:tcPr>
            <w:tcW w:type="dxa" w:w="4464"/>
          </w:tcPr>
          <w:p>
            <w:r>
              <w:rPr>
                <w:color w:val="555555"/>
                <w:sz w:val="19"/>
              </w:rPr>
              <w:t>Typed directly into the chat box (not the dedicated “Find research gaps” button), it returned 3–5 clear gaps with reasoning. Note: the dedicated Find Research Gaps *button* in the tool menu is Pro-only — typing the prompt as plain chat text (as the cheat sheet shows) works on Plus and avoids that restriction.</w:t>
            </w:r>
          </w:p>
        </w:tc>
      </w:tr>
      <w:tr>
        <w:tc>
          <w:tcPr>
            <w:tcW w:type="dxa" w:w="504"/>
          </w:tcPr>
          <w:p>
            <w:r>
              <w:rPr>
                <w:sz w:val="20"/>
              </w:rPr>
              <w:t>3</w:t>
            </w:r>
          </w:p>
        </w:tc>
        <w:tc>
          <w:tcPr>
            <w:tcW w:type="dxa" w:w="2160"/>
          </w:tcPr>
          <w:p>
            <w:r>
              <w:rPr>
                <w:b/>
                <w:sz w:val="20"/>
              </w:rPr>
              <w:t>Paper Synthesis</w:t>
            </w:r>
          </w:p>
        </w:tc>
        <w:tc>
          <w:tcPr>
            <w:tcW w:type="dxa" w:w="1944"/>
          </w:tcPr>
          <w:p>
            <w:r/>
            <w:r>
              <w:rPr>
                <w:b/>
                <w:color w:val="1E7A34"/>
                <w:sz w:val="20"/>
              </w:rPr>
              <w:t>PASS</w:t>
            </w:r>
          </w:p>
        </w:tc>
        <w:tc>
          <w:tcPr>
            <w:tcW w:type="dxa" w:w="4464"/>
          </w:tcPr>
          <w:p>
            <w:r>
              <w:rPr>
                <w:color w:val="555555"/>
                <w:sz w:val="19"/>
              </w:rPr>
              <w:t>Returned a clear comparison of methodologies and their limitations.</w:t>
            </w:r>
          </w:p>
        </w:tc>
      </w:tr>
      <w:tr>
        <w:tc>
          <w:tcPr>
            <w:tcW w:type="dxa" w:w="504"/>
          </w:tcPr>
          <w:p>
            <w:r>
              <w:rPr>
                <w:sz w:val="20"/>
              </w:rPr>
              <w:t>4</w:t>
            </w:r>
          </w:p>
        </w:tc>
        <w:tc>
          <w:tcPr>
            <w:tcW w:type="dxa" w:w="2160"/>
          </w:tcPr>
          <w:p>
            <w:r>
              <w:rPr>
                <w:b/>
                <w:sz w:val="20"/>
              </w:rPr>
              <w:t>Abstract Drafting</w:t>
            </w:r>
          </w:p>
        </w:tc>
        <w:tc>
          <w:tcPr>
            <w:tcW w:type="dxa" w:w="1944"/>
          </w:tcPr>
          <w:p>
            <w:r/>
            <w:r>
              <w:rPr>
                <w:b/>
                <w:color w:val="1E7A34"/>
                <w:sz w:val="20"/>
              </w:rPr>
              <w:t>PASS</w:t>
            </w:r>
          </w:p>
        </w:tc>
        <w:tc>
          <w:tcPr>
            <w:tcW w:type="dxa" w:w="4464"/>
          </w:tcPr>
          <w:p>
            <w:r>
              <w:rPr>
                <w:color w:val="555555"/>
                <w:sz w:val="19"/>
              </w:rPr>
              <w:t>Returned a complete structured abstract (background, problem, method, findings, significance).</w:t>
            </w:r>
          </w:p>
        </w:tc>
      </w:tr>
      <w:tr>
        <w:tc>
          <w:tcPr>
            <w:tcW w:type="dxa" w:w="504"/>
          </w:tcPr>
          <w:p>
            <w:r>
              <w:rPr>
                <w:sz w:val="20"/>
              </w:rPr>
              <w:t>5</w:t>
            </w:r>
          </w:p>
        </w:tc>
        <w:tc>
          <w:tcPr>
            <w:tcW w:type="dxa" w:w="2160"/>
          </w:tcPr>
          <w:p>
            <w:r>
              <w:rPr>
                <w:b/>
                <w:sz w:val="20"/>
              </w:rPr>
              <w:t>Introduction Section</w:t>
            </w:r>
          </w:p>
        </w:tc>
        <w:tc>
          <w:tcPr>
            <w:tcW w:type="dxa" w:w="1944"/>
          </w:tcPr>
          <w:p>
            <w:r/>
            <w:r>
              <w:rPr>
                <w:b/>
                <w:color w:val="1E7A34"/>
                <w:sz w:val="20"/>
              </w:rPr>
              <w:t>PASS</w:t>
            </w:r>
          </w:p>
        </w:tc>
        <w:tc>
          <w:tcPr>
            <w:tcW w:type="dxa" w:w="4464"/>
          </w:tcPr>
          <w:p>
            <w:r>
              <w:rPr>
                <w:color w:val="555555"/>
                <w:sz w:val="19"/>
              </w:rPr>
              <w:t>Returned a full introduction with context, gap statement, and objective.</w:t>
            </w:r>
          </w:p>
        </w:tc>
      </w:tr>
      <w:tr>
        <w:tc>
          <w:tcPr>
            <w:tcW w:type="dxa" w:w="504"/>
          </w:tcPr>
          <w:p>
            <w:r>
              <w:rPr>
                <w:sz w:val="20"/>
              </w:rPr>
              <w:t>6</w:t>
            </w:r>
          </w:p>
        </w:tc>
        <w:tc>
          <w:tcPr>
            <w:tcW w:type="dxa" w:w="2160"/>
          </w:tcPr>
          <w:p>
            <w:r>
              <w:rPr>
                <w:b/>
                <w:sz w:val="20"/>
              </w:rPr>
              <w:t>Reviewer Response</w:t>
            </w:r>
          </w:p>
        </w:tc>
        <w:tc>
          <w:tcPr>
            <w:tcW w:type="dxa" w:w="1944"/>
          </w:tcPr>
          <w:p>
            <w:r/>
            <w:r>
              <w:rPr>
                <w:b/>
                <w:color w:val="1E7A34"/>
                <w:sz w:val="20"/>
              </w:rPr>
              <w:t>PASS</w:t>
            </w:r>
          </w:p>
        </w:tc>
        <w:tc>
          <w:tcPr>
            <w:tcW w:type="dxa" w:w="4464"/>
          </w:tcPr>
          <w:p>
            <w:r>
              <w:rPr>
                <w:color w:val="555555"/>
                <w:sz w:val="19"/>
              </w:rPr>
              <w:t>Returned a professional, structured response addressing the reviewer's comment.</w:t>
            </w:r>
          </w:p>
        </w:tc>
      </w:tr>
      <w:tr>
        <w:tc>
          <w:tcPr>
            <w:tcW w:type="dxa" w:w="504"/>
          </w:tcPr>
          <w:p>
            <w:r>
              <w:rPr>
                <w:sz w:val="20"/>
              </w:rPr>
              <w:t>7</w:t>
            </w:r>
          </w:p>
        </w:tc>
        <w:tc>
          <w:tcPr>
            <w:tcW w:type="dxa" w:w="2160"/>
          </w:tcPr>
          <w:p>
            <w:r>
              <w:rPr>
                <w:b/>
                <w:sz w:val="20"/>
              </w:rPr>
              <w:t>Concept Explainer</w:t>
            </w:r>
          </w:p>
        </w:tc>
        <w:tc>
          <w:tcPr>
            <w:tcW w:type="dxa" w:w="1944"/>
          </w:tcPr>
          <w:p>
            <w:r/>
            <w:r>
              <w:rPr>
                <w:b/>
                <w:color w:val="1E7A34"/>
                <w:sz w:val="20"/>
              </w:rPr>
              <w:t>PASS</w:t>
            </w:r>
          </w:p>
        </w:tc>
        <w:tc>
          <w:tcPr>
            <w:tcW w:type="dxa" w:w="4464"/>
          </w:tcPr>
          <w:p>
            <w:r>
              <w:rPr>
                <w:color w:val="555555"/>
                <w:sz w:val="19"/>
              </w:rPr>
              <w:t>Returned a definition, real-world example, and research relevance as requested.</w:t>
            </w:r>
          </w:p>
        </w:tc>
      </w:tr>
      <w:tr>
        <w:tc>
          <w:tcPr>
            <w:tcW w:type="dxa" w:w="504"/>
          </w:tcPr>
          <w:p>
            <w:r>
              <w:rPr>
                <w:sz w:val="20"/>
              </w:rPr>
              <w:t>8</w:t>
            </w:r>
          </w:p>
        </w:tc>
        <w:tc>
          <w:tcPr>
            <w:tcW w:type="dxa" w:w="2160"/>
          </w:tcPr>
          <w:p>
            <w:r>
              <w:rPr>
                <w:b/>
                <w:sz w:val="20"/>
              </w:rPr>
              <w:t>Research Question</w:t>
            </w:r>
          </w:p>
        </w:tc>
        <w:tc>
          <w:tcPr>
            <w:tcW w:type="dxa" w:w="1944"/>
          </w:tcPr>
          <w:p>
            <w:r/>
            <w:r>
              <w:rPr>
                <w:b/>
                <w:color w:val="1E7A34"/>
                <w:sz w:val="20"/>
              </w:rPr>
              <w:t>PASS</w:t>
            </w:r>
          </w:p>
        </w:tc>
        <w:tc>
          <w:tcPr>
            <w:tcW w:type="dxa" w:w="4464"/>
          </w:tcPr>
          <w:p>
            <w:r>
              <w:rPr>
                <w:color w:val="555555"/>
                <w:sz w:val="19"/>
              </w:rPr>
              <w:t>Returned five specific, well-formed research questions.</w:t>
            </w:r>
          </w:p>
        </w:tc>
      </w:tr>
      <w:tr>
        <w:tc>
          <w:tcPr>
            <w:tcW w:type="dxa" w:w="504"/>
          </w:tcPr>
          <w:p>
            <w:r>
              <w:rPr>
                <w:sz w:val="20"/>
              </w:rPr>
              <w:t>9</w:t>
            </w:r>
          </w:p>
        </w:tc>
        <w:tc>
          <w:tcPr>
            <w:tcW w:type="dxa" w:w="2160"/>
          </w:tcPr>
          <w:p>
            <w:r>
              <w:rPr>
                <w:b/>
                <w:sz w:val="20"/>
              </w:rPr>
              <w:t>Citation Check</w:t>
            </w:r>
          </w:p>
        </w:tc>
        <w:tc>
          <w:tcPr>
            <w:tcW w:type="dxa" w:w="1944"/>
          </w:tcPr>
          <w:p>
            <w:r/>
            <w:r>
              <w:rPr>
                <w:b/>
                <w:color w:val="1E7A34"/>
                <w:sz w:val="20"/>
              </w:rPr>
              <w:t>PASS</w:t>
            </w:r>
          </w:p>
        </w:tc>
        <w:tc>
          <w:tcPr>
            <w:tcW w:type="dxa" w:w="4464"/>
          </w:tcPr>
          <w:p>
            <w:r>
              <w:rPr>
                <w:color w:val="555555"/>
                <w:sz w:val="19"/>
              </w:rPr>
              <w:t>The Citation Checker tool opened normally for this Plus account (no upgrade gate). The claim-check prompt returned a sourced verification flagging the claim as overstated, with a more defensible rewording suggested.</w:t>
            </w:r>
          </w:p>
        </w:tc>
      </w:tr>
      <w:tr>
        <w:tc>
          <w:tcPr>
            <w:tcW w:type="dxa" w:w="504"/>
          </w:tcPr>
          <w:p>
            <w:r>
              <w:rPr>
                <w:sz w:val="20"/>
              </w:rPr>
              <w:t>10</w:t>
            </w:r>
          </w:p>
        </w:tc>
        <w:tc>
          <w:tcPr>
            <w:tcW w:type="dxa" w:w="2160"/>
          </w:tcPr>
          <w:p>
            <w:r>
              <w:rPr>
                <w:b/>
                <w:sz w:val="20"/>
              </w:rPr>
              <w:t>Deep Research Mode</w:t>
            </w:r>
          </w:p>
        </w:tc>
        <w:tc>
          <w:tcPr>
            <w:tcW w:type="dxa" w:w="1944"/>
          </w:tcPr>
          <w:p>
            <w:r/>
            <w:r>
              <w:rPr>
                <w:b/>
                <w:color w:val="1E7A34"/>
                <w:sz w:val="20"/>
              </w:rPr>
              <w:t>PASS (with one caution)</w:t>
            </w:r>
          </w:p>
        </w:tc>
        <w:tc>
          <w:tcPr>
            <w:tcW w:type="dxa" w:w="4464"/>
          </w:tcPr>
          <w:p>
            <w:r>
              <w:rPr>
                <w:color w:val="555555"/>
                <w:sz w:val="19"/>
              </w:rPr>
              <w:t>“Research Mode” (used by the prompt as written) worked correctly on Plus and returned a sourced, cited summary. Caution: do not click the separate “Deep research agent” option in the tool menu during the live demo — that is a distinct, Pro-only feature and will show an upgrade message on a Plus account. This was confirmed directly against the server, which correctly blocks it. The cheat sheet's prompt text itself only needs “Research Mode,” so no change is required for the demo.</w:t>
            </w:r>
          </w:p>
        </w:tc>
      </w:tr>
    </w:tbl>
    <w:p/>
    <w:p>
      <w:r>
        <w:rPr>
          <w:b/>
          <w:color w:val="111B33"/>
          <w:sz w:val="26"/>
        </w:rPr>
        <w:t>Pro-Only Tools — Verified on the Pro Test Account</w:t>
      </w:r>
    </w:p>
    <w:p>
      <w:r>
        <w:t>The cheat sheet itself only needs a Plus plan (see table above). But several menu tools that sit next to the cheat-sheet prompts in the interface are Pro-only, so they were separately tested on the Pro account (anishkrisnareview@gmail.com) to make sure they work correctly if a Pro attendee or the presenter uses them during the workshop.</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fill="111B33"/>
          </w:tcPr>
          <w:p>
            <w:r/>
            <w:r>
              <w:rPr>
                <w:b/>
                <w:color w:val="FFFFFF"/>
                <w:sz w:val="21"/>
              </w:rPr>
              <w:t>Tool</w:t>
            </w:r>
          </w:p>
        </w:tc>
        <w:tc>
          <w:tcPr>
            <w:tcW w:type="dxa" w:w="1296"/>
            <w:shd w:fill="111B33"/>
          </w:tcPr>
          <w:p>
            <w:r/>
            <w:r>
              <w:rPr>
                <w:b/>
                <w:color w:val="FFFFFF"/>
                <w:sz w:val="21"/>
              </w:rPr>
              <w:t>Result</w:t>
            </w:r>
          </w:p>
        </w:tc>
        <w:tc>
          <w:tcPr>
            <w:tcW w:type="dxa" w:w="4032"/>
            <w:shd w:fill="111B33"/>
          </w:tcPr>
          <w:p>
            <w:r/>
            <w:r>
              <w:rPr>
                <w:b/>
                <w:color w:val="FFFFFF"/>
                <w:sz w:val="21"/>
              </w:rPr>
              <w:t>Notes</w:t>
            </w:r>
          </w:p>
        </w:tc>
      </w:tr>
      <w:tr>
        <w:tc>
          <w:tcPr>
            <w:tcW w:type="dxa" w:w="3744"/>
          </w:tcPr>
          <w:p>
            <w:r>
              <w:rPr>
                <w:b/>
                <w:sz w:val="20"/>
              </w:rPr>
              <w:t>Find Research Gaps (dedicated button, DeepThink → More)</w:t>
            </w:r>
          </w:p>
        </w:tc>
        <w:tc>
          <w:tcPr>
            <w:tcW w:type="dxa" w:w="1296"/>
          </w:tcPr>
          <w:p>
            <w:r/>
            <w:r>
              <w:rPr>
                <w:b/>
                <w:color w:val="1E7A34"/>
                <w:sz w:val="20"/>
              </w:rPr>
              <w:t>PASS</w:t>
            </w:r>
          </w:p>
        </w:tc>
        <w:tc>
          <w:tcPr>
            <w:tcW w:type="dxa" w:w="4032"/>
          </w:tcPr>
          <w:p>
            <w:r>
              <w:rPr>
                <w:color w:val="555555"/>
                <w:sz w:val="19"/>
              </w:rPr>
              <w:t>Returned 4 concrete research gaps, each with “why it matters,” “what's missing,” and a suggested angle, plus a sources list. No upgrade gate.</w:t>
            </w:r>
          </w:p>
        </w:tc>
      </w:tr>
      <w:tr>
        <w:tc>
          <w:tcPr>
            <w:tcW w:type="dxa" w:w="3744"/>
          </w:tcPr>
          <w:p>
            <w:r>
              <w:rPr>
                <w:b/>
                <w:sz w:val="20"/>
              </w:rPr>
              <w:t>DeepThink mode</w:t>
            </w:r>
          </w:p>
        </w:tc>
        <w:tc>
          <w:tcPr>
            <w:tcW w:type="dxa" w:w="1296"/>
          </w:tcPr>
          <w:p>
            <w:r/>
            <w:r>
              <w:rPr>
                <w:b/>
                <w:color w:val="1E7A34"/>
                <w:sz w:val="20"/>
              </w:rPr>
              <w:t>PASS</w:t>
            </w:r>
          </w:p>
        </w:tc>
        <w:tc>
          <w:tcPr>
            <w:tcW w:type="dxa" w:w="4032"/>
          </w:tcPr>
          <w:p>
            <w:r>
              <w:rPr>
                <w:color w:val="555555"/>
                <w:sz w:val="19"/>
              </w:rPr>
              <w:t>Activated with no gate and returned a deeper, reasoning-style answer with a key takeaway and follow-ups.</w:t>
            </w:r>
          </w:p>
        </w:tc>
      </w:tr>
      <w:tr>
        <w:tc>
          <w:tcPr>
            <w:tcW w:type="dxa" w:w="3744"/>
          </w:tcPr>
          <w:p>
            <w:r>
              <w:rPr>
                <w:b/>
                <w:sz w:val="20"/>
              </w:rPr>
              <w:t>Deep Research Agent (DeepThink → More)</w:t>
            </w:r>
          </w:p>
        </w:tc>
        <w:tc>
          <w:tcPr>
            <w:tcW w:type="dxa" w:w="1296"/>
          </w:tcPr>
          <w:p>
            <w:r/>
            <w:r>
              <w:rPr>
                <w:b/>
                <w:color w:val="1E7A34"/>
                <w:sz w:val="20"/>
              </w:rPr>
              <w:t>PASS</w:t>
            </w:r>
          </w:p>
        </w:tc>
        <w:tc>
          <w:tcPr>
            <w:tcW w:type="dxa" w:w="4032"/>
          </w:tcPr>
          <w:p>
            <w:r>
              <w:rPr>
                <w:color w:val="555555"/>
                <w:sz w:val="19"/>
              </w:rPr>
              <w:t>Banner appeared (“6 targeted searches · gap analysis · full cited report”), and after submitting a topic the agent began running with live progress and a sources panel — no Pro-upgrade gate, as expected for a Pro account.</w:t>
            </w:r>
          </w:p>
        </w:tc>
      </w:tr>
      <w:tr>
        <w:tc>
          <w:tcPr>
            <w:tcW w:type="dxa" w:w="3744"/>
          </w:tcPr>
          <w:p>
            <w:r>
              <w:rPr>
                <w:b/>
                <w:sz w:val="20"/>
              </w:rPr>
              <w:t>Research Mode</w:t>
            </w:r>
          </w:p>
        </w:tc>
        <w:tc>
          <w:tcPr>
            <w:tcW w:type="dxa" w:w="1296"/>
          </w:tcPr>
          <w:p>
            <w:r/>
            <w:r>
              <w:rPr>
                <w:b/>
                <w:color w:val="1E7A34"/>
                <w:sz w:val="20"/>
              </w:rPr>
              <w:t>PASS</w:t>
            </w:r>
          </w:p>
        </w:tc>
        <w:tc>
          <w:tcPr>
            <w:tcW w:type="dxa" w:w="4032"/>
          </w:tcPr>
          <w:p>
            <w:r>
              <w:rPr>
                <w:color w:val="555555"/>
                <w:sz w:val="19"/>
              </w:rPr>
              <w:t>Activated with no gate and returned a sourced, cited reply with a sources panel.</w:t>
            </w:r>
          </w:p>
        </w:tc>
      </w:tr>
      <w:tr>
        <w:tc>
          <w:tcPr>
            <w:tcW w:type="dxa" w:w="3744"/>
          </w:tcPr>
          <w:p>
            <w:r>
              <w:rPr>
                <w:b/>
                <w:sz w:val="20"/>
              </w:rPr>
              <w:t>Citation Checker (Research → More)</w:t>
            </w:r>
          </w:p>
        </w:tc>
        <w:tc>
          <w:tcPr>
            <w:tcW w:type="dxa" w:w="1296"/>
          </w:tcPr>
          <w:p>
            <w:r/>
            <w:r>
              <w:rPr>
                <w:b/>
                <w:color w:val="1E7A34"/>
                <w:sz w:val="20"/>
              </w:rPr>
              <w:t>PASS</w:t>
            </w:r>
          </w:p>
        </w:tc>
        <w:tc>
          <w:tcPr>
            <w:tcW w:type="dxa" w:w="4032"/>
          </w:tcPr>
          <w:p>
            <w:r>
              <w:rPr>
                <w:color w:val="555555"/>
                <w:sz w:val="19"/>
              </w:rPr>
              <w:t>Modal opened normally with format options and a “Check Citations” control — no upgrade gate, as expected for a Pro account.</w:t>
            </w:r>
          </w:p>
        </w:tc>
      </w:tr>
      <w:tr>
        <w:tc>
          <w:tcPr>
            <w:tcW w:type="dxa" w:w="3744"/>
          </w:tcPr>
          <w:p>
            <w:r>
              <w:rPr>
                <w:b/>
                <w:sz w:val="20"/>
              </w:rPr>
              <w:t>Image Generation</w:t>
            </w:r>
          </w:p>
        </w:tc>
        <w:tc>
          <w:tcPr>
            <w:tcW w:type="dxa" w:w="1296"/>
          </w:tcPr>
          <w:p>
            <w:r/>
            <w:r>
              <w:rPr>
                <w:b/>
                <w:color w:val="1E7A34"/>
                <w:sz w:val="20"/>
              </w:rPr>
              <w:t>PASS</w:t>
            </w:r>
          </w:p>
        </w:tc>
        <w:tc>
          <w:tcPr>
            <w:tcW w:type="dxa" w:w="4032"/>
          </w:tcPr>
          <w:p>
            <w:r>
              <w:rPr>
                <w:color w:val="555555"/>
                <w:sz w:val="19"/>
              </w:rPr>
              <w:t>Opened with no upgrade gate and accepted a prompt; generation started successfully.</w:t>
            </w:r>
          </w:p>
        </w:tc>
      </w:tr>
    </w:tbl>
    <w:p/>
    <w:p>
      <w:r>
        <w:rPr>
          <w:b/>
          <w:color w:val="111B33"/>
          <w:sz w:val="26"/>
        </w:rPr>
        <w:t>How This Was Tested</w:t>
      </w:r>
    </w:p>
    <w:p>
      <w:pPr>
        <w:pStyle w:val="ListBullet"/>
      </w:pPr>
      <w:r>
        <w:t>Logged into the live app as the Plus-plan test account (anishkrisna6@gmail.com), the same plan level most FDP attendees will be using.</w:t>
      </w:r>
    </w:p>
    <w:p>
      <w:pPr>
        <w:pStyle w:val="ListBullet"/>
      </w:pPr>
      <w:r>
        <w:t>Sent each of the 10 cheat-sheet prompts verbatim (with the [topic]/[claim]/[comment] placeholders filled in with realistic academic examples) into the actual chat interface.</w:t>
      </w:r>
    </w:p>
    <w:p>
      <w:pPr>
        <w:pStyle w:val="ListBullet"/>
      </w:pPr>
      <w:r>
        <w:t>For prompt 9, additionally opened the real Citation Checker tool from the menu to confirm it loads without an upgrade screen for Plus users.</w:t>
      </w:r>
    </w:p>
    <w:p>
      <w:pPr>
        <w:pStyle w:val="ListBullet"/>
      </w:pPr>
      <w:r>
        <w:t>For prompt 10, separately tested both the correct path (“Research Mode”) and the similarly named but different, Pro-only “Deep research agent” tool, and confirmed the server itself rejects the Pro-only one for a Plus account (HTTP 403, “Deep Research Agent is a Pro-only feature”) — so it cannot silently fail or embarrass a presenter who clicks it by mistake; it shows a clear upgrade message instead.</w:t>
      </w:r>
    </w:p>
    <w:p>
      <w:pPr>
        <w:pStyle w:val="ListBullet"/>
      </w:pPr>
      <w:r>
        <w:t>Confirmed no crashes, stuck loading states, or blank replies occurred at any point during the run.</w:t>
      </w:r>
    </w:p>
    <w:p>
      <w:pPr>
        <w:pStyle w:val="ListBullet"/>
      </w:pPr>
      <w:r>
        <w:t>Separately, on the Pro test account, drove each Pro-only tool through its exact menu path (DeepThink → More → Find research gaps; DeepThink → More → Deep research agent; Research mode; Research → More → Citation Checker; Generate Image) and confirmed every one activates and runs with no upgrade gate.</w:t>
      </w:r>
    </w:p>
    <w:p/>
    <w:p>
      <w:r>
        <w:rPr>
          <w:b/>
          <w:color w:val="111B33"/>
          <w:sz w:val="26"/>
        </w:rPr>
        <w:t>Recommendation for the Live Session</w:t>
      </w:r>
    </w:p>
    <w:p>
      <w:pPr>
        <w:pStyle w:val="ListNumber"/>
      </w:pPr>
      <w:r>
        <w:t>Use the cheat sheet exactly as written — no prompt text needs to change.</w:t>
      </w:r>
    </w:p>
    <w:p>
      <w:pPr>
        <w:pStyle w:val="ListNumber"/>
      </w:pPr>
      <w:r>
        <w:t>Have every faculty participant use a Pro account for the workshop (as already planned) so image/video generation, DeepThink, Find Research Gaps, and Deep Research Agent all work if a curious attendee tries the tool buttons directly rather than typing the prompt as chat text.</w:t>
      </w:r>
    </w:p>
    <w:p>
      <w:pPr>
        <w:pStyle w:val="ListNumber"/>
      </w:pPr>
      <w:r>
        <w:t>If demonstrating prompt 10 live, use the “Research Mode” toggle for a Plus-account audience; the presenter can additionally show the “Deep research agent” tool live if presenting from the Pro test account, since it is now confirmed to work end-to-end.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