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D97E06"/>
          <w:sz w:val="22"/>
        </w:rPr>
        <w:t>⚡  Dynamo AI</w:t>
      </w:r>
    </w:p>
    <w:p>
      <w:pPr>
        <w:jc w:val="center"/>
      </w:pPr>
      <w:r>
        <w:rPr>
          <w:b/>
          <w:color w:val="1A1A2E"/>
          <w:sz w:val="44"/>
        </w:rPr>
        <w:t>Citation Checker — Test Case Suite</w:t>
      </w:r>
    </w:p>
    <w:p>
      <w:pPr>
        <w:jc w:val="center"/>
      </w:pPr>
      <w:r>
        <w:rPr>
          <w:color w:val="6B7280"/>
          <w:sz w:val="22"/>
        </w:rPr>
        <w:t>Covers APA 7th · IEEE · MLA 9th · Harvard · Vancouver · Chicago</w:t>
      </w:r>
    </w:p>
    <w:p/>
    <w:p>
      <w:pPr>
        <w:spacing w:before="160" w:after="160"/>
        <w:ind w:left="432" w:right="432"/>
        <w:shd w:val="clear" w:color="auto" w:fill="FEF9C3"/>
      </w:pPr>
      <w:r>
        <w:rPr>
          <w:color w:val="713F12"/>
          <w:sz w:val="19"/>
        </w:rPr>
        <w:t>How to use:  Open Citation Checker (Sidebar → Quick Tools → AI &amp; Plagiarism) → select format → paste Text → paste Bibliography → click ✅ Check Citations</w:t>
      </w:r>
    </w:p>
    <w:p/>
    <w:p>
      <w:pPr>
        <w:pStyle w:val="Heading2"/>
      </w:pPr>
      <w:r>
        <w:rPr>
          <w:color w:val="D97E06"/>
          <w:sz w:val="28"/>
        </w:rPr>
        <w:t>Test 1: APA 7th — Missing Entry + Year Mismatch</w:t>
      </w:r>
    </w:p>
    <w:p>
      <w:pPr>
        <w:spacing w:before="0" w:after="120"/>
      </w:pPr>
      <w:r>
        <w:rPr>
          <w:b/>
          <w:color w:val="6B7280"/>
          <w:sz w:val="19"/>
        </w:rPr>
        <w:t xml:space="preserve">Format: </w:t>
      </w:r>
      <w:r>
        <w:rPr>
          <w:b/>
          <w:color w:val="1A1A2E"/>
          <w:sz w:val="19"/>
        </w:rPr>
        <w:t>APA 7th</w:t>
      </w:r>
      <w:r>
        <w:t xml:space="preserve">     </w:t>
      </w:r>
      <w:r>
        <w:rPr>
          <w:b/>
          <w:color w:val="6B7280"/>
          <w:sz w:val="19"/>
        </w:rPr>
        <w:t xml:space="preserve">Expected Score: </w:t>
      </w:r>
      <w:r>
        <w:rPr>
          <w:b/>
          <w:color w:val="1D4ED8"/>
          <w:sz w:val="19"/>
        </w:rPr>
        <w:t>~44/100  ❌ Poor</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Recent studies on climate change adaptation have highlighted the need for interdisciplinary approaches. Smith et al. (2020) argue that local governance structures are critical for effective adaptation. However, Jones and Williams (2022) found that economic factors often outweigh governance considerations. The role of indigenous knowledge has been explored by Kim and Patel (2021). Furthermore, a meta-analysis by Brown (2019) revealed significant regional variations in adaptation outcomes. Recent work by Anderson et al. (2023) suggests that policy frameworks need to be more flexible.</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Anderson, M., Lee, J., &amp; Chen, X. (2023). Flexible policy frameworks for climate adaptation. Journal of Environmental Studies, 45(3), 210–225. https://doi.org/10.1234/jes.2023.045</w:t>
      </w:r>
    </w:p>
    <w:p>
      <w:pPr>
        <w:spacing w:before="0" w:after="0"/>
        <w:ind w:left="288"/>
        <w:shd w:val="clear" w:color="auto" w:fill="F3F4F6"/>
      </w:pPr>
      <w:r>
        <w:rPr>
          <w:rFonts w:ascii="Courier New" w:hAnsi="Courier New"/>
          <w:color w:val="374151"/>
          <w:sz w:val="17"/>
        </w:rPr>
        <w:t>Brown, R. (2020). Regional variations in climate adaptation outcomes. Environmental Research Letters, 15(8), 084032. https://doi.org/10.1088/1748-9326/ab5b5b</w:t>
      </w:r>
    </w:p>
    <w:p>
      <w:pPr>
        <w:spacing w:before="0" w:after="0"/>
        <w:ind w:left="288"/>
        <w:shd w:val="clear" w:color="auto" w:fill="F3F4F6"/>
      </w:pPr>
      <w:r>
        <w:rPr>
          <w:rFonts w:ascii="Courier New" w:hAnsi="Courier New"/>
          <w:color w:val="374151"/>
          <w:sz w:val="17"/>
        </w:rPr>
        <w:t>Jones, S., &amp; Williams, K. (2022). Economic factors in climate adaptation. Journal of Climate Economics, 12(2), 45–60.</w:t>
      </w:r>
    </w:p>
    <w:p>
      <w:pPr>
        <w:spacing w:before="0" w:after="0"/>
        <w:ind w:left="288"/>
        <w:shd w:val="clear" w:color="auto" w:fill="F3F4F6"/>
      </w:pPr>
      <w:r>
        <w:rPr>
          <w:rFonts w:ascii="Courier New" w:hAnsi="Courier New"/>
          <w:color w:val="374151"/>
          <w:sz w:val="17"/>
        </w:rPr>
        <w:t>Kim, J., &amp; Patel, R. (2021). Indigenous knowledge and climate adaptation. Indigenous Studies Review, 8(1), 15–29.</w:t>
      </w:r>
    </w:p>
    <w:p>
      <w:pPr>
        <w:spacing w:after="40"/>
      </w:pPr>
    </w:p>
    <w:p>
      <w:pPr>
        <w:spacing w:before="80" w:after="40"/>
        <w:ind w:left="144"/>
      </w:pPr>
      <w:r>
        <w:rPr>
          <w:b/>
          <w:color w:val="166334"/>
          <w:sz w:val="19"/>
        </w:rPr>
        <w:t xml:space="preserve">✅  Issues expected: </w:t>
      </w:r>
      <w:r>
        <w:rPr>
          <w:color w:val="374151"/>
          <w:sz w:val="19"/>
        </w:rPr>
        <w:t>Smith et al. missing from bibliography entirely. Brown cited as (2019) but bibliography entry says (2020) — year mismatch. Jones and Kim have no DOI.</w:t>
      </w:r>
    </w:p>
    <w:p>
      <w:pPr>
        <w:spacing w:before="80" w:after="200"/>
        <w:pBdr>
          <w:bottom w:val="single" w:sz="4" w:space="1" w:color="E5E7EB"/>
        </w:pBdr>
      </w:pPr>
    </w:p>
    <w:p>
      <w:pPr>
        <w:pStyle w:val="Heading2"/>
      </w:pPr>
      <w:r>
        <w:rPr>
          <w:color w:val="D97E06"/>
          <w:sz w:val="28"/>
        </w:rPr>
        <w:t>Test 2: IEEE — Missing Reference [6] + Unused [7]</w:t>
      </w:r>
    </w:p>
    <w:p>
      <w:pPr>
        <w:spacing w:before="0" w:after="120"/>
      </w:pPr>
      <w:r>
        <w:rPr>
          <w:b/>
          <w:color w:val="6B7280"/>
          <w:sz w:val="19"/>
        </w:rPr>
        <w:t xml:space="preserve">Format: </w:t>
      </w:r>
      <w:r>
        <w:rPr>
          <w:b/>
          <w:color w:val="1A1A2E"/>
          <w:sz w:val="19"/>
        </w:rPr>
        <w:t>IEEE</w:t>
      </w:r>
      <w:r>
        <w:t xml:space="preserve">     </w:t>
      </w:r>
      <w:r>
        <w:rPr>
          <w:b/>
          <w:color w:val="6B7280"/>
          <w:sz w:val="19"/>
        </w:rPr>
        <w:t xml:space="preserve">Expected Score: </w:t>
      </w:r>
      <w:r>
        <w:rPr>
          <w:b/>
          <w:color w:val="1D4ED8"/>
          <w:sz w:val="19"/>
        </w:rPr>
        <w:t>~52/100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Deep learning has transformed computer vision. Convolutional neural networks were introduced in [1], and later refined by He et al. in [2]. The transformer architecture, originally proposed for NLP [3], has been successfully adapted to vision tasks [4]. Recent work by Dosovitskiy et al. [5] demonstrated the power of pure attention mechanisms. The attention mechanism itself was first described in [6].</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[1] A. Krizhevsky, I. Sutskever, and G. E. Hinton, "ImageNet classification with deep convolutional neural networks," Advances in Neural Information Processing Systems, vol. 25, pp. 1097–1105, 2012.</w:t>
      </w:r>
    </w:p>
    <w:p>
      <w:pPr>
        <w:spacing w:before="0" w:after="0"/>
        <w:ind w:left="288"/>
        <w:shd w:val="clear" w:color="auto" w:fill="F3F4F6"/>
      </w:pPr>
      <w:r>
        <w:rPr>
          <w:rFonts w:ascii="Courier New" w:hAnsi="Courier New"/>
          <w:color w:val="374151"/>
          <w:sz w:val="17"/>
        </w:rPr>
        <w:t>[2] K. He, X. Zhang, S. Ren, and J. Sun, "Deep residual learning for image recognition," in Proc. CVPR, 2016, pp. 770–778.</w:t>
      </w:r>
    </w:p>
    <w:p>
      <w:pPr>
        <w:spacing w:before="0" w:after="0"/>
        <w:ind w:left="288"/>
        <w:shd w:val="clear" w:color="auto" w:fill="F3F4F6"/>
      </w:pPr>
      <w:r>
        <w:rPr>
          <w:rFonts w:ascii="Courier New" w:hAnsi="Courier New"/>
          <w:color w:val="374151"/>
          <w:sz w:val="17"/>
        </w:rPr>
        <w:t>[3] A. Vaswani et al., "Attention is all you need," Advances in NeurIPS, vol. 30, pp. 5998–6008, 2017.</w:t>
      </w:r>
    </w:p>
    <w:p>
      <w:pPr>
        <w:spacing w:before="0" w:after="0"/>
        <w:ind w:left="288"/>
        <w:shd w:val="clear" w:color="auto" w:fill="F3F4F6"/>
      </w:pPr>
      <w:r>
        <w:rPr>
          <w:rFonts w:ascii="Courier New" w:hAnsi="Courier New"/>
          <w:color w:val="374151"/>
          <w:sz w:val="17"/>
        </w:rPr>
        <w:t>[4] N. Carion et al., "End-to-end object detection with transformers," in ECCV, 2020, pp. 213–229.</w:t>
      </w:r>
    </w:p>
    <w:p>
      <w:pPr>
        <w:spacing w:before="0" w:after="0"/>
        <w:ind w:left="288"/>
        <w:shd w:val="clear" w:color="auto" w:fill="F3F4F6"/>
      </w:pPr>
      <w:r>
        <w:rPr>
          <w:rFonts w:ascii="Courier New" w:hAnsi="Courier New"/>
          <w:color w:val="374151"/>
          <w:sz w:val="17"/>
        </w:rPr>
        <w:t>[5] A. Dosovitskiy et al., "An image is worth 16x16 words," in ICLR, 2021.</w:t>
      </w:r>
    </w:p>
    <w:p>
      <w:pPr>
        <w:spacing w:before="0" w:after="0"/>
        <w:ind w:left="288"/>
        <w:shd w:val="clear" w:color="auto" w:fill="F3F4F6"/>
      </w:pPr>
      <w:r>
        <w:rPr>
          <w:rFonts w:ascii="Courier New" w:hAnsi="Courier New"/>
          <w:color w:val="374151"/>
          <w:sz w:val="17"/>
        </w:rPr>
        <w:t>[7] D. Bahdanau, K. Cho, and Y. Bengio, "Neural machine translation by jointly learning to align and translate," ICLR, 2015.</w:t>
      </w:r>
    </w:p>
    <w:p>
      <w:pPr>
        <w:spacing w:after="40"/>
      </w:pPr>
    </w:p>
    <w:p>
      <w:pPr>
        <w:spacing w:before="80" w:after="40"/>
        <w:ind w:left="144"/>
      </w:pPr>
      <w:r>
        <w:rPr>
          <w:b/>
          <w:color w:val="166334"/>
          <w:sz w:val="19"/>
        </w:rPr>
        <w:t xml:space="preserve">✅  Issues expected: </w:t>
      </w:r>
      <w:r>
        <w:rPr>
          <w:color w:val="374151"/>
          <w:sz w:val="19"/>
        </w:rPr>
        <w:t>[6] is cited in the text but has no matching bibliography entry. [7] is listed in bibliography but never cited in the text (unused entry).</w:t>
      </w:r>
    </w:p>
    <w:p>
      <w:pPr>
        <w:spacing w:before="80" w:after="200"/>
        <w:pBdr>
          <w:bottom w:val="single" w:sz="4" w:space="1" w:color="E5E7EB"/>
        </w:pBdr>
      </w:pPr>
    </w:p>
    <w:p>
      <w:pPr>
        <w:pStyle w:val="Heading2"/>
      </w:pPr>
      <w:r>
        <w:rPr>
          <w:color w:val="D97E06"/>
          <w:sz w:val="28"/>
        </w:rPr>
        <w:t>Test 3: MLA 9th — Gurr Missing + Johnson Unused</w:t>
      </w:r>
    </w:p>
    <w:p>
      <w:pPr>
        <w:spacing w:before="0" w:after="120"/>
      </w:pPr>
      <w:r>
        <w:rPr>
          <w:b/>
          <w:color w:val="6B7280"/>
          <w:sz w:val="19"/>
        </w:rPr>
        <w:t xml:space="preserve">Format: </w:t>
      </w:r>
      <w:r>
        <w:rPr>
          <w:b/>
          <w:color w:val="1A1A2E"/>
          <w:sz w:val="19"/>
        </w:rPr>
        <w:t>MLA 9th</w:t>
      </w:r>
      <w:r>
        <w:t xml:space="preserve">     </w:t>
      </w:r>
      <w:r>
        <w:rPr>
          <w:b/>
          <w:color w:val="6B7280"/>
          <w:sz w:val="19"/>
        </w:rPr>
        <w:t xml:space="preserve">Expected Score: </w:t>
      </w:r>
      <w:r>
        <w:rPr>
          <w:b/>
          <w:color w:val="1D4ED8"/>
          <w:sz w:val="19"/>
        </w:rPr>
        <w:t>~52/100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Shakespeare's influence on modern literature is undeniable. As Harold Bloom argues, "Shakespeare invented the human" (Bloom 346). The bard's role in shaping English is explored by McCrum (45). Feminist readings of Shakespeare, particularly those by Belsey, emphasize the complexity of gender in the plays (Belsey 78). The cultural impact of Shakespeare's works is documented in numerous scholarly works (Gurr 12).</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Bloom, Harold. Shakespeare: The Invention of the Human. Riverhead Books, 1998.</w:t>
      </w:r>
    </w:p>
    <w:p>
      <w:pPr>
        <w:spacing w:before="0" w:after="0"/>
        <w:ind w:left="288"/>
        <w:shd w:val="clear" w:color="auto" w:fill="F3F4F6"/>
      </w:pPr>
      <w:r>
        <w:rPr>
          <w:rFonts w:ascii="Courier New" w:hAnsi="Courier New"/>
          <w:color w:val="374151"/>
          <w:sz w:val="17"/>
        </w:rPr>
        <w:t>McCrum, Robert. "The Bard's English." The Guardian, 23 April 2016, www.theguardian.com/culture/2016/apr/23/shakespeare-english-language.</w:t>
      </w:r>
    </w:p>
    <w:p>
      <w:pPr>
        <w:spacing w:before="0" w:after="0"/>
        <w:ind w:left="288"/>
        <w:shd w:val="clear" w:color="auto" w:fill="F3F4F6"/>
      </w:pPr>
      <w:r>
        <w:rPr>
          <w:rFonts w:ascii="Courier New" w:hAnsi="Courier New"/>
          <w:color w:val="374151"/>
          <w:sz w:val="17"/>
        </w:rPr>
        <w:t>Belsey, Catherine. Shakespeare and the Loss of Eden. Rutgers University Press, 1999.</w:t>
      </w:r>
    </w:p>
    <w:p>
      <w:pPr>
        <w:spacing w:before="0" w:after="0"/>
        <w:ind w:left="288"/>
        <w:shd w:val="clear" w:color="auto" w:fill="F3F4F6"/>
      </w:pPr>
      <w:r>
        <w:rPr>
          <w:rFonts w:ascii="Courier New" w:hAnsi="Courier New"/>
          <w:color w:val="374151"/>
          <w:sz w:val="17"/>
        </w:rPr>
        <w:t>Johnson, Samuel. The Plays of William Shakespeare. 1765.</w:t>
      </w:r>
    </w:p>
    <w:p>
      <w:pPr>
        <w:spacing w:after="40"/>
      </w:pPr>
    </w:p>
    <w:p>
      <w:pPr>
        <w:spacing w:before="80" w:after="40"/>
        <w:ind w:left="144"/>
      </w:pPr>
      <w:r>
        <w:rPr>
          <w:b/>
          <w:color w:val="166334"/>
          <w:sz w:val="19"/>
        </w:rPr>
        <w:t xml:space="preserve">✅  Issues expected: </w:t>
      </w:r>
      <w:r>
        <w:rPr>
          <w:color w:val="374151"/>
          <w:sz w:val="19"/>
        </w:rPr>
        <w:t>Gurr is cited (Gurr 12) but has no entry in bibliography. Johnson is listed in bibliography but never cited in the text. McCrum URL should not start with 'www.' in MLA 9th.</w:t>
      </w:r>
    </w:p>
    <w:p>
      <w:pPr>
        <w:spacing w:before="80" w:after="200"/>
        <w:pBdr>
          <w:bottom w:val="single" w:sz="4" w:space="1" w:color="E5E7EB"/>
        </w:pBdr>
      </w:pPr>
    </w:p>
    <w:p>
      <w:pPr>
        <w:pStyle w:val="Heading2"/>
      </w:pPr>
      <w:r>
        <w:rPr>
          <w:color w:val="D97E06"/>
          <w:sz w:val="28"/>
        </w:rPr>
        <w:t>Test 4: Harvard — Two Year Mismatches</w:t>
      </w:r>
    </w:p>
    <w:p>
      <w:pPr>
        <w:spacing w:before="0" w:after="120"/>
      </w:pPr>
      <w:r>
        <w:rPr>
          <w:b/>
          <w:color w:val="6B7280"/>
          <w:sz w:val="19"/>
        </w:rPr>
        <w:t xml:space="preserve">Format: </w:t>
      </w:r>
      <w:r>
        <w:rPr>
          <w:b/>
          <w:color w:val="1A1A2E"/>
          <w:sz w:val="19"/>
        </w:rPr>
        <w:t>Harvard</w:t>
      </w:r>
      <w:r>
        <w:t xml:space="preserve">     </w:t>
      </w:r>
      <w:r>
        <w:rPr>
          <w:b/>
          <w:color w:val="6B7280"/>
          <w:sz w:val="19"/>
        </w:rPr>
        <w:t xml:space="preserve">Expected Score: </w:t>
      </w:r>
      <w:r>
        <w:rPr>
          <w:b/>
          <w:color w:val="1D4ED8"/>
          <w:sz w:val="19"/>
        </w:rPr>
        <w:t>~52/100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The COVID-19 pandemic accelerated digital transformation in healthcare (World Health Organization, 2021). Telemedicine adoption increased by 300% in the first year of the pandemic (Smith et al., 2020). Privacy concerns remain significant, as noted by Garcia and Lee (2022). The European Union's approach to digital health data is detailed in the European Commission (2023) report.</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European Commission (2022) Digital Health and Care in the EU. Brussels: European Commission.</w:t>
      </w:r>
    </w:p>
    <w:p>
      <w:pPr>
        <w:spacing w:before="0" w:after="0"/>
        <w:ind w:left="288"/>
        <w:shd w:val="clear" w:color="auto" w:fill="F3F4F6"/>
      </w:pPr>
      <w:r>
        <w:rPr>
          <w:rFonts w:ascii="Courier New" w:hAnsi="Courier New"/>
          <w:color w:val="374151"/>
          <w:sz w:val="17"/>
        </w:rPr>
        <w:t>Garcia, M. and Lee, S. (2022) 'Privacy frameworks in telemedicine', Journal of Health Informatics, 15(3), pp. 112–128.</w:t>
      </w:r>
    </w:p>
    <w:p>
      <w:pPr>
        <w:spacing w:before="0" w:after="0"/>
        <w:ind w:left="288"/>
        <w:shd w:val="clear" w:color="auto" w:fill="F3F4F6"/>
      </w:pPr>
      <w:r>
        <w:rPr>
          <w:rFonts w:ascii="Courier New" w:hAnsi="Courier New"/>
          <w:color w:val="374151"/>
          <w:sz w:val="17"/>
        </w:rPr>
        <w:t>Smith, J., Jones, A. and Brown, K. (2021) 'Telemedicine adoption during COVID-19', Lancet Digital Health, 3(4), pp. e200–e210.</w:t>
      </w:r>
    </w:p>
    <w:p>
      <w:pPr>
        <w:spacing w:before="0" w:after="0"/>
        <w:ind w:left="288"/>
        <w:shd w:val="clear" w:color="auto" w:fill="F3F4F6"/>
      </w:pPr>
      <w:r>
        <w:rPr>
          <w:rFonts w:ascii="Courier New" w:hAnsi="Courier New"/>
          <w:color w:val="374151"/>
          <w:sz w:val="17"/>
        </w:rPr>
        <w:t>World Health Organization (2021) Global strategy on digital health 2020–2025. Geneva: WHO.</w:t>
      </w:r>
    </w:p>
    <w:p>
      <w:pPr>
        <w:spacing w:after="40"/>
      </w:pPr>
    </w:p>
    <w:p>
      <w:pPr>
        <w:spacing w:before="80" w:after="40"/>
        <w:ind w:left="144"/>
      </w:pPr>
      <w:r>
        <w:rPr>
          <w:b/>
          <w:color w:val="166334"/>
          <w:sz w:val="19"/>
        </w:rPr>
        <w:t xml:space="preserve">✅  Issues expected: </w:t>
      </w:r>
      <w:r>
        <w:rPr>
          <w:color w:val="374151"/>
          <w:sz w:val="19"/>
        </w:rPr>
        <w:t>Smith et al. cited as (2020) but bibliography says (2021) — year mismatch. European Commission cited as (2023) but bibliography says (2022) — year mismatch.</w:t>
      </w:r>
    </w:p>
    <w:p>
      <w:pPr>
        <w:spacing w:before="80" w:after="200"/>
        <w:pBdr>
          <w:bottom w:val="single" w:sz="4" w:space="1" w:color="E5E7EB"/>
        </w:pBdr>
      </w:pPr>
    </w:p>
    <w:p>
      <w:pPr>
        <w:pStyle w:val="Heading2"/>
      </w:pPr>
      <w:r>
        <w:rPr>
          <w:color w:val="D97E06"/>
          <w:sz w:val="28"/>
        </w:rPr>
        <w:t>Test 5: Vancouver — Reference [5] Missing + [6] Unused</w:t>
      </w:r>
    </w:p>
    <w:p>
      <w:pPr>
        <w:spacing w:before="0" w:after="120"/>
      </w:pPr>
      <w:r>
        <w:rPr>
          <w:b/>
          <w:color w:val="6B7280"/>
          <w:sz w:val="19"/>
        </w:rPr>
        <w:t xml:space="preserve">Format: </w:t>
      </w:r>
      <w:r>
        <w:rPr>
          <w:b/>
          <w:color w:val="1A1A2E"/>
          <w:sz w:val="19"/>
        </w:rPr>
        <w:t>Vancouver</w:t>
      </w:r>
      <w:r>
        <w:t xml:space="preserve">     </w:t>
      </w:r>
      <w:r>
        <w:rPr>
          <w:b/>
          <w:color w:val="6B7280"/>
          <w:sz w:val="19"/>
        </w:rPr>
        <w:t xml:space="preserve">Expected Score: </w:t>
      </w:r>
      <w:r>
        <w:rPr>
          <w:b/>
          <w:color w:val="1D4ED8"/>
          <w:sz w:val="19"/>
        </w:rPr>
        <w:t>~52/100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Cardiovascular disease remains the leading cause of death globally (1). Lifestyle interventions, including diet and exercise, have shown significant benefits in primary prevention (2). The Mediterranean diet, in particular, has been associated with reduced cardiovascular risk (3). However, patient adherence to dietary interventions remains challenging (4). Recent meta-analyses support the role of combined lifestyle interventions (5).</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1. World Health Organization. Global health estimates: Leading causes of death. Geneva: WHO; 2020.</w:t>
      </w:r>
    </w:p>
    <w:p>
      <w:pPr>
        <w:spacing w:before="0" w:after="0"/>
        <w:ind w:left="288"/>
        <w:shd w:val="clear" w:color="auto" w:fill="F3F4F6"/>
      </w:pPr>
      <w:r>
        <w:rPr>
          <w:rFonts w:ascii="Courier New" w:hAnsi="Courier New"/>
          <w:color w:val="374151"/>
          <w:sz w:val="17"/>
        </w:rPr>
        <w:t>2. Mozaffarian D. Dietary and policy priorities for cardiovascular disease, diabetes, and obesity. Circulation. 2016;133(2):187-225.</w:t>
      </w:r>
    </w:p>
    <w:p>
      <w:pPr>
        <w:spacing w:before="0" w:after="0"/>
        <w:ind w:left="288"/>
        <w:shd w:val="clear" w:color="auto" w:fill="F3F4F6"/>
      </w:pPr>
      <w:r>
        <w:rPr>
          <w:rFonts w:ascii="Courier New" w:hAnsi="Courier New"/>
          <w:color w:val="374151"/>
          <w:sz w:val="17"/>
        </w:rPr>
        <w:t>3. Estruch R, Ros E, Salas-Salvadó J, et al. Primary prevention of cardiovascular disease with a Mediterranean diet. N Engl J Med. 2013;368(14):1279-90.</w:t>
      </w:r>
    </w:p>
    <w:p>
      <w:pPr>
        <w:spacing w:before="0" w:after="0"/>
        <w:ind w:left="288"/>
        <w:shd w:val="clear" w:color="auto" w:fill="F3F4F6"/>
      </w:pPr>
      <w:r>
        <w:rPr>
          <w:rFonts w:ascii="Courier New" w:hAnsi="Courier New"/>
          <w:color w:val="374151"/>
          <w:sz w:val="17"/>
        </w:rPr>
        <w:t>4. Spring B, Moller AC, Colangelo LA. Make Better Choices (MBC): study design of a randomized controlled trial. BMC Public Health. 2012;12:586.</w:t>
      </w:r>
    </w:p>
    <w:p>
      <w:pPr>
        <w:spacing w:before="0" w:after="0"/>
        <w:ind w:left="288"/>
        <w:shd w:val="clear" w:color="auto" w:fill="F3F4F6"/>
      </w:pPr>
      <w:r>
        <w:rPr>
          <w:rFonts w:ascii="Courier New" w:hAnsi="Courier New"/>
          <w:color w:val="374151"/>
          <w:sz w:val="17"/>
        </w:rPr>
        <w:t>6. Yusuf S, Joseph P, Rangarajan S, et al. Modifiable risk factors, cardiovascular disease, and mortality. Lancet. 2020;395(10226):795-806.</w:t>
      </w:r>
    </w:p>
    <w:p>
      <w:pPr>
        <w:spacing w:after="40"/>
      </w:pPr>
    </w:p>
    <w:p>
      <w:pPr>
        <w:spacing w:before="80" w:after="40"/>
        <w:ind w:left="144"/>
      </w:pPr>
      <w:r>
        <w:rPr>
          <w:b/>
          <w:color w:val="166334"/>
          <w:sz w:val="19"/>
        </w:rPr>
        <w:t xml:space="preserve">✅  Issues expected: </w:t>
      </w:r>
      <w:r>
        <w:rPr>
          <w:color w:val="374151"/>
          <w:sz w:val="19"/>
        </w:rPr>
        <w:t>Reference [5] is cited in text but has no bibliography entry (bibliography jumps from [4] to [6]). Reference [6] is listed but never cited in text.</w:t>
      </w:r>
    </w:p>
    <w:p>
      <w:pPr>
        <w:spacing w:before="80" w:after="200"/>
        <w:pBdr>
          <w:bottom w:val="single" w:sz="4" w:space="1" w:color="E5E7EB"/>
        </w:pBdr>
      </w:pPr>
    </w:p>
    <w:p>
      <w:pPr>
        <w:pStyle w:val="Heading2"/>
      </w:pPr>
      <w:r>
        <w:rPr>
          <w:color w:val="D97E06"/>
          <w:sz w:val="28"/>
        </w:rPr>
        <w:t>Test 6: Chicago — Crafts Unused + Footnote Style Issue</w:t>
      </w:r>
    </w:p>
    <w:p>
      <w:pPr>
        <w:spacing w:before="0" w:after="120"/>
      </w:pPr>
      <w:r>
        <w:rPr>
          <w:b/>
          <w:color w:val="6B7280"/>
          <w:sz w:val="19"/>
        </w:rPr>
        <w:t xml:space="preserve">Format: </w:t>
      </w:r>
      <w:r>
        <w:rPr>
          <w:b/>
          <w:color w:val="1A1A2E"/>
          <w:sz w:val="19"/>
        </w:rPr>
        <w:t>Chicago</w:t>
      </w:r>
      <w:r>
        <w:t xml:space="preserve">     </w:t>
      </w:r>
      <w:r>
        <w:rPr>
          <w:b/>
          <w:color w:val="6B7280"/>
          <w:sz w:val="19"/>
        </w:rPr>
        <w:t xml:space="preserve">Expected Score: </w:t>
      </w:r>
      <w:r>
        <w:rPr>
          <w:b/>
          <w:color w:val="1D4ED8"/>
          <w:sz w:val="19"/>
        </w:rPr>
        <w:t>~60/100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The Industrial Revolution fundamentally changed urban landscapes. As historian Eric Hobsbawm observed, "the Industrial Revolution marks the most fundamental transformation of human life in the history of the world."1 Economic historians like Joel Mokyr emphasize the role of technological knowledge.2 More recent scholarship by Pat Hudson has reassessed the regional variations of industrial growth.3</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Hobsbawm, Eric J. The Age of Revolution: 1789–1848. London: Weidenfeld &amp; Nicolson, 1962.</w:t>
      </w:r>
    </w:p>
    <w:p>
      <w:pPr>
        <w:spacing w:before="0" w:after="0"/>
        <w:ind w:left="288"/>
        <w:shd w:val="clear" w:color="auto" w:fill="F3F4F6"/>
      </w:pPr>
      <w:r>
        <w:rPr>
          <w:rFonts w:ascii="Courier New" w:hAnsi="Courier New"/>
          <w:color w:val="374151"/>
          <w:sz w:val="17"/>
        </w:rPr>
        <w:t>Mokyr, Joel. The Lever of Riches: Technological Creativity and Economic Progress. New York: Oxford University Press, 1990.</w:t>
      </w:r>
    </w:p>
    <w:p>
      <w:pPr>
        <w:spacing w:before="0" w:after="0"/>
        <w:ind w:left="288"/>
        <w:shd w:val="clear" w:color="auto" w:fill="F3F4F6"/>
      </w:pPr>
      <w:r>
        <w:rPr>
          <w:rFonts w:ascii="Courier New" w:hAnsi="Courier New"/>
          <w:color w:val="374151"/>
          <w:sz w:val="17"/>
        </w:rPr>
        <w:t>Hudson, Pat. The Industrial Revolution. London: Bloomsbury Academic, 2014.</w:t>
      </w:r>
    </w:p>
    <w:p>
      <w:pPr>
        <w:spacing w:before="0" w:after="0"/>
        <w:ind w:left="288"/>
        <w:shd w:val="clear" w:color="auto" w:fill="F3F4F6"/>
      </w:pPr>
      <w:r>
        <w:rPr>
          <w:rFonts w:ascii="Courier New" w:hAnsi="Courier New"/>
          <w:color w:val="374151"/>
          <w:sz w:val="17"/>
        </w:rPr>
        <w:t>Crafts, N. F. R. British Economic Growth during the Industrial Revolution. Oxford: Clarendon Press, 1985.</w:t>
      </w:r>
    </w:p>
    <w:p>
      <w:pPr>
        <w:spacing w:after="40"/>
      </w:pPr>
    </w:p>
    <w:p>
      <w:pPr>
        <w:spacing w:before="80" w:after="40"/>
        <w:ind w:left="144"/>
      </w:pPr>
      <w:r>
        <w:rPr>
          <w:b/>
          <w:color w:val="166334"/>
          <w:sz w:val="19"/>
        </w:rPr>
        <w:t xml:space="preserve">✅  Issues expected: </w:t>
      </w:r>
      <w:r>
        <w:rPr>
          <w:color w:val="374151"/>
          <w:sz w:val="19"/>
        </w:rPr>
        <w:t>Crafts is listed in bibliography but never cited in the text. Chicago Notes-Bibliography style requires full footnote entries (not just superscript numbers). Page number missing in Hobsbawm note.</w:t>
      </w:r>
    </w:p>
    <w:p>
      <w:pPr>
        <w:spacing w:before="80" w:after="200"/>
        <w:pBdr>
          <w:bottom w:val="single" w:sz="4" w:space="1" w:color="E5E7EB"/>
        </w:pBdr>
      </w:pPr>
    </w:p>
    <w:p>
      <w:pPr>
        <w:pStyle w:val="Heading2"/>
      </w:pPr>
      <w:r>
        <w:rPr>
          <w:color w:val="D97E06"/>
          <w:sz w:val="28"/>
        </w:rPr>
        <w:t>Test 7: APA 7th — Near-Perfect Paper (High Score)</w:t>
      </w:r>
    </w:p>
    <w:p>
      <w:pPr>
        <w:spacing w:before="0" w:after="120"/>
      </w:pPr>
      <w:r>
        <w:rPr>
          <w:b/>
          <w:color w:val="6B7280"/>
          <w:sz w:val="19"/>
        </w:rPr>
        <w:t xml:space="preserve">Format: </w:t>
      </w:r>
      <w:r>
        <w:rPr>
          <w:b/>
          <w:color w:val="1A1A2E"/>
          <w:sz w:val="19"/>
        </w:rPr>
        <w:t>APA 7th</w:t>
      </w:r>
      <w:r>
        <w:t xml:space="preserve">     </w:t>
      </w:r>
      <w:r>
        <w:rPr>
          <w:b/>
          <w:color w:val="6B7280"/>
          <w:sz w:val="19"/>
        </w:rPr>
        <w:t xml:space="preserve">Expected Score: </w:t>
      </w:r>
      <w:r>
        <w:rPr>
          <w:b/>
          <w:color w:val="1D4ED8"/>
          <w:sz w:val="19"/>
        </w:rPr>
        <w:t>~76–92/100  ✅ Good</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Machine learning has achieved remarkable success in natural language processing (Devlin et al., 2019). Large language models, such as GPT-3, have demonstrated emergent capabilities at scale (Brown et al., 2020). Instruction tuning has proven effective for aligning models with user intent (Ouyang et al., 2022). Reinforcement learning from human feedback remains a key technique for improving model behaviour (Ziegler et al., 2020).</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Brown, T., Mann, B., Ryder, N., Subbiah, M., Kaplan, J., Dhariwal, P., Neelakantan, A., Shyam, P., Sastry, G., Askell, A., et al. (2020). Language models are few-shot learners. Advances in Neural Information Processing Systems, 33, 1877–1901. https://doi.org/10.48550/arXiv.2005.14165</w:t>
      </w:r>
    </w:p>
    <w:p>
      <w:pPr>
        <w:spacing w:before="0" w:after="0"/>
        <w:ind w:left="288"/>
        <w:shd w:val="clear" w:color="auto" w:fill="F3F4F6"/>
      </w:pPr>
      <w:r>
        <w:rPr>
          <w:rFonts w:ascii="Courier New" w:hAnsi="Courier New"/>
          <w:color w:val="374151"/>
          <w:sz w:val="17"/>
        </w:rPr>
        <w:t>Devlin, J., Chang, M.-W., Lee, K., &amp; Toutanova, K. (2019). BERT: Pre-training of deep bidirectional transformers for language understanding. Proceedings of NAACL-HLT, 4171–4186. https://doi.org/10.18653/v1/n19-1423</w:t>
      </w:r>
    </w:p>
    <w:p>
      <w:pPr>
        <w:spacing w:before="0" w:after="0"/>
        <w:ind w:left="288"/>
        <w:shd w:val="clear" w:color="auto" w:fill="F3F4F6"/>
      </w:pPr>
      <w:r>
        <w:rPr>
          <w:rFonts w:ascii="Courier New" w:hAnsi="Courier New"/>
          <w:color w:val="374151"/>
          <w:sz w:val="17"/>
        </w:rPr>
        <w:t>Ouyang, L., Wu, J., Jiang, X., Almeida, D., Wainwright, C., Mishkin, P., Zhang, C., Agarwal, S., Slama, K., Ray, A., et al. (2022). Training language models to follow instructions with human feedback. Advances in Neural Information Processing Systems, 35, 27730–27744. https://doi.org/10.48550/arXiv.2203.02155</w:t>
      </w:r>
    </w:p>
    <w:p>
      <w:pPr>
        <w:spacing w:before="0" w:after="0"/>
        <w:ind w:left="288"/>
        <w:shd w:val="clear" w:color="auto" w:fill="F3F4F6"/>
      </w:pPr>
      <w:r>
        <w:rPr>
          <w:rFonts w:ascii="Courier New" w:hAnsi="Courier New"/>
          <w:color w:val="374151"/>
          <w:sz w:val="17"/>
        </w:rPr>
        <w:t>Ziegler, D. M., Stiennon, N., Wu, J., Brown, T. B., Radford, A., Amodei, D., Christiano, P., &amp; Irving, G. (2020). Fine-tuning language models from human preferences. arXiv preprint. https://doi.org/10.48550/arXiv.1909.08593</w:t>
      </w:r>
    </w:p>
    <w:p>
      <w:pPr>
        <w:spacing w:after="40"/>
      </w:pPr>
    </w:p>
    <w:p>
      <w:pPr>
        <w:spacing w:before="80" w:after="40"/>
        <w:ind w:left="144"/>
      </w:pPr>
      <w:r>
        <w:rPr>
          <w:b/>
          <w:color w:val="166334"/>
          <w:sz w:val="19"/>
        </w:rPr>
        <w:t xml:space="preserve">✅  Issues expected: </w:t>
      </w:r>
      <w:r>
        <w:rPr>
          <w:color w:val="374151"/>
          <w:sz w:val="19"/>
        </w:rPr>
        <w:t>Should score high (Good). Minor issue: arXiv DOIs (10.48550/...) are not indexed in Crossref so they may show 'DOI not found' — this is expected behaviour for preprints, not an actual error in the paper.</w:t>
      </w:r>
    </w:p>
    <w:p>
      <w:pPr>
        <w:spacing w:before="80" w:after="200"/>
        <w:pBdr>
          <w:bottom w:val="single" w:sz="4" w:space="1" w:color="E5E7EB"/>
        </w:pBdr>
      </w:pPr>
    </w:p>
    <w:p>
      <w:pPr>
        <w:pStyle w:val="Heading2"/>
      </w:pPr>
      <w:r>
        <w:rPr>
          <w:color w:val="D97E06"/>
          <w:sz w:val="28"/>
        </w:rPr>
        <w:t>Test 8: APA 7th — Fake vs Real DOIs</w:t>
      </w:r>
    </w:p>
    <w:p>
      <w:pPr>
        <w:spacing w:before="0" w:after="120"/>
      </w:pPr>
      <w:r>
        <w:rPr>
          <w:b/>
          <w:color w:val="6B7280"/>
          <w:sz w:val="19"/>
        </w:rPr>
        <w:t xml:space="preserve">Format: </w:t>
      </w:r>
      <w:r>
        <w:rPr>
          <w:b/>
          <w:color w:val="1A1A2E"/>
          <w:sz w:val="19"/>
        </w:rPr>
        <w:t>APA 7th</w:t>
      </w:r>
      <w:r>
        <w:t xml:space="preserve">     </w:t>
      </w:r>
      <w:r>
        <w:rPr>
          <w:b/>
          <w:color w:val="6B7280"/>
          <w:sz w:val="19"/>
        </w:rPr>
        <w:t xml:space="preserve">Expected Score: </w:t>
      </w:r>
      <w:r>
        <w:rPr>
          <w:b/>
          <w:color w:val="1D4ED8"/>
          <w:sz w:val="19"/>
        </w:rPr>
        <w:t>~52/100  ⚠️ Needs Work</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Quantum computing has shown promise for drug discovery (Cao et al., 2023). Error correction remains a critical challenge for practical quantum computers (Shor, 1996). Recent advances in superconducting qubits have extended coherence times (Kjaergaard et al., 2020).</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Cao, Y., Romero, J., &amp; Aspuru-Guzik, A. (2023). Potential of quantum computing for drug discovery. IBM Journal of Research and Development, 64(1), 1–12. https://doi.org/10.1234/fake.doi.12345</w:t>
      </w:r>
    </w:p>
    <w:p>
      <w:pPr>
        <w:spacing w:before="0" w:after="0"/>
        <w:ind w:left="288"/>
        <w:shd w:val="clear" w:color="auto" w:fill="F3F4F6"/>
      </w:pPr>
      <w:r>
        <w:rPr>
          <w:rFonts w:ascii="Courier New" w:hAnsi="Courier New"/>
          <w:color w:val="374151"/>
          <w:sz w:val="17"/>
        </w:rPr>
        <w:t>Kjaergaard, M., Schwartz, M. E., Braunmüller, J., Krantz, P., Simoen, J. H., Gustavsson, S., &amp; Oliver, W. D. (2020). Superconducting qubits: Current state of play. Annual Review of Condensed Matter Physics, 11, 369–395. https://doi.org/10.1146/annurev-conmatphys-031119-050605</w:t>
      </w:r>
    </w:p>
    <w:p>
      <w:pPr>
        <w:spacing w:before="0" w:after="0"/>
        <w:ind w:left="288"/>
        <w:shd w:val="clear" w:color="auto" w:fill="F3F4F6"/>
      </w:pPr>
      <w:r>
        <w:rPr>
          <w:rFonts w:ascii="Courier New" w:hAnsi="Courier New"/>
          <w:color w:val="374151"/>
          <w:sz w:val="17"/>
        </w:rPr>
        <w:t>Shor, P. W. (1996). Fault-tolerant quantum computation. Proceedings of 37th Annual Symposium on Foundations of Computer Science, 56–65. https://doi.org/10.1234/another.fake.doi</w:t>
      </w:r>
    </w:p>
    <w:p>
      <w:pPr>
        <w:spacing w:after="40"/>
      </w:pPr>
    </w:p>
    <w:p>
      <w:pPr>
        <w:spacing w:before="80" w:after="40"/>
        <w:ind w:left="144"/>
      </w:pPr>
      <w:r>
        <w:rPr>
          <w:b/>
          <w:color w:val="166334"/>
          <w:sz w:val="19"/>
        </w:rPr>
        <w:t xml:space="preserve">✅  Issues expected: </w:t>
      </w:r>
      <w:r>
        <w:rPr>
          <w:color w:val="374151"/>
          <w:sz w:val="19"/>
        </w:rPr>
        <w:t>Cao DOI 10.1234/fake.doi.12345 → ❌ NOT FOUND (fake). Shor DOI 10.1234/another.fake.doi → ❌ NOT FOUND (fake). Kjaergaard DOI 10.1146/annurev-conmatphys-031119-050605 → ✅ VERIFIED (real paper). Tests if Crossref live verification works.</w:t>
      </w:r>
    </w:p>
    <w:p>
      <w:pPr>
        <w:spacing w:before="80" w:after="200"/>
        <w:pBdr>
          <w:bottom w:val="single" w:sz="4" w:space="1" w:color="E5E7EB"/>
        </w:pBdr>
      </w:pPr>
    </w:p>
    <w:p>
      <w:pPr>
        <w:pStyle w:val="Heading2"/>
      </w:pPr>
      <w:r>
        <w:rPr>
          <w:color w:val="D97E06"/>
          <w:sz w:val="28"/>
        </w:rPr>
        <w:t>Test 9: APA 7th — Perfect Score (Real DOIs, No Errors)</w:t>
      </w:r>
    </w:p>
    <w:p>
      <w:pPr>
        <w:spacing w:before="0" w:after="120"/>
      </w:pPr>
      <w:r>
        <w:rPr>
          <w:b/>
          <w:color w:val="6B7280"/>
          <w:sz w:val="19"/>
        </w:rPr>
        <w:t xml:space="preserve">Format: </w:t>
      </w:r>
      <w:r>
        <w:rPr>
          <w:b/>
          <w:color w:val="1A1A2E"/>
          <w:sz w:val="19"/>
        </w:rPr>
        <w:t>APA 7th</w:t>
      </w:r>
      <w:r>
        <w:t xml:space="preserve">     </w:t>
      </w:r>
      <w:r>
        <w:rPr>
          <w:b/>
          <w:color w:val="6B7280"/>
          <w:sz w:val="19"/>
        </w:rPr>
        <w:t xml:space="preserve">Expected Score: </w:t>
      </w:r>
      <w:r>
        <w:rPr>
          <w:b/>
          <w:color w:val="1D4ED8"/>
          <w:sz w:val="19"/>
        </w:rPr>
        <w:t>100/100  ✅ Perfect</w:t>
      </w:r>
    </w:p>
    <w:p>
      <w:pPr>
        <w:spacing w:before="120" w:after="40"/>
      </w:pPr>
      <w:r>
        <w:rPr>
          <w:b/>
          <w:color w:val="6B7280"/>
          <w:sz w:val="19"/>
        </w:rPr>
        <w:t>YOUR TEXT (with in-text citations) — paste into top field:</w:t>
      </w:r>
    </w:p>
    <w:p>
      <w:pPr>
        <w:spacing w:before="0" w:after="0"/>
        <w:ind w:left="288"/>
        <w:shd w:val="clear" w:color="auto" w:fill="F3F4F6"/>
      </w:pPr>
      <w:r>
        <w:rPr>
          <w:rFonts w:ascii="Courier New" w:hAnsi="Courier New"/>
          <w:color w:val="374151"/>
          <w:sz w:val="17"/>
        </w:rPr>
        <w:t>Deep reinforcement learning has achieved superhuman performance in Go (Silver et al., 2017). RNA interference has revolutionised gene regulation research (Fire et al., 1998).</w:t>
      </w:r>
    </w:p>
    <w:p>
      <w:pPr>
        <w:spacing w:after="40"/>
      </w:pPr>
    </w:p>
    <w:p>
      <w:pPr>
        <w:spacing w:before="120" w:after="40"/>
      </w:pPr>
      <w:r>
        <w:rPr>
          <w:b/>
          <w:color w:val="6B7280"/>
          <w:sz w:val="19"/>
        </w:rPr>
        <w:t>BIBLIOGRAPHY / REFERENCES — paste into bottom field:</w:t>
      </w:r>
    </w:p>
    <w:p>
      <w:pPr>
        <w:spacing w:before="0" w:after="0"/>
        <w:ind w:left="288"/>
        <w:shd w:val="clear" w:color="auto" w:fill="F3F4F6"/>
      </w:pPr>
      <w:r>
        <w:rPr>
          <w:rFonts w:ascii="Courier New" w:hAnsi="Courier New"/>
          <w:color w:val="374151"/>
          <w:sz w:val="17"/>
        </w:rPr>
        <w:t>Fire, A., Xu, S., Montgomery, M. K., Kostas, S. A., Driver, S. E., &amp; Mello, C. C. (1998). Potent and specific genetic interference by double-stranded RNA in Caenorhabditis elegans. Nature, 391(6669), 806–811. https://doi.org/10.1038/35888</w:t>
      </w:r>
    </w:p>
    <w:p>
      <w:pPr>
        <w:spacing w:before="0" w:after="0"/>
        <w:ind w:left="288"/>
        <w:shd w:val="clear" w:color="auto" w:fill="F3F4F6"/>
      </w:pPr>
      <w:r>
        <w:rPr>
          <w:rFonts w:ascii="Courier New" w:hAnsi="Courier New"/>
          <w:color w:val="374151"/>
          <w:sz w:val="17"/>
        </w:rPr>
        <w:t>Silver, D., Schrittwieser, J., Simonyan, K., Antonoglou, I., Huang, A., Guez, A., Hubert, T., Baker, L., Lai, M., Bolton, A., Chen, Y., Lillicrap, T., Hui, F., Sifre, L., van den Driessche, G., Graepel, T., &amp; Hassabis, D. (2017). Mastering the game of Go without human knowledge. Nature, 550(7676), 354–359. https://doi.org/10.1038/nature24270</w:t>
      </w:r>
    </w:p>
    <w:p>
      <w:pPr>
        <w:spacing w:after="40"/>
      </w:pPr>
    </w:p>
    <w:p>
      <w:pPr>
        <w:spacing w:before="80" w:after="40"/>
        <w:ind w:left="144"/>
      </w:pPr>
      <w:r>
        <w:rPr>
          <w:b/>
          <w:color w:val="166334"/>
          <w:sz w:val="19"/>
        </w:rPr>
        <w:t xml:space="preserve">✅  Issues expected: </w:t>
      </w:r>
      <w:r>
        <w:rPr>
          <w:color w:val="374151"/>
          <w:sz w:val="19"/>
        </w:rPr>
        <w:t>Should score 100/100 with zero issues. Both DOIs are real (Nobel Prize-winning papers), all in-text citations match bibliography, years match, APA 7th format is correct.</w:t>
      </w:r>
    </w:p>
    <w:p>
      <w:r>
        <w:br w:type="page"/>
      </w:r>
    </w:p>
    <w:p>
      <w:pPr>
        <w:pStyle w:val="Heading1"/>
      </w:pPr>
      <w:r>
        <w:rPr>
          <w:color w:val="1A1A2E"/>
          <w:sz w:val="40"/>
        </w:rPr>
        <w:t>Quick Reference Guide</w:t>
      </w:r>
    </w:p>
    <w:p>
      <w:pPr>
        <w:pStyle w:val="Heading3"/>
      </w:pPr>
      <w:r>
        <w:rPr>
          <w:color w:val="1F2D3D"/>
          <w:sz w:val="24"/>
        </w:rPr>
        <w:t>How to Use the Citation Checker</w:t>
      </w:r>
    </w:p>
    <w:p>
      <w:pPr>
        <w:pStyle w:val="ListNumber"/>
        <w:spacing w:after="60"/>
      </w:pPr>
      <w:r>
        <w:rPr>
          <w:sz w:val="20"/>
        </w:rPr>
        <w:t>Open Citation Checker → Sidebar → Quick Tools → AI &amp; Plagiarism → Citation Checker</w:t>
      </w:r>
    </w:p>
    <w:p>
      <w:pPr>
        <w:pStyle w:val="ListNumber"/>
        <w:spacing w:after="60"/>
      </w:pPr>
      <w:r>
        <w:rPr>
          <w:sz w:val="20"/>
        </w:rPr>
        <w:t>Select the citation format (APA 7th / IEEE / MLA 9th / Harvard / Vancouver / Chicago)</w:t>
      </w:r>
    </w:p>
    <w:p>
      <w:pPr>
        <w:pStyle w:val="ListNumber"/>
        <w:spacing w:after="60"/>
      </w:pPr>
      <w:r>
        <w:rPr>
          <w:sz w:val="20"/>
        </w:rPr>
        <w:t>Paste the 'YOUR TEXT' block above into the 'Your Text (with in-text citations)' field</w:t>
      </w:r>
    </w:p>
    <w:p>
      <w:pPr>
        <w:pStyle w:val="ListNumber"/>
        <w:spacing w:after="60"/>
      </w:pPr>
      <w:r>
        <w:rPr>
          <w:sz w:val="20"/>
        </w:rPr>
        <w:t>Paste the 'BIBLIOGRAPHY / REFERENCES' block into the 'Bibliography / References' field</w:t>
      </w:r>
    </w:p>
    <w:p>
      <w:pPr>
        <w:pStyle w:val="ListNumber"/>
        <w:spacing w:after="60"/>
      </w:pPr>
      <w:r>
        <w:rPr>
          <w:sz w:val="20"/>
        </w:rPr>
        <w:t>Click ✅ Check Citations and wait ~15–20 seconds</w:t>
      </w:r>
    </w:p>
    <w:p>
      <w:pPr>
        <w:pStyle w:val="ListNumber"/>
        <w:spacing w:after="60"/>
      </w:pPr>
      <w:r>
        <w:rPr>
          <w:sz w:val="20"/>
        </w:rPr>
        <w:t>View Issues tab for problems → View Fixed Reference List tab for corrected bibliography</w:t>
      </w:r>
    </w:p>
    <w:p>
      <w:pPr>
        <w:pStyle w:val="Heading3"/>
      </w:pPr>
      <w:r>
        <w:rPr>
          <w:color w:val="1F2D3D"/>
          <w:sz w:val="24"/>
        </w:rPr>
        <w:t>Score Interpretation</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before="60" w:after="60"/>
            </w:pPr>
            <w:r>
              <w:rPr>
                <w:b/>
                <w:sz w:val="19"/>
              </w:rPr>
              <w:t>Score Range</w:t>
            </w:r>
          </w:p>
        </w:tc>
        <w:tc>
          <w:tcPr>
            <w:tcW w:type="dxa" w:w="3135"/>
          </w:tcPr>
          <w:p>
            <w:pPr>
              <w:spacing w:before="60" w:after="60"/>
            </w:pPr>
            <w:r>
              <w:rPr>
                <w:b/>
                <w:sz w:val="19"/>
              </w:rPr>
              <w:t>Label</w:t>
            </w:r>
          </w:p>
        </w:tc>
        <w:tc>
          <w:tcPr>
            <w:tcW w:type="dxa" w:w="3135"/>
          </w:tcPr>
          <w:p>
            <w:pPr>
              <w:spacing w:before="60" w:after="60"/>
            </w:pPr>
            <w:r>
              <w:rPr>
                <w:b/>
                <w:sz w:val="19"/>
              </w:rPr>
              <w:t>What It Means</w:t>
            </w:r>
          </w:p>
        </w:tc>
      </w:tr>
      <w:tr>
        <w:tc>
          <w:tcPr>
            <w:tcW w:type="dxa" w:w="3135"/>
          </w:tcPr>
          <w:p>
            <w:pPr>
              <w:spacing w:before="60" w:after="60"/>
            </w:pPr>
            <w:r>
              <w:rPr>
                <w:sz w:val="19"/>
              </w:rPr>
              <w:t>100</w:t>
            </w:r>
          </w:p>
        </w:tc>
        <w:tc>
          <w:tcPr>
            <w:tcW w:type="dxa" w:w="3135"/>
          </w:tcPr>
          <w:p>
            <w:pPr>
              <w:spacing w:before="60" w:after="60"/>
            </w:pPr>
            <w:r>
              <w:rPr>
                <w:sz w:val="19"/>
              </w:rPr>
              <w:t>✅ Perfect</w:t>
            </w:r>
          </w:p>
        </w:tc>
        <w:tc>
          <w:tcPr>
            <w:tcW w:type="dxa" w:w="3135"/>
          </w:tcPr>
          <w:p>
            <w:pPr>
              <w:spacing w:before="60" w:after="60"/>
            </w:pPr>
            <w:r>
              <w:rPr>
                <w:sz w:val="19"/>
              </w:rPr>
              <w:t>No errors or warnings at all</w:t>
            </w:r>
          </w:p>
        </w:tc>
      </w:tr>
      <w:tr>
        <w:tc>
          <w:tcPr>
            <w:tcW w:type="dxa" w:w="3135"/>
          </w:tcPr>
          <w:p>
            <w:pPr>
              <w:spacing w:before="60" w:after="60"/>
            </w:pPr>
            <w:r>
              <w:rPr>
                <w:sz w:val="19"/>
              </w:rPr>
              <w:t>80–99</w:t>
            </w:r>
          </w:p>
        </w:tc>
        <w:tc>
          <w:tcPr>
            <w:tcW w:type="dxa" w:w="3135"/>
          </w:tcPr>
          <w:p>
            <w:pPr>
              <w:spacing w:before="60" w:after="60"/>
            </w:pPr>
            <w:r>
              <w:rPr>
                <w:sz w:val="19"/>
              </w:rPr>
              <w:t>✅ Good</w:t>
            </w:r>
          </w:p>
        </w:tc>
        <w:tc>
          <w:tcPr>
            <w:tcW w:type="dxa" w:w="3135"/>
          </w:tcPr>
          <w:p>
            <w:pPr>
              <w:spacing w:before="60" w:after="60"/>
            </w:pPr>
            <w:r>
              <w:rPr>
                <w:sz w:val="19"/>
              </w:rPr>
              <w:t>Minor warnings only (e.g. missing DOIs)</w:t>
            </w:r>
          </w:p>
        </w:tc>
      </w:tr>
      <w:tr>
        <w:tc>
          <w:tcPr>
            <w:tcW w:type="dxa" w:w="3135"/>
          </w:tcPr>
          <w:p>
            <w:pPr>
              <w:spacing w:before="60" w:after="60"/>
            </w:pPr>
            <w:r>
              <w:rPr>
                <w:sz w:val="19"/>
              </w:rPr>
              <w:t>50–79</w:t>
            </w:r>
          </w:p>
        </w:tc>
        <w:tc>
          <w:tcPr>
            <w:tcW w:type="dxa" w:w="3135"/>
          </w:tcPr>
          <w:p>
            <w:pPr>
              <w:spacing w:before="60" w:after="60"/>
            </w:pPr>
            <w:r>
              <w:rPr>
                <w:sz w:val="19"/>
              </w:rPr>
              <w:t>⚠️ Needs Work</w:t>
            </w:r>
          </w:p>
        </w:tc>
        <w:tc>
          <w:tcPr>
            <w:tcW w:type="dxa" w:w="3135"/>
          </w:tcPr>
          <w:p>
            <w:pPr>
              <w:spacing w:before="60" w:after="60"/>
            </w:pPr>
            <w:r>
              <w:rPr>
                <w:sz w:val="19"/>
              </w:rPr>
              <w:t>Mix of warnings, 1–2 errors</w:t>
            </w:r>
          </w:p>
        </w:tc>
      </w:tr>
      <w:tr>
        <w:tc>
          <w:tcPr>
            <w:tcW w:type="dxa" w:w="3135"/>
          </w:tcPr>
          <w:p>
            <w:pPr>
              <w:spacing w:before="60" w:after="60"/>
            </w:pPr>
            <w:r>
              <w:rPr>
                <w:sz w:val="19"/>
              </w:rPr>
              <w:t>&lt; 50</w:t>
            </w:r>
          </w:p>
        </w:tc>
        <w:tc>
          <w:tcPr>
            <w:tcW w:type="dxa" w:w="3135"/>
          </w:tcPr>
          <w:p>
            <w:pPr>
              <w:spacing w:before="60" w:after="60"/>
            </w:pPr>
            <w:r>
              <w:rPr>
                <w:sz w:val="19"/>
              </w:rPr>
              <w:t>❌ Poor</w:t>
            </w:r>
          </w:p>
        </w:tc>
        <w:tc>
          <w:tcPr>
            <w:tcW w:type="dxa" w:w="3135"/>
          </w:tcPr>
          <w:p>
            <w:pPr>
              <w:spacing w:before="60" w:after="60"/>
            </w:pPr>
            <w:r>
              <w:rPr>
                <w:sz w:val="19"/>
              </w:rPr>
              <w:t>Multiple errors (missing entries, year mismatches, broken DOIs)</w:t>
            </w:r>
          </w:p>
        </w:tc>
      </w:tr>
    </w:tbl>
    <w:p/>
    <w:p>
      <w:pPr>
        <w:pStyle w:val="Heading3"/>
      </w:pPr>
      <w:r>
        <w:rPr>
          <w:color w:val="1F2D3D"/>
          <w:sz w:val="24"/>
        </w:rPr>
        <w:t>Score Formula</w:t>
      </w:r>
    </w:p>
    <w:p>
      <w:pPr>
        <w:spacing w:before="0" w:after="80"/>
      </w:pPr>
      <w:r>
        <w:rPr>
          <w:b/>
          <w:i w:val="0"/>
          <w:sz w:val="20"/>
        </w:rPr>
        <w:t>Score = 100 − (12 × errors) − (4 × warnings),   minimum 5 if any issue exists</w:t>
      </w:r>
    </w:p>
    <w:p>
      <w:pPr>
        <w:pStyle w:val="Heading3"/>
      </w:pPr>
      <w:r>
        <w:rPr>
          <w:color w:val="1F2D3D"/>
          <w:sz w:val="24"/>
        </w:rPr>
        <w:t>What the Two Result Tabs Show</w:t>
      </w:r>
    </w:p>
    <w:tbl>
      <w:tblPr>
        <w:tblStyle w:val="TableGrid"/>
        <w:tblW w:type="auto" w:w="0"/>
        <w:tblLook w:firstColumn="1" w:firstRow="1" w:lastColumn="0" w:lastRow="0" w:noHBand="0" w:noVBand="1" w:val="04A0"/>
      </w:tblPr>
      <w:tblGrid>
        <w:gridCol w:w="4703"/>
        <w:gridCol w:w="4703"/>
      </w:tblGrid>
      <w:tr>
        <w:tc>
          <w:tcPr>
            <w:tcW w:type="dxa" w:w="4703"/>
          </w:tcPr>
          <w:p>
            <w:pPr>
              <w:spacing w:before="60" w:after="60"/>
            </w:pPr>
            <w:r>
              <w:rPr>
                <w:b/>
                <w:sz w:val="19"/>
              </w:rPr>
              <w:t>Tab</w:t>
            </w:r>
          </w:p>
        </w:tc>
        <w:tc>
          <w:tcPr>
            <w:tcW w:type="dxa" w:w="4703"/>
          </w:tcPr>
          <w:p>
            <w:pPr>
              <w:spacing w:before="60" w:after="60"/>
            </w:pPr>
            <w:r>
              <w:rPr>
                <w:b/>
                <w:sz w:val="19"/>
              </w:rPr>
              <w:t>What's Inside</w:t>
            </w:r>
          </w:p>
        </w:tc>
      </w:tr>
      <w:tr>
        <w:tc>
          <w:tcPr>
            <w:tcW w:type="dxa" w:w="4703"/>
          </w:tcPr>
          <w:p>
            <w:pPr>
              <w:spacing w:before="60" w:after="60"/>
            </w:pPr>
            <w:r>
              <w:rPr>
                <w:sz w:val="19"/>
              </w:rPr>
              <w:t>Issues</w:t>
            </w:r>
          </w:p>
        </w:tc>
        <w:tc>
          <w:tcPr>
            <w:tcW w:type="dxa" w:w="4703"/>
          </w:tcPr>
          <w:p>
            <w:pPr>
              <w:spacing w:before="60" w:after="60"/>
            </w:pPr>
            <w:r>
              <w:rPr>
                <w:sz w:val="19"/>
              </w:rPr>
              <w:t>Every problem found, split into two groups: In-Text Citations and Reference List / Bibliography. Each issue shows type (error/warning), location, full explanation, and an exact suggested fix.</w:t>
            </w:r>
          </w:p>
        </w:tc>
      </w:tr>
      <w:tr>
        <w:tc>
          <w:tcPr>
            <w:tcW w:type="dxa" w:w="4703"/>
          </w:tcPr>
          <w:p>
            <w:pPr>
              <w:spacing w:before="60" w:after="60"/>
            </w:pPr>
            <w:r>
              <w:rPr>
                <w:sz w:val="19"/>
              </w:rPr>
              <w:t>Fixed Reference List</w:t>
            </w:r>
          </w:p>
        </w:tc>
        <w:tc>
          <w:tcPr>
            <w:tcW w:type="dxa" w:w="4703"/>
          </w:tcPr>
          <w:p>
            <w:pPr>
              <w:spacing w:before="60" w:after="60"/>
            </w:pPr>
            <w:r>
              <w:rPr>
                <w:sz w:val="19"/>
              </w:rPr>
              <w:t>Your entire bibliography rewritten with all errors corrected — just click Copy All and replace your references section in your document.</w:t>
            </w:r>
          </w:p>
        </w:tc>
      </w:tr>
    </w:tbl>
    <w:p/>
    <w:p>
      <w:pPr>
        <w:pStyle w:val="Heading3"/>
      </w:pPr>
      <w:r>
        <w:rPr>
          <w:color w:val="1F2D3D"/>
          <w:sz w:val="24"/>
        </w:rPr>
        <w:t>Issue Types</w:t>
      </w:r>
    </w:p>
    <w:p>
      <w:pPr>
        <w:spacing w:after="60"/>
      </w:pPr>
      <w:r>
        <w:rPr>
          <w:b/>
          <w:sz w:val="20"/>
        </w:rPr>
        <w:t xml:space="preserve">🔴 Error  </w:t>
      </w:r>
      <w:r>
        <w:rPr>
          <w:sz w:val="19"/>
        </w:rPr>
        <w:t>Critical problem — missing bibliography entry, year mismatch, broken DOI. Deducts 12 points each.</w:t>
      </w:r>
    </w:p>
    <w:p>
      <w:pPr>
        <w:spacing w:after="60"/>
      </w:pPr>
      <w:r>
        <w:rPr>
          <w:b/>
          <w:sz w:val="20"/>
        </w:rPr>
        <w:t xml:space="preserve">🟡 Warning  </w:t>
      </w:r>
      <w:r>
        <w:rPr>
          <w:sz w:val="19"/>
        </w:rPr>
        <w:t>Format issue — missing DOI, style violation, unused entry. Deducts 4 points each.</w:t>
      </w:r>
    </w:p>
    <w:p>
      <w:pPr>
        <w:spacing w:after="60"/>
      </w:pPr>
      <w:r>
        <w:rPr>
          <w:b/>
          <w:sz w:val="20"/>
        </w:rPr>
        <w:t xml:space="preserve">🔵 Info  </w:t>
      </w:r>
      <w:r>
        <w:rPr>
          <w:sz w:val="19"/>
        </w:rPr>
        <w:t>Suggestion — optional improvement. Does not affect score.</w:t>
      </w:r>
    </w:p>
    <w:p/>
    <w:p>
      <w:pPr>
        <w:pStyle w:val="Heading3"/>
      </w:pPr>
      <w:r>
        <w:rPr>
          <w:color w:val="1F2D3D"/>
          <w:sz w:val="24"/>
        </w:rPr>
        <w:t>Notes on DOI Verification</w:t>
      </w:r>
    </w:p>
    <w:p>
      <w:pPr>
        <w:pStyle w:val="ListBullet"/>
        <w:spacing w:after="60"/>
      </w:pPr>
      <w:r>
        <w:rPr>
          <w:sz w:val="19"/>
        </w:rPr>
        <w:t>DOI verification pings api.crossref.org in real time. An internet connection is required.</w:t>
      </w:r>
    </w:p>
    <w:p>
      <w:pPr>
        <w:pStyle w:val="ListBullet"/>
        <w:spacing w:after="60"/>
      </w:pPr>
      <w:r>
        <w:rPr>
          <w:sz w:val="19"/>
        </w:rPr>
        <w:t>arXiv DOIs (10.48550/arXiv.XXXX) are NOT indexed in Crossref — they will show 'DOI not found' but this is normal for preprints.</w:t>
      </w:r>
    </w:p>
    <w:p>
      <w:pPr>
        <w:pStyle w:val="ListBullet"/>
        <w:spacing w:after="60"/>
      </w:pPr>
      <w:r>
        <w:rPr>
          <w:sz w:val="19"/>
        </w:rPr>
        <w:t>A 404 from Crossref almost always means the DOI was typed/copied incorrectly.</w:t>
      </w:r>
    </w:p>
    <w:p>
      <w:pPr>
        <w:pStyle w:val="ListBullet"/>
        <w:spacing w:after="60"/>
      </w:pPr>
      <w:r>
        <w:rPr>
          <w:sz w:val="19"/>
        </w:rPr>
        <w:t>Test 8 above intentionally uses two fake DOIs and one real one to verify the live check works.</w:t>
      </w:r>
    </w:p>
    <w:p/>
    <w:p>
      <w:pPr>
        <w:jc w:val="center"/>
      </w:pPr>
      <w:r>
        <w:rPr>
          <w:color w:val="9CA3AF"/>
          <w:sz w:val="17"/>
        </w:rPr>
        <w:t>Dynamo AI — Citation Checker Test Suite  ·  Generated June 2026  ·  For Plus &amp; Pro users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