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Pr>
        <w:jc w:val="center"/>
      </w:pPr>
      <w:r>
        <w:rPr>
          <w:rFonts w:ascii="Segoe UI" w:hAnsi="Segoe UI"/>
          <w:b/>
          <w:color w:val="0B132B"/>
          <w:sz w:val="80"/>
        </w:rPr>
        <w:t>KESSLER X</w:t>
      </w:r>
    </w:p>
    <w:p>
      <w:pPr>
        <w:spacing w:after="480"/>
        <w:jc w:val="center"/>
      </w:pPr>
      <w:r>
        <w:rPr>
          <w:rFonts w:ascii="Segoe UI" w:hAnsi="Segoe UI"/>
          <w:i/>
          <w:color w:val="1C2541"/>
          <w:sz w:val="28"/>
        </w:rPr>
        <w:t>AI-Powered Space Situational Awareness &amp; Orbital Traffic Management</w:t>
      </w:r>
    </w:p>
    <w:tbl>
      <w:tblPr>
        <w:tblW w:type="auto" w:w="0"/>
        <w:jc w:val="center"/>
        <w:tblLook w:firstColumn="1" w:firstRow="1" w:lastColumn="0" w:lastRow="0" w:noHBand="0" w:noVBand="1" w:val="04A0"/>
      </w:tblPr>
      <w:tblGrid>
        <w:gridCol w:w="6480"/>
      </w:tblGrid>
      <w:tr>
        <w:tc>
          <w:tcPr>
            <w:tcW w:type="dxa" w:w="9360"/>
            <w:shd w:fill="00AEEF"/>
            <w:tcMar>
              <w:top w:w="20" w:type="dxa"/>
              <w:bottom w:w="20" w:type="dxa"/>
              <w:left w:w="0" w:type="dxa"/>
              <w:right w:w="0" w:type="dxa"/>
            </w:tcMar>
          </w:tcPr>
          <w:p>
            <w:pPr>
              <w:spacing w:after="0"/>
            </w:pPr>
          </w:p>
        </w:tc>
      </w:tr>
    </w:tbl>
    <w:p/>
    <w:p/>
    <w:p/>
    <w:p/>
    <w:p/>
    <w:p/>
    <w:p/>
    <w:p/>
    <w:p>
      <w:pPr>
        <w:spacing w:line="312" w:lineRule="auto"/>
        <w:jc w:val="center"/>
      </w:pPr>
      <w:r>
        <w:rPr>
          <w:rFonts w:ascii="Segoe UI" w:hAnsi="Segoe UI"/>
          <w:b/>
          <w:color w:val="0B132B"/>
          <w:sz w:val="22"/>
        </w:rPr>
        <w:t>PROJECT SYSTEM DOCUMENTATION</w:t>
        <w:br/>
      </w:r>
      <w:r>
        <w:rPr>
          <w:rFonts w:ascii="Segoe UI" w:hAnsi="Segoe UI"/>
          <w:color w:val="334155"/>
          <w:sz w:val="20"/>
        </w:rPr>
        <w:t>Version: 2.1.0</w:t>
        <w:br/>
        <w:t>Date: June 2026</w:t>
        <w:br/>
        <w:t>Author: KesslerX Project Development Team</w:t>
        <w:br/>
        <w:t>Classification: General Technical Documentation</w:t>
        <w:br/>
        <w:t>Technologies: React 19, TypeScript, Vite, Tailwind CSS v4, CesiumJS, FastAPI, Google Gemini</w:t>
      </w:r>
    </w:p>
    <w:p>
      <w:r>
        <w:br w:type="page"/>
      </w:r>
    </w:p>
    <w:p>
      <w:pPr>
        <w:keepNext/>
        <w:spacing w:before="400" w:after="120"/>
      </w:pPr>
      <w:r>
        <w:rPr>
          <w:rFonts w:ascii="Segoe UI" w:hAnsi="Segoe UI"/>
          <w:b/>
          <w:color w:val="0B132B"/>
          <w:sz w:val="36"/>
        </w:rPr>
        <w:t>1. Executive Summary &amp; Overview</w:t>
      </w:r>
    </w:p>
    <w:p>
      <w:pPr>
        <w:spacing w:after="120" w:line="276" w:lineRule="auto"/>
      </w:pPr>
      <w:r>
        <w:rPr>
          <w:rFonts w:ascii="Segoe UI" w:hAnsi="Segoe UI"/>
          <w:color w:val="334155"/>
          <w:sz w:val="22"/>
        </w:rPr>
        <w:t>KesslerX is a next-generation, production-grade aerospace dashboard designed to deliver comprehensive Space Situational Awareness (SSA) and orbital traffic management intelligence. Inspired by NASA, SpaceX, and modern mission-control operations centers, KesslerX provides an immersive visual and analytical gateway to monitor satellites, track space debris, predict collision risks, evaluate space weather, and model cascading debris disasters.</w:t>
      </w:r>
    </w:p>
    <w:p>
      <w:pPr>
        <w:spacing w:after="120" w:line="276" w:lineRule="auto"/>
      </w:pPr>
      <w:r>
        <w:rPr>
          <w:rFonts w:ascii="Segoe UI" w:hAnsi="Segoe UI"/>
          <w:color w:val="334155"/>
          <w:sz w:val="22"/>
        </w:rPr>
        <w:t>As the density of Low Earth Orbit (LEO) continues to expand exponentially with mega-constellations, the threat of the Kessler Syndrome—a catastrophic chain reaction of orbital collisions rendering space orbits permanently unusable—has escalated. KesslerX mitigates this risk by providing mission controllers with real-time conjunction assessments, predictive AI analytics, and instant collision avoidance recommendations, wrapped in an ultra-modern, glassmorphic design system.</w:t>
      </w:r>
    </w:p>
    <w:p>
      <w:pPr>
        <w:keepNext/>
        <w:spacing w:before="280" w:after="80"/>
      </w:pPr>
      <w:r>
        <w:rPr>
          <w:rFonts w:ascii="Segoe UI" w:hAnsi="Segoe UI"/>
          <w:b/>
          <w:color w:val="1C2541"/>
          <w:sz w:val="28"/>
        </w:rPr>
        <w:t>Key Strategic Features</w:t>
      </w:r>
    </w:p>
    <w:p>
      <w:pPr>
        <w:pStyle w:val="ListBullet"/>
        <w:spacing w:after="60" w:line="276" w:lineRule="auto"/>
      </w:pPr>
      <w:r>
        <w:rPr>
          <w:rFonts w:ascii="Segoe UI" w:hAnsi="Segoe UI"/>
          <w:b/>
          <w:color w:val="334155"/>
          <w:sz w:val="22"/>
        </w:rPr>
        <w:t xml:space="preserve">3D Orbital Map: </w:t>
      </w:r>
      <w:r>
        <w:rPr>
          <w:rFonts w:ascii="Segoe UI" w:hAnsi="Segoe UI"/>
          <w:color w:val="334155"/>
          <w:sz w:val="22"/>
        </w:rPr>
        <w:t>Live 3D orbital propagation on an interactive CesiumJS globe, drawing directly from the official Space-Track database.</w:t>
      </w:r>
    </w:p>
    <w:p>
      <w:pPr>
        <w:pStyle w:val="ListBullet"/>
        <w:spacing w:after="60" w:line="276" w:lineRule="auto"/>
      </w:pPr>
      <w:r>
        <w:rPr>
          <w:rFonts w:ascii="Segoe UI" w:hAnsi="Segoe UI"/>
          <w:b/>
          <w:color w:val="334155"/>
          <w:sz w:val="22"/>
        </w:rPr>
        <w:t xml:space="preserve">Collision Monitor: </w:t>
      </w:r>
      <w:r>
        <w:rPr>
          <w:rFonts w:ascii="Segoe UI" w:hAnsi="Segoe UI"/>
          <w:color w:val="334155"/>
          <w:sz w:val="22"/>
        </w:rPr>
        <w:t>Close-approach threat analysis detailing incoming conjunctions, probability metrics, and automated delta-v avoidance recommendations.</w:t>
      </w:r>
    </w:p>
    <w:p>
      <w:pPr>
        <w:pStyle w:val="ListBullet"/>
        <w:spacing w:after="60" w:line="276" w:lineRule="auto"/>
      </w:pPr>
      <w:r>
        <w:rPr>
          <w:rFonts w:ascii="Segoe UI" w:hAnsi="Segoe UI"/>
          <w:b/>
          <w:color w:val="334155"/>
          <w:sz w:val="22"/>
        </w:rPr>
        <w:t xml:space="preserve">Kessler Simulator: </w:t>
      </w:r>
      <w:r>
        <w:rPr>
          <w:rFonts w:ascii="Segoe UI" w:hAnsi="Segoe UI"/>
          <w:color w:val="334155"/>
          <w:sz w:val="22"/>
        </w:rPr>
        <w:t>Interactive 2D physics-based simulation of cascading debris collisions inside orbital shells.</w:t>
      </w:r>
    </w:p>
    <w:p>
      <w:pPr>
        <w:pStyle w:val="ListBullet"/>
        <w:spacing w:after="60" w:line="276" w:lineRule="auto"/>
      </w:pPr>
      <w:r>
        <w:rPr>
          <w:rFonts w:ascii="Segoe UI" w:hAnsi="Segoe UI"/>
          <w:b/>
          <w:color w:val="334155"/>
          <w:sz w:val="22"/>
        </w:rPr>
        <w:t xml:space="preserve">Space Weather Watch: </w:t>
      </w:r>
      <w:r>
        <w:rPr>
          <w:rFonts w:ascii="Segoe UI" w:hAnsi="Segoe UI"/>
          <w:color w:val="334155"/>
          <w:sz w:val="22"/>
        </w:rPr>
        <w:t>Real-time telemetry and weather analytics including Kp index, solar wind speed, and Bz magnetic field readings coupled with an animated solar flare monitor.</w:t>
      </w:r>
    </w:p>
    <w:p>
      <w:pPr>
        <w:pStyle w:val="ListBullet"/>
        <w:spacing w:after="60" w:line="276" w:lineRule="auto"/>
      </w:pPr>
      <w:r>
        <w:rPr>
          <w:rFonts w:ascii="Segoe UI" w:hAnsi="Segoe UI"/>
          <w:b/>
          <w:color w:val="334155"/>
          <w:sz w:val="22"/>
        </w:rPr>
        <w:t xml:space="preserve">AI Copilot: </w:t>
      </w:r>
      <w:r>
        <w:rPr>
          <w:rFonts w:ascii="Segoe UI" w:hAnsi="Segoe UI"/>
          <w:color w:val="334155"/>
          <w:sz w:val="22"/>
        </w:rPr>
        <w:t>Natural language AI chat integration powered by Google Gemini, serving as a dedicated mission specialist assistant.</w:t>
      </w:r>
    </w:p>
    <w:p>
      <w:pPr>
        <w:pStyle w:val="ListBullet"/>
        <w:spacing w:after="60" w:line="276" w:lineRule="auto"/>
      </w:pPr>
      <w:r>
        <w:rPr>
          <w:rFonts w:ascii="Segoe UI" w:hAnsi="Segoe UI"/>
          <w:b/>
          <w:color w:val="334155"/>
          <w:sz w:val="22"/>
        </w:rPr>
        <w:t xml:space="preserve">Alert Center &amp; WebSockets: </w:t>
      </w:r>
      <w:r>
        <w:rPr>
          <w:rFonts w:ascii="Segoe UI" w:hAnsi="Segoe UI"/>
          <w:color w:val="334155"/>
          <w:sz w:val="22"/>
        </w:rPr>
        <w:t>Real-time alert distribution system powered by backend WebSockets, complete with customizable system thresholds.</w:t>
      </w:r>
    </w:p>
    <w:p>
      <w:pPr>
        <w:keepNext/>
        <w:spacing w:before="400" w:after="120"/>
      </w:pPr>
      <w:r>
        <w:rPr>
          <w:rFonts w:ascii="Segoe UI" w:hAnsi="Segoe UI"/>
          <w:b/>
          <w:color w:val="0B132B"/>
          <w:sz w:val="36"/>
        </w:rPr>
        <w:t>2. System Architecture &amp; Data Flow</w:t>
      </w:r>
    </w:p>
    <w:p>
      <w:pPr>
        <w:spacing w:after="120" w:line="276" w:lineRule="auto"/>
      </w:pPr>
      <w:r>
        <w:rPr>
          <w:rFonts w:ascii="Segoe UI" w:hAnsi="Segoe UI"/>
          <w:color w:val="334155"/>
          <w:sz w:val="22"/>
        </w:rPr>
        <w:t>KesslerX operates on a highly decoupled Client-Server architecture designed to support intensive computations (such as orbital mechanics calculations and 3D globe rendering) while preserving responsive, low-latency UI performance.</w:t>
      </w:r>
    </w:p>
    <w:p>
      <w:pPr>
        <w:keepNext/>
        <w:spacing w:before="280" w:after="80"/>
      </w:pPr>
      <w:r>
        <w:rPr>
          <w:rFonts w:ascii="Segoe UI" w:hAnsi="Segoe UI"/>
          <w:b/>
          <w:color w:val="1C2541"/>
          <w:sz w:val="28"/>
        </w:rPr>
        <w:t>Architecture Diagram &amp; Components</w:t>
      </w:r>
    </w:p>
    <w:p>
      <w:pPr>
        <w:spacing w:after="120" w:line="276" w:lineRule="auto"/>
      </w:pPr>
      <w:r>
        <w:rPr>
          <w:rFonts w:ascii="Segoe UI" w:hAnsi="Segoe UI"/>
          <w:color w:val="334155"/>
          <w:sz w:val="22"/>
        </w:rPr>
        <w:t>The following diagram outlines the key nodes and information flows in the KesslerX ecosystem:</w:t>
      </w:r>
    </w:p>
    <w:tbl>
      <w:tblPr>
        <w:tblW w:type="auto" w:w="0"/>
        <w:jc w:val="center"/>
        <w:tblLook w:firstColumn="1" w:firstRow="1" w:lastColumn="0" w:lastRow="0" w:noHBand="0" w:noVBand="1" w:val="04A0"/>
        <w:tblBorders>
          <w:top w:val="single" w:sz="4" w:space="0" w:color="E2E8F0"/>
          <w:left w:val="none"/>
          <w:bottom w:val="single" w:sz="6" w:space="0" w:color="E2E8F0"/>
          <w:right w:val="none"/>
          <w:insideH w:val="single" w:sz="4" w:space="0" w:color="E2E8F0"/>
          <w:insideV w:val="none"/>
        </w:tblBorders>
      </w:tblPr>
      <w:tblGrid>
        <w:gridCol w:w="8640"/>
      </w:tblGrid>
      <w:tr>
        <w:tc>
          <w:tcPr>
            <w:tcW w:type="dxa" w:w="9360"/>
            <w:shd w:fill="F8FAFC"/>
            <w:tcMar>
              <w:top w:w="120" w:type="dxa"/>
              <w:bottom w:w="120" w:type="dxa"/>
              <w:left w:w="120" w:type="dxa"/>
              <w:right w:w="120" w:type="dxa"/>
            </w:tcMar>
          </w:tcPr>
          <w:p>
            <w:pPr>
              <w:spacing w:after="0" w:line="276" w:lineRule="auto"/>
            </w:pPr>
            <w:r>
              <w:rPr>
                <w:rFonts w:ascii="Consolas" w:hAnsi="Consolas"/>
                <w:color w:val="1C2541"/>
                <w:sz w:val="19"/>
              </w:rPr>
              <w:t xml:space="preserve">  [Space-Track.org API]  &lt;--HTTPS (TLE)--&gt;  [SpaceTrackClient]  </w:t>
              <w:br/>
              <w:t xml:space="preserve">                                                 |            </w:t>
              <w:br/>
              <w:t xml:space="preserve">  [Google Gemini API]    &lt;--HTTPS (Chat)--&gt;  [MockAIService]   (FastAPI Backend)</w:t>
              <w:br/>
              <w:t xml:space="preserve">                                                 |            </w:t>
              <w:br/>
              <w:t xml:space="preserve">                                            [FastAPI Main]    </w:t>
              <w:br/>
              <w:t xml:space="preserve">                                              /        \      </w:t>
              <w:br/>
              <w:t xml:space="preserve">                                     WebSocket          HTTP  </w:t>
              <w:br/>
              <w:t xml:space="preserve">                                    (Live Alerts)     (REST API)</w:t>
              <w:br/>
              <w:t xml:space="preserve">                                           /              \   </w:t>
              <w:br/>
              <w:t xml:space="preserve">                             [useWebsocket Hook]      [useSatellites Hook]</w:t>
              <w:br/>
              <w:t xml:space="preserve">                                     |                       |  </w:t>
              <w:br/>
              <w:t xml:space="preserve">                               [Alert Center]          [Cesium Globe]</w:t>
              <w:br/>
              <w:t xml:space="preserve">                                     |                       |  </w:t>
              <w:br/>
              <w:t xml:space="preserve">                                     +------- [React SPA] ---+  (Vite Frontend)</w:t>
            </w:r>
          </w:p>
        </w:tc>
      </w:tr>
    </w:tbl>
    <w:p>
      <w:pPr>
        <w:spacing w:after="120" w:line="276" w:lineRule="auto"/>
      </w:pPr>
    </w:p>
    <w:p>
      <w:pPr>
        <w:keepNext/>
        <w:spacing w:before="200" w:after="40"/>
      </w:pPr>
      <w:r>
        <w:rPr>
          <w:rFonts w:ascii="Segoe UI" w:hAnsi="Segoe UI"/>
          <w:b/>
          <w:color w:val="00AEEF"/>
          <w:sz w:val="24"/>
        </w:rPr>
        <w:t>Frontend Layer (React Single Page Application)</w:t>
      </w:r>
    </w:p>
    <w:p>
      <w:pPr>
        <w:spacing w:after="120" w:line="276" w:lineRule="auto"/>
      </w:pPr>
      <w:r>
        <w:rPr>
          <w:rFonts w:ascii="Segoe UI" w:hAnsi="Segoe UI"/>
          <w:color w:val="334155"/>
          <w:sz w:val="22"/>
        </w:rPr>
        <w:t>The client application is built on React 19, TypeScript, and Vite. The layout employs a sidebar-header structure displaying 10 dedicated routes. The CesiumJS 3D Earth globe uses the Resium wrapper, binding to live Two-Line Element (TLE) satellite data. Orbit positions are propagated locally in the browser using the SGP4 algorithm in satellite.js, ensuring smooth, hardware-accelerated animations of hundreds of satellites. Global state hooks process real-time WebSocket alerts and API data feeds, driving components like Recharts analytics, SVG meters, and glassmorphic panels.</w:t>
      </w:r>
    </w:p>
    <w:p>
      <w:pPr>
        <w:keepNext/>
        <w:spacing w:before="200" w:after="40"/>
      </w:pPr>
      <w:r>
        <w:rPr>
          <w:rFonts w:ascii="Segoe UI" w:hAnsi="Segoe UI"/>
          <w:b/>
          <w:color w:val="00AEEF"/>
          <w:sz w:val="24"/>
        </w:rPr>
        <w:t>Backend Layer (FastAPI Service Gateway)</w:t>
      </w:r>
    </w:p>
    <w:p>
      <w:pPr>
        <w:spacing w:after="120" w:line="276" w:lineRule="auto"/>
      </w:pPr>
      <w:r>
        <w:rPr>
          <w:rFonts w:ascii="Segoe UI" w:hAnsi="Segoe UI"/>
          <w:color w:val="334155"/>
          <w:sz w:val="22"/>
        </w:rPr>
        <w:t>The backend is a python-based ASGI application powered by FastAPI and Uvicorn. Its core duties are: fetching and caching orbital datasets, managing active WebSocket connections, and acting as an API proxy to Google's Gemini models. It consists of three primary modules:</w:t>
      </w:r>
    </w:p>
    <w:p>
      <w:pPr>
        <w:pStyle w:val="ListBullet"/>
        <w:spacing w:after="60" w:line="276" w:lineRule="auto"/>
      </w:pPr>
      <w:r>
        <w:rPr>
          <w:rFonts w:ascii="Segoe UI" w:hAnsi="Segoe UI"/>
          <w:b/>
          <w:color w:val="334155"/>
          <w:sz w:val="22"/>
        </w:rPr>
        <w:t>API Gateway &amp; WebSocket Manager (</w:t>
      </w:r>
      <w:r>
        <w:rPr>
          <w:rFonts w:ascii="Segoe UI" w:hAnsi="Segoe UI"/>
          <w:color w:val="334155"/>
          <w:sz w:val="22"/>
        </w:rPr>
        <w:t>main.py: Handles CORS middlewares, routing, WebSocket connection registries, and starts a background thread simulating real-time orbital alerts.</w:t>
      </w:r>
    </w:p>
    <w:p>
      <w:pPr>
        <w:pStyle w:val="ListBullet"/>
        <w:spacing w:after="60" w:line="276" w:lineRule="auto"/>
      </w:pPr>
      <w:r>
        <w:rPr>
          <w:rFonts w:ascii="Segoe UI" w:hAnsi="Segoe UI"/>
          <w:b/>
          <w:color w:val="334155"/>
          <w:sz w:val="22"/>
        </w:rPr>
        <w:t>Space-Track Client (</w:t>
      </w:r>
      <w:r>
        <w:rPr>
          <w:rFonts w:ascii="Segoe UI" w:hAnsi="Segoe UI"/>
          <w:color w:val="334155"/>
          <w:sz w:val="22"/>
        </w:rPr>
        <w:t>space_track.py: Communicates with space-track.org, enforces request rate limits, implements a 10-minute local memory cache, parses orbital profiles, and generates synthetic fail-safes if the remote servers are offline.</w:t>
      </w:r>
    </w:p>
    <w:p>
      <w:pPr>
        <w:pStyle w:val="ListBullet"/>
        <w:spacing w:after="60" w:line="276" w:lineRule="auto"/>
      </w:pPr>
      <w:r>
        <w:rPr>
          <w:rFonts w:ascii="Segoe UI" w:hAnsi="Segoe UI"/>
          <w:b/>
          <w:color w:val="334155"/>
          <w:sz w:val="22"/>
        </w:rPr>
        <w:t>Gemini AI Wrapper (</w:t>
      </w:r>
      <w:r>
        <w:rPr>
          <w:rFonts w:ascii="Segoe UI" w:hAnsi="Segoe UI"/>
          <w:color w:val="334155"/>
          <w:sz w:val="22"/>
        </w:rPr>
        <w:t>ai_service.py: Connects to google-generativeai client using gemini-2.0-flash to prompt-engineer responses as the Kessler AI Copilot.</w:t>
      </w:r>
    </w:p>
    <w:p>
      <w:r>
        <w:br w:type="page"/>
      </w:r>
    </w:p>
    <w:p>
      <w:pPr>
        <w:keepNext/>
        <w:spacing w:before="400" w:after="120"/>
      </w:pPr>
      <w:r>
        <w:rPr>
          <w:rFonts w:ascii="Segoe UI" w:hAnsi="Segoe UI"/>
          <w:b/>
          <w:color w:val="0B132B"/>
          <w:sz w:val="36"/>
        </w:rPr>
        <w:t>3. Detailed Technology Stack</w:t>
      </w:r>
    </w:p>
    <w:p>
      <w:pPr>
        <w:spacing w:after="120" w:line="276" w:lineRule="auto"/>
      </w:pPr>
      <w:r>
        <w:rPr>
          <w:rFonts w:ascii="Segoe UI" w:hAnsi="Segoe UI"/>
          <w:color w:val="334155"/>
          <w:sz w:val="22"/>
        </w:rPr>
        <w:t>The KesslerX technical framework incorporates premium, modern software libraries to maximize responsiveness, statistical precision, and visual fidelity:</w:t>
      </w:r>
    </w:p>
    <w:tbl>
      <w:tblPr>
        <w:tblW w:type="auto" w:w="0"/>
        <w:jc w:val="center"/>
        <w:tblLayout w:type="fixed"/>
        <w:tblLook w:firstColumn="1" w:firstRow="1" w:lastColumn="0" w:lastRow="0" w:noHBand="0" w:noVBand="1" w:val="04A0"/>
        <w:tblBorders>
          <w:top w:val="single" w:sz="4" w:space="0" w:color="CCCCCC"/>
          <w:left w:val="none"/>
          <w:bottom w:val="single" w:sz="6" w:space="0" w:color="CCCCCC"/>
          <w:right w:val="none"/>
          <w:insideH w:val="single" w:sz="4" w:space="0" w:color="CCCCCC"/>
          <w:insideV w:val="none"/>
        </w:tblBorders>
      </w:tblPr>
      <w:tblGrid>
        <w:gridCol w:w="2340"/>
        <w:gridCol w:w="2340"/>
        <w:gridCol w:w="2340"/>
        <w:gridCol w:w="2340"/>
      </w:tblGrid>
      <w:tr>
        <w:tc>
          <w:tcPr>
            <w:tcW w:type="dxa" w:w="1728"/>
            <w:shd w:fill="0B132B"/>
            <w:tcMar>
              <w:top w:w="120" w:type="dxa"/>
              <w:bottom w:w="120" w:type="dxa"/>
              <w:left w:w="100" w:type="dxa"/>
              <w:right w:w="100" w:type="dxa"/>
            </w:tcMar>
          </w:tcPr>
          <w:p>
            <w:pPr>
              <w:jc w:val="left"/>
            </w:pPr>
            <w:r>
              <w:rPr>
                <w:rFonts w:ascii="Segoe UI" w:hAnsi="Segoe UI"/>
                <w:b/>
                <w:color w:val="FFFFFF"/>
                <w:sz w:val="21"/>
              </w:rPr>
              <w:t>Layer</w:t>
            </w:r>
          </w:p>
        </w:tc>
        <w:tc>
          <w:tcPr>
            <w:tcW w:type="dxa" w:w="2160"/>
            <w:shd w:fill="0B132B"/>
            <w:tcMar>
              <w:top w:w="120" w:type="dxa"/>
              <w:bottom w:w="120" w:type="dxa"/>
              <w:left w:w="100" w:type="dxa"/>
              <w:right w:w="100" w:type="dxa"/>
            </w:tcMar>
          </w:tcPr>
          <w:p>
            <w:pPr>
              <w:jc w:val="left"/>
            </w:pPr>
            <w:r>
              <w:rPr>
                <w:rFonts w:ascii="Segoe UI" w:hAnsi="Segoe UI"/>
                <w:b/>
                <w:color w:val="FFFFFF"/>
                <w:sz w:val="21"/>
              </w:rPr>
              <w:t>Component / Library</w:t>
            </w:r>
          </w:p>
        </w:tc>
        <w:tc>
          <w:tcPr>
            <w:tcW w:type="dxa" w:w="2592"/>
            <w:shd w:fill="0B132B"/>
            <w:tcMar>
              <w:top w:w="120" w:type="dxa"/>
              <w:bottom w:w="120" w:type="dxa"/>
              <w:left w:w="100" w:type="dxa"/>
              <w:right w:w="100" w:type="dxa"/>
            </w:tcMar>
          </w:tcPr>
          <w:p>
            <w:pPr>
              <w:jc w:val="left"/>
            </w:pPr>
            <w:r>
              <w:rPr>
                <w:rFonts w:ascii="Segoe UI" w:hAnsi="Segoe UI"/>
                <w:b/>
                <w:color w:val="FFFFFF"/>
                <w:sz w:val="21"/>
              </w:rPr>
              <w:t>Version / Spec</w:t>
            </w:r>
          </w:p>
        </w:tc>
        <w:tc>
          <w:tcPr>
            <w:tcW w:type="dxa" w:w="2880"/>
            <w:shd w:fill="0B132B"/>
            <w:tcMar>
              <w:top w:w="120" w:type="dxa"/>
              <w:bottom w:w="120" w:type="dxa"/>
              <w:left w:w="100" w:type="dxa"/>
              <w:right w:w="100" w:type="dxa"/>
            </w:tcMar>
          </w:tcPr>
          <w:p>
            <w:pPr>
              <w:jc w:val="left"/>
            </w:pPr>
            <w:r>
              <w:rPr>
                <w:rFonts w:ascii="Segoe UI" w:hAnsi="Segoe UI"/>
                <w:b/>
                <w:color w:val="FFFFFF"/>
                <w:sz w:val="21"/>
              </w:rPr>
              <w:t>Operational Purpose</w:t>
            </w:r>
          </w:p>
        </w:tc>
      </w:tr>
      <w:tr>
        <w:tc>
          <w:tcPr>
            <w:tcW w:type="dxa" w:w="1728"/>
            <w:shd w:fill="F8FAFC"/>
            <w:tcMar>
              <w:top w:w="100" w:type="dxa"/>
              <w:bottom w:w="100" w:type="dxa"/>
              <w:left w:w="100" w:type="dxa"/>
              <w:right w:w="100" w:type="dxa"/>
            </w:tcMar>
          </w:tcPr>
          <w:p>
            <w:r>
              <w:rPr>
                <w:rFonts w:ascii="Segoe UI" w:hAnsi="Segoe UI"/>
                <w:color w:val="334155"/>
                <w:sz w:val="19"/>
              </w:rPr>
              <w:t>Frontend</w:t>
            </w:r>
          </w:p>
        </w:tc>
        <w:tc>
          <w:tcPr>
            <w:tcW w:type="dxa" w:w="2160"/>
            <w:shd w:fill="F8FAFC"/>
            <w:tcMar>
              <w:top w:w="100" w:type="dxa"/>
              <w:bottom w:w="100" w:type="dxa"/>
              <w:left w:w="100" w:type="dxa"/>
              <w:right w:w="100" w:type="dxa"/>
            </w:tcMar>
          </w:tcPr>
          <w:p>
            <w:r>
              <w:rPr>
                <w:rFonts w:ascii="Segoe UI" w:hAnsi="Segoe UI"/>
                <w:b/>
                <w:color w:val="334155"/>
                <w:sz w:val="19"/>
              </w:rPr>
              <w:t>React</w:t>
            </w:r>
          </w:p>
        </w:tc>
        <w:tc>
          <w:tcPr>
            <w:tcW w:type="dxa" w:w="2592"/>
            <w:shd w:fill="F8FAFC"/>
            <w:tcMar>
              <w:top w:w="100" w:type="dxa"/>
              <w:bottom w:w="100" w:type="dxa"/>
              <w:left w:w="100" w:type="dxa"/>
              <w:right w:w="100" w:type="dxa"/>
            </w:tcMar>
          </w:tcPr>
          <w:p>
            <w:r>
              <w:rPr>
                <w:rFonts w:ascii="Segoe UI" w:hAnsi="Segoe UI"/>
                <w:color w:val="334155"/>
                <w:sz w:val="19"/>
              </w:rPr>
              <w:t>19.2.6</w:t>
            </w:r>
          </w:p>
        </w:tc>
        <w:tc>
          <w:tcPr>
            <w:tcW w:type="dxa" w:w="2880"/>
            <w:shd w:fill="F8FAFC"/>
            <w:tcMar>
              <w:top w:w="100" w:type="dxa"/>
              <w:bottom w:w="100" w:type="dxa"/>
              <w:left w:w="100" w:type="dxa"/>
              <w:right w:w="100" w:type="dxa"/>
            </w:tcMar>
          </w:tcPr>
          <w:p>
            <w:r>
              <w:rPr>
                <w:rFonts w:ascii="Segoe UI" w:hAnsi="Segoe UI"/>
                <w:color w:val="334155"/>
                <w:sz w:val="19"/>
              </w:rPr>
              <w:t>Core component-driven user interface architecture.</w:t>
            </w:r>
          </w:p>
        </w:tc>
      </w:tr>
      <w:tr>
        <w:tc>
          <w:tcPr>
            <w:tcW w:type="dxa" w:w="1728"/>
            <w:shd w:fill="FFFFFF"/>
            <w:tcMar>
              <w:top w:w="100" w:type="dxa"/>
              <w:bottom w:w="100" w:type="dxa"/>
              <w:left w:w="100" w:type="dxa"/>
              <w:right w:w="100" w:type="dxa"/>
            </w:tcMar>
          </w:tcPr>
          <w:p>
            <w:r>
              <w:rPr>
                <w:rFonts w:ascii="Segoe UI" w:hAnsi="Segoe UI"/>
                <w:color w:val="334155"/>
                <w:sz w:val="19"/>
              </w:rPr>
              <w:t>Frontend</w:t>
            </w:r>
          </w:p>
        </w:tc>
        <w:tc>
          <w:tcPr>
            <w:tcW w:type="dxa" w:w="2160"/>
            <w:shd w:fill="FFFFFF"/>
            <w:tcMar>
              <w:top w:w="100" w:type="dxa"/>
              <w:bottom w:w="100" w:type="dxa"/>
              <w:left w:w="100" w:type="dxa"/>
              <w:right w:w="100" w:type="dxa"/>
            </w:tcMar>
          </w:tcPr>
          <w:p>
            <w:r>
              <w:rPr>
                <w:rFonts w:ascii="Segoe UI" w:hAnsi="Segoe UI"/>
                <w:b/>
                <w:color w:val="334155"/>
                <w:sz w:val="19"/>
              </w:rPr>
              <w:t>TypeScript</w:t>
            </w:r>
          </w:p>
        </w:tc>
        <w:tc>
          <w:tcPr>
            <w:tcW w:type="dxa" w:w="2592"/>
            <w:shd w:fill="FFFFFF"/>
            <w:tcMar>
              <w:top w:w="100" w:type="dxa"/>
              <w:bottom w:w="100" w:type="dxa"/>
              <w:left w:w="100" w:type="dxa"/>
              <w:right w:w="100" w:type="dxa"/>
            </w:tcMar>
          </w:tcPr>
          <w:p>
            <w:r>
              <w:rPr>
                <w:rFonts w:ascii="Segoe UI" w:hAnsi="Segoe UI"/>
                <w:color w:val="334155"/>
                <w:sz w:val="19"/>
              </w:rPr>
              <w:t>~6.0.2</w:t>
            </w:r>
          </w:p>
        </w:tc>
        <w:tc>
          <w:tcPr>
            <w:tcW w:type="dxa" w:w="2880"/>
            <w:shd w:fill="FFFFFF"/>
            <w:tcMar>
              <w:top w:w="100" w:type="dxa"/>
              <w:bottom w:w="100" w:type="dxa"/>
              <w:left w:w="100" w:type="dxa"/>
              <w:right w:w="100" w:type="dxa"/>
            </w:tcMar>
          </w:tcPr>
          <w:p>
            <w:r>
              <w:rPr>
                <w:rFonts w:ascii="Segoe UI" w:hAnsi="Segoe UI"/>
                <w:color w:val="334155"/>
                <w:sz w:val="19"/>
              </w:rPr>
              <w:t>Type-safety layer ensuring structural reliability.</w:t>
            </w:r>
          </w:p>
        </w:tc>
      </w:tr>
      <w:tr>
        <w:tc>
          <w:tcPr>
            <w:tcW w:type="dxa" w:w="1728"/>
            <w:shd w:fill="F8FAFC"/>
            <w:tcMar>
              <w:top w:w="100" w:type="dxa"/>
              <w:bottom w:w="100" w:type="dxa"/>
              <w:left w:w="100" w:type="dxa"/>
              <w:right w:w="100" w:type="dxa"/>
            </w:tcMar>
          </w:tcPr>
          <w:p>
            <w:r>
              <w:rPr>
                <w:rFonts w:ascii="Segoe UI" w:hAnsi="Segoe UI"/>
                <w:color w:val="334155"/>
                <w:sz w:val="19"/>
              </w:rPr>
              <w:t>Frontend</w:t>
            </w:r>
          </w:p>
        </w:tc>
        <w:tc>
          <w:tcPr>
            <w:tcW w:type="dxa" w:w="2160"/>
            <w:shd w:fill="F8FAFC"/>
            <w:tcMar>
              <w:top w:w="100" w:type="dxa"/>
              <w:bottom w:w="100" w:type="dxa"/>
              <w:left w:w="100" w:type="dxa"/>
              <w:right w:w="100" w:type="dxa"/>
            </w:tcMar>
          </w:tcPr>
          <w:p>
            <w:r>
              <w:rPr>
                <w:rFonts w:ascii="Segoe UI" w:hAnsi="Segoe UI"/>
                <w:b/>
                <w:color w:val="334155"/>
                <w:sz w:val="19"/>
              </w:rPr>
              <w:t>Vite</w:t>
            </w:r>
          </w:p>
        </w:tc>
        <w:tc>
          <w:tcPr>
            <w:tcW w:type="dxa" w:w="2592"/>
            <w:shd w:fill="F8FAFC"/>
            <w:tcMar>
              <w:top w:w="100" w:type="dxa"/>
              <w:bottom w:w="100" w:type="dxa"/>
              <w:left w:w="100" w:type="dxa"/>
              <w:right w:w="100" w:type="dxa"/>
            </w:tcMar>
          </w:tcPr>
          <w:p>
            <w:r>
              <w:rPr>
                <w:rFonts w:ascii="Segoe UI" w:hAnsi="Segoe UI"/>
                <w:color w:val="334155"/>
                <w:sz w:val="19"/>
              </w:rPr>
              <w:t>8.0.12</w:t>
            </w:r>
          </w:p>
        </w:tc>
        <w:tc>
          <w:tcPr>
            <w:tcW w:type="dxa" w:w="2880"/>
            <w:shd w:fill="F8FAFC"/>
            <w:tcMar>
              <w:top w:w="100" w:type="dxa"/>
              <w:bottom w:w="100" w:type="dxa"/>
              <w:left w:w="100" w:type="dxa"/>
              <w:right w:w="100" w:type="dxa"/>
            </w:tcMar>
          </w:tcPr>
          <w:p>
            <w:r>
              <w:rPr>
                <w:rFonts w:ascii="Segoe UI" w:hAnsi="Segoe UI"/>
                <w:color w:val="334155"/>
                <w:sz w:val="19"/>
              </w:rPr>
              <w:t>Hyper-fast hot module replacement bundler &amp; builder.</w:t>
            </w:r>
          </w:p>
        </w:tc>
      </w:tr>
      <w:tr>
        <w:tc>
          <w:tcPr>
            <w:tcW w:type="dxa" w:w="1728"/>
            <w:shd w:fill="FFFFFF"/>
            <w:tcMar>
              <w:top w:w="100" w:type="dxa"/>
              <w:bottom w:w="100" w:type="dxa"/>
              <w:left w:w="100" w:type="dxa"/>
              <w:right w:w="100" w:type="dxa"/>
            </w:tcMar>
          </w:tcPr>
          <w:p>
            <w:r>
              <w:rPr>
                <w:rFonts w:ascii="Segoe UI" w:hAnsi="Segoe UI"/>
                <w:color w:val="334155"/>
                <w:sz w:val="19"/>
              </w:rPr>
              <w:t>Frontend</w:t>
            </w:r>
          </w:p>
        </w:tc>
        <w:tc>
          <w:tcPr>
            <w:tcW w:type="dxa" w:w="2160"/>
            <w:shd w:fill="FFFFFF"/>
            <w:tcMar>
              <w:top w:w="100" w:type="dxa"/>
              <w:bottom w:w="100" w:type="dxa"/>
              <w:left w:w="100" w:type="dxa"/>
              <w:right w:w="100" w:type="dxa"/>
            </w:tcMar>
          </w:tcPr>
          <w:p>
            <w:r>
              <w:rPr>
                <w:rFonts w:ascii="Segoe UI" w:hAnsi="Segoe UI"/>
                <w:b/>
                <w:color w:val="334155"/>
                <w:sz w:val="19"/>
              </w:rPr>
              <w:t>Tailwind CSS</w:t>
            </w:r>
          </w:p>
        </w:tc>
        <w:tc>
          <w:tcPr>
            <w:tcW w:type="dxa" w:w="2592"/>
            <w:shd w:fill="FFFFFF"/>
            <w:tcMar>
              <w:top w:w="100" w:type="dxa"/>
              <w:bottom w:w="100" w:type="dxa"/>
              <w:left w:w="100" w:type="dxa"/>
              <w:right w:w="100" w:type="dxa"/>
            </w:tcMar>
          </w:tcPr>
          <w:p>
            <w:r>
              <w:rPr>
                <w:rFonts w:ascii="Segoe UI" w:hAnsi="Segoe UI"/>
                <w:color w:val="334155"/>
                <w:sz w:val="19"/>
              </w:rPr>
              <w:t>v4.3.0</w:t>
            </w:r>
          </w:p>
        </w:tc>
        <w:tc>
          <w:tcPr>
            <w:tcW w:type="dxa" w:w="2880"/>
            <w:shd w:fill="FFFFFF"/>
            <w:tcMar>
              <w:top w:w="100" w:type="dxa"/>
              <w:bottom w:w="100" w:type="dxa"/>
              <w:left w:w="100" w:type="dxa"/>
              <w:right w:w="100" w:type="dxa"/>
            </w:tcMar>
          </w:tcPr>
          <w:p>
            <w:r>
              <w:rPr>
                <w:rFonts w:ascii="Segoe UI" w:hAnsi="Segoe UI"/>
                <w:color w:val="334155"/>
                <w:sz w:val="19"/>
              </w:rPr>
              <w:t>Next-gen utility-first framework configuring deep glassmorphic variables.</w:t>
            </w:r>
          </w:p>
        </w:tc>
      </w:tr>
      <w:tr>
        <w:tc>
          <w:tcPr>
            <w:tcW w:type="dxa" w:w="1728"/>
            <w:shd w:fill="F8FAFC"/>
            <w:tcMar>
              <w:top w:w="100" w:type="dxa"/>
              <w:bottom w:w="100" w:type="dxa"/>
              <w:left w:w="100" w:type="dxa"/>
              <w:right w:w="100" w:type="dxa"/>
            </w:tcMar>
          </w:tcPr>
          <w:p>
            <w:r>
              <w:rPr>
                <w:rFonts w:ascii="Segoe UI" w:hAnsi="Segoe UI"/>
                <w:color w:val="334155"/>
                <w:sz w:val="19"/>
              </w:rPr>
              <w:t>Frontend</w:t>
            </w:r>
          </w:p>
        </w:tc>
        <w:tc>
          <w:tcPr>
            <w:tcW w:type="dxa" w:w="2160"/>
            <w:shd w:fill="F8FAFC"/>
            <w:tcMar>
              <w:top w:w="100" w:type="dxa"/>
              <w:bottom w:w="100" w:type="dxa"/>
              <w:left w:w="100" w:type="dxa"/>
              <w:right w:w="100" w:type="dxa"/>
            </w:tcMar>
          </w:tcPr>
          <w:p>
            <w:r>
              <w:rPr>
                <w:rFonts w:ascii="Segoe UI" w:hAnsi="Segoe UI"/>
                <w:b/>
                <w:color w:val="334155"/>
                <w:sz w:val="19"/>
              </w:rPr>
              <w:t>Framer Motion</w:t>
            </w:r>
          </w:p>
        </w:tc>
        <w:tc>
          <w:tcPr>
            <w:tcW w:type="dxa" w:w="2592"/>
            <w:shd w:fill="F8FAFC"/>
            <w:tcMar>
              <w:top w:w="100" w:type="dxa"/>
              <w:bottom w:w="100" w:type="dxa"/>
              <w:left w:w="100" w:type="dxa"/>
              <w:right w:w="100" w:type="dxa"/>
            </w:tcMar>
          </w:tcPr>
          <w:p>
            <w:r>
              <w:rPr>
                <w:rFonts w:ascii="Segoe UI" w:hAnsi="Segoe UI"/>
                <w:color w:val="334155"/>
                <w:sz w:val="19"/>
              </w:rPr>
              <w:t>12.40.0</w:t>
            </w:r>
          </w:p>
        </w:tc>
        <w:tc>
          <w:tcPr>
            <w:tcW w:type="dxa" w:w="2880"/>
            <w:shd w:fill="F8FAFC"/>
            <w:tcMar>
              <w:top w:w="100" w:type="dxa"/>
              <w:bottom w:w="100" w:type="dxa"/>
              <w:left w:w="100" w:type="dxa"/>
              <w:right w:w="100" w:type="dxa"/>
            </w:tcMar>
          </w:tcPr>
          <w:p>
            <w:r>
              <w:rPr>
                <w:rFonts w:ascii="Segoe UI" w:hAnsi="Segoe UI"/>
                <w:color w:val="334155"/>
                <w:sz w:val="19"/>
              </w:rPr>
              <w:t>Micro-interactions and fluid panel entry transitions.</w:t>
            </w:r>
          </w:p>
        </w:tc>
      </w:tr>
      <w:tr>
        <w:tc>
          <w:tcPr>
            <w:tcW w:type="dxa" w:w="1728"/>
            <w:shd w:fill="FFFFFF"/>
            <w:tcMar>
              <w:top w:w="100" w:type="dxa"/>
              <w:bottom w:w="100" w:type="dxa"/>
              <w:left w:w="100" w:type="dxa"/>
              <w:right w:w="100" w:type="dxa"/>
            </w:tcMar>
          </w:tcPr>
          <w:p>
            <w:r>
              <w:rPr>
                <w:rFonts w:ascii="Segoe UI" w:hAnsi="Segoe UI"/>
                <w:color w:val="334155"/>
                <w:sz w:val="19"/>
              </w:rPr>
              <w:t>Frontend</w:t>
            </w:r>
          </w:p>
        </w:tc>
        <w:tc>
          <w:tcPr>
            <w:tcW w:type="dxa" w:w="2160"/>
            <w:shd w:fill="FFFFFF"/>
            <w:tcMar>
              <w:top w:w="100" w:type="dxa"/>
              <w:bottom w:w="100" w:type="dxa"/>
              <w:left w:w="100" w:type="dxa"/>
              <w:right w:w="100" w:type="dxa"/>
            </w:tcMar>
          </w:tcPr>
          <w:p>
            <w:r>
              <w:rPr>
                <w:rFonts w:ascii="Segoe UI" w:hAnsi="Segoe UI"/>
                <w:b/>
                <w:color w:val="334155"/>
                <w:sz w:val="19"/>
              </w:rPr>
              <w:t>CesiumJS / Resium</w:t>
            </w:r>
          </w:p>
        </w:tc>
        <w:tc>
          <w:tcPr>
            <w:tcW w:type="dxa" w:w="2592"/>
            <w:shd w:fill="FFFFFF"/>
            <w:tcMar>
              <w:top w:w="100" w:type="dxa"/>
              <w:bottom w:w="100" w:type="dxa"/>
              <w:left w:w="100" w:type="dxa"/>
              <w:right w:w="100" w:type="dxa"/>
            </w:tcMar>
          </w:tcPr>
          <w:p>
            <w:r>
              <w:rPr>
                <w:rFonts w:ascii="Segoe UI" w:hAnsi="Segoe UI"/>
                <w:color w:val="334155"/>
                <w:sz w:val="19"/>
              </w:rPr>
              <w:t>^1.142 / ^1.23</w:t>
            </w:r>
          </w:p>
        </w:tc>
        <w:tc>
          <w:tcPr>
            <w:tcW w:type="dxa" w:w="2880"/>
            <w:shd w:fill="FFFFFF"/>
            <w:tcMar>
              <w:top w:w="100" w:type="dxa"/>
              <w:bottom w:w="100" w:type="dxa"/>
              <w:left w:w="100" w:type="dxa"/>
              <w:right w:w="100" w:type="dxa"/>
            </w:tcMar>
          </w:tcPr>
          <w:p>
            <w:r>
              <w:rPr>
                <w:rFonts w:ascii="Segoe UI" w:hAnsi="Segoe UI"/>
                <w:color w:val="334155"/>
                <w:sz w:val="19"/>
              </w:rPr>
              <w:t>WebGL-driven 3D geospatial visualization globe.</w:t>
            </w:r>
          </w:p>
        </w:tc>
      </w:tr>
      <w:tr>
        <w:tc>
          <w:tcPr>
            <w:tcW w:type="dxa" w:w="1728"/>
            <w:shd w:fill="F8FAFC"/>
            <w:tcMar>
              <w:top w:w="100" w:type="dxa"/>
              <w:bottom w:w="100" w:type="dxa"/>
              <w:left w:w="100" w:type="dxa"/>
              <w:right w:w="100" w:type="dxa"/>
            </w:tcMar>
          </w:tcPr>
          <w:p>
            <w:r>
              <w:rPr>
                <w:rFonts w:ascii="Segoe UI" w:hAnsi="Segoe UI"/>
                <w:color w:val="334155"/>
                <w:sz w:val="19"/>
              </w:rPr>
              <w:t>Frontend</w:t>
            </w:r>
          </w:p>
        </w:tc>
        <w:tc>
          <w:tcPr>
            <w:tcW w:type="dxa" w:w="2160"/>
            <w:shd w:fill="F8FAFC"/>
            <w:tcMar>
              <w:top w:w="100" w:type="dxa"/>
              <w:bottom w:w="100" w:type="dxa"/>
              <w:left w:w="100" w:type="dxa"/>
              <w:right w:w="100" w:type="dxa"/>
            </w:tcMar>
          </w:tcPr>
          <w:p>
            <w:r>
              <w:rPr>
                <w:rFonts w:ascii="Segoe UI" w:hAnsi="Segoe UI"/>
                <w:b/>
                <w:color w:val="334155"/>
                <w:sz w:val="19"/>
              </w:rPr>
              <w:t>satellite.js</w:t>
            </w:r>
          </w:p>
        </w:tc>
        <w:tc>
          <w:tcPr>
            <w:tcW w:type="dxa" w:w="2592"/>
            <w:shd w:fill="F8FAFC"/>
            <w:tcMar>
              <w:top w:w="100" w:type="dxa"/>
              <w:bottom w:w="100" w:type="dxa"/>
              <w:left w:w="100" w:type="dxa"/>
              <w:right w:w="100" w:type="dxa"/>
            </w:tcMar>
          </w:tcPr>
          <w:p>
            <w:r>
              <w:rPr>
                <w:rFonts w:ascii="Segoe UI" w:hAnsi="Segoe UI"/>
                <w:color w:val="334155"/>
                <w:sz w:val="19"/>
              </w:rPr>
              <w:t>^7.0.1</w:t>
            </w:r>
          </w:p>
        </w:tc>
        <w:tc>
          <w:tcPr>
            <w:tcW w:type="dxa" w:w="2880"/>
            <w:shd w:fill="F8FAFC"/>
            <w:tcMar>
              <w:top w:w="100" w:type="dxa"/>
              <w:bottom w:w="100" w:type="dxa"/>
              <w:left w:w="100" w:type="dxa"/>
              <w:right w:w="100" w:type="dxa"/>
            </w:tcMar>
          </w:tcPr>
          <w:p>
            <w:r>
              <w:rPr>
                <w:rFonts w:ascii="Segoe UI" w:hAnsi="Segoe UI"/>
                <w:color w:val="334155"/>
                <w:sz w:val="19"/>
              </w:rPr>
              <w:t>Browser-side SGP4 orbital propagation from TLE strings.</w:t>
            </w:r>
          </w:p>
        </w:tc>
      </w:tr>
      <w:tr>
        <w:tc>
          <w:tcPr>
            <w:tcW w:type="dxa" w:w="1728"/>
            <w:shd w:fill="FFFFFF"/>
            <w:tcMar>
              <w:top w:w="100" w:type="dxa"/>
              <w:bottom w:w="100" w:type="dxa"/>
              <w:left w:w="100" w:type="dxa"/>
              <w:right w:w="100" w:type="dxa"/>
            </w:tcMar>
          </w:tcPr>
          <w:p>
            <w:r>
              <w:rPr>
                <w:rFonts w:ascii="Segoe UI" w:hAnsi="Segoe UI"/>
                <w:color w:val="334155"/>
                <w:sz w:val="19"/>
              </w:rPr>
              <w:t>Frontend</w:t>
            </w:r>
          </w:p>
        </w:tc>
        <w:tc>
          <w:tcPr>
            <w:tcW w:type="dxa" w:w="2160"/>
            <w:shd w:fill="FFFFFF"/>
            <w:tcMar>
              <w:top w:w="100" w:type="dxa"/>
              <w:bottom w:w="100" w:type="dxa"/>
              <w:left w:w="100" w:type="dxa"/>
              <w:right w:w="100" w:type="dxa"/>
            </w:tcMar>
          </w:tcPr>
          <w:p>
            <w:r>
              <w:rPr>
                <w:rFonts w:ascii="Segoe UI" w:hAnsi="Segoe UI"/>
                <w:b/>
                <w:color w:val="334155"/>
                <w:sz w:val="19"/>
              </w:rPr>
              <w:t>Recharts</w:t>
            </w:r>
          </w:p>
        </w:tc>
        <w:tc>
          <w:tcPr>
            <w:tcW w:type="dxa" w:w="2592"/>
            <w:shd w:fill="FFFFFF"/>
            <w:tcMar>
              <w:top w:w="100" w:type="dxa"/>
              <w:bottom w:w="100" w:type="dxa"/>
              <w:left w:w="100" w:type="dxa"/>
              <w:right w:w="100" w:type="dxa"/>
            </w:tcMar>
          </w:tcPr>
          <w:p>
            <w:r>
              <w:rPr>
                <w:rFonts w:ascii="Segoe UI" w:hAnsi="Segoe UI"/>
                <w:color w:val="334155"/>
                <w:sz w:val="19"/>
              </w:rPr>
              <w:t>3.8.1</w:t>
            </w:r>
          </w:p>
        </w:tc>
        <w:tc>
          <w:tcPr>
            <w:tcW w:type="dxa" w:w="2880"/>
            <w:shd w:fill="FFFFFF"/>
            <w:tcMar>
              <w:top w:w="100" w:type="dxa"/>
              <w:bottom w:w="100" w:type="dxa"/>
              <w:left w:w="100" w:type="dxa"/>
              <w:right w:w="100" w:type="dxa"/>
            </w:tcMar>
          </w:tcPr>
          <w:p>
            <w:r>
              <w:rPr>
                <w:rFonts w:ascii="Segoe UI" w:hAnsi="Segoe UI"/>
                <w:color w:val="334155"/>
                <w:sz w:val="19"/>
              </w:rPr>
              <w:t>Responsive SVG telemetry statistics and trends rendering.</w:t>
            </w:r>
          </w:p>
        </w:tc>
      </w:tr>
      <w:tr>
        <w:tc>
          <w:tcPr>
            <w:tcW w:type="dxa" w:w="1728"/>
            <w:shd w:fill="F8FAFC"/>
            <w:tcMar>
              <w:top w:w="100" w:type="dxa"/>
              <w:bottom w:w="100" w:type="dxa"/>
              <w:left w:w="100" w:type="dxa"/>
              <w:right w:w="100" w:type="dxa"/>
            </w:tcMar>
          </w:tcPr>
          <w:p>
            <w:r>
              <w:rPr>
                <w:rFonts w:ascii="Segoe UI" w:hAnsi="Segoe UI"/>
                <w:color w:val="334155"/>
                <w:sz w:val="19"/>
              </w:rPr>
              <w:t>Frontend</w:t>
            </w:r>
          </w:p>
        </w:tc>
        <w:tc>
          <w:tcPr>
            <w:tcW w:type="dxa" w:w="2160"/>
            <w:shd w:fill="F8FAFC"/>
            <w:tcMar>
              <w:top w:w="100" w:type="dxa"/>
              <w:bottom w:w="100" w:type="dxa"/>
              <w:left w:w="100" w:type="dxa"/>
              <w:right w:w="100" w:type="dxa"/>
            </w:tcMar>
          </w:tcPr>
          <w:p>
            <w:r>
              <w:rPr>
                <w:rFonts w:ascii="Segoe UI" w:hAnsi="Segoe UI"/>
                <w:b/>
                <w:color w:val="334155"/>
                <w:sz w:val="19"/>
              </w:rPr>
              <w:t>React Router</w:t>
            </w:r>
          </w:p>
        </w:tc>
        <w:tc>
          <w:tcPr>
            <w:tcW w:type="dxa" w:w="2592"/>
            <w:shd w:fill="F8FAFC"/>
            <w:tcMar>
              <w:top w:w="100" w:type="dxa"/>
              <w:bottom w:w="100" w:type="dxa"/>
              <w:left w:w="100" w:type="dxa"/>
              <w:right w:w="100" w:type="dxa"/>
            </w:tcMar>
          </w:tcPr>
          <w:p>
            <w:r>
              <w:rPr>
                <w:rFonts w:ascii="Segoe UI" w:hAnsi="Segoe UI"/>
                <w:color w:val="334155"/>
                <w:sz w:val="19"/>
              </w:rPr>
              <w:t>v7.17.0</w:t>
            </w:r>
          </w:p>
        </w:tc>
        <w:tc>
          <w:tcPr>
            <w:tcW w:type="dxa" w:w="2880"/>
            <w:shd w:fill="F8FAFC"/>
            <w:tcMar>
              <w:top w:w="100" w:type="dxa"/>
              <w:bottom w:w="100" w:type="dxa"/>
              <w:left w:w="100" w:type="dxa"/>
              <w:right w:w="100" w:type="dxa"/>
            </w:tcMar>
          </w:tcPr>
          <w:p>
            <w:r>
              <w:rPr>
                <w:rFonts w:ascii="Segoe UI" w:hAnsi="Segoe UI"/>
                <w:color w:val="334155"/>
                <w:sz w:val="19"/>
              </w:rPr>
              <w:t>Client-side page routing and lazy loading container.</w:t>
            </w:r>
          </w:p>
        </w:tc>
      </w:tr>
      <w:tr>
        <w:tc>
          <w:tcPr>
            <w:tcW w:type="dxa" w:w="1728"/>
            <w:shd w:fill="FFFFFF"/>
            <w:tcMar>
              <w:top w:w="100" w:type="dxa"/>
              <w:bottom w:w="100" w:type="dxa"/>
              <w:left w:w="100" w:type="dxa"/>
              <w:right w:w="100" w:type="dxa"/>
            </w:tcMar>
          </w:tcPr>
          <w:p>
            <w:r>
              <w:rPr>
                <w:rFonts w:ascii="Segoe UI" w:hAnsi="Segoe UI"/>
                <w:color w:val="334155"/>
                <w:sz w:val="19"/>
              </w:rPr>
              <w:t>Backend</w:t>
            </w:r>
          </w:p>
        </w:tc>
        <w:tc>
          <w:tcPr>
            <w:tcW w:type="dxa" w:w="2160"/>
            <w:shd w:fill="FFFFFF"/>
            <w:tcMar>
              <w:top w:w="100" w:type="dxa"/>
              <w:bottom w:w="100" w:type="dxa"/>
              <w:left w:w="100" w:type="dxa"/>
              <w:right w:w="100" w:type="dxa"/>
            </w:tcMar>
          </w:tcPr>
          <w:p>
            <w:r>
              <w:rPr>
                <w:rFonts w:ascii="Segoe UI" w:hAnsi="Segoe UI"/>
                <w:b/>
                <w:color w:val="334155"/>
                <w:sz w:val="19"/>
              </w:rPr>
              <w:t>FastAPI</w:t>
            </w:r>
          </w:p>
        </w:tc>
        <w:tc>
          <w:tcPr>
            <w:tcW w:type="dxa" w:w="2592"/>
            <w:shd w:fill="FFFFFF"/>
            <w:tcMar>
              <w:top w:w="100" w:type="dxa"/>
              <w:bottom w:w="100" w:type="dxa"/>
              <w:left w:w="100" w:type="dxa"/>
              <w:right w:w="100" w:type="dxa"/>
            </w:tcMar>
          </w:tcPr>
          <w:p>
            <w:r>
              <w:rPr>
                <w:rFonts w:ascii="Segoe UI" w:hAnsi="Segoe UI"/>
                <w:color w:val="334155"/>
                <w:sz w:val="19"/>
              </w:rPr>
              <w:t>0.111.0</w:t>
            </w:r>
          </w:p>
        </w:tc>
        <w:tc>
          <w:tcPr>
            <w:tcW w:type="dxa" w:w="2880"/>
            <w:shd w:fill="FFFFFF"/>
            <w:tcMar>
              <w:top w:w="100" w:type="dxa"/>
              <w:bottom w:w="100" w:type="dxa"/>
              <w:left w:w="100" w:type="dxa"/>
              <w:right w:w="100" w:type="dxa"/>
            </w:tcMar>
          </w:tcPr>
          <w:p>
            <w:r>
              <w:rPr>
                <w:rFonts w:ascii="Segoe UI" w:hAnsi="Segoe UI"/>
                <w:color w:val="334155"/>
                <w:sz w:val="19"/>
              </w:rPr>
              <w:t>Asynchronous, high-performance web API framework.</w:t>
            </w:r>
          </w:p>
        </w:tc>
      </w:tr>
      <w:tr>
        <w:tc>
          <w:tcPr>
            <w:tcW w:type="dxa" w:w="1728"/>
            <w:shd w:fill="F8FAFC"/>
            <w:tcMar>
              <w:top w:w="100" w:type="dxa"/>
              <w:bottom w:w="100" w:type="dxa"/>
              <w:left w:w="100" w:type="dxa"/>
              <w:right w:w="100" w:type="dxa"/>
            </w:tcMar>
          </w:tcPr>
          <w:p>
            <w:r>
              <w:rPr>
                <w:rFonts w:ascii="Segoe UI" w:hAnsi="Segoe UI"/>
                <w:color w:val="334155"/>
                <w:sz w:val="19"/>
              </w:rPr>
              <w:t>Backend</w:t>
            </w:r>
          </w:p>
        </w:tc>
        <w:tc>
          <w:tcPr>
            <w:tcW w:type="dxa" w:w="2160"/>
            <w:shd w:fill="F8FAFC"/>
            <w:tcMar>
              <w:top w:w="100" w:type="dxa"/>
              <w:bottom w:w="100" w:type="dxa"/>
              <w:left w:w="100" w:type="dxa"/>
              <w:right w:w="100" w:type="dxa"/>
            </w:tcMar>
          </w:tcPr>
          <w:p>
            <w:r>
              <w:rPr>
                <w:rFonts w:ascii="Segoe UI" w:hAnsi="Segoe UI"/>
                <w:b/>
                <w:color w:val="334155"/>
                <w:sz w:val="19"/>
              </w:rPr>
              <w:t>Uvicorn</w:t>
            </w:r>
          </w:p>
        </w:tc>
        <w:tc>
          <w:tcPr>
            <w:tcW w:type="dxa" w:w="2592"/>
            <w:shd w:fill="F8FAFC"/>
            <w:tcMar>
              <w:top w:w="100" w:type="dxa"/>
              <w:bottom w:w="100" w:type="dxa"/>
              <w:left w:w="100" w:type="dxa"/>
              <w:right w:w="100" w:type="dxa"/>
            </w:tcMar>
          </w:tcPr>
          <w:p>
            <w:r>
              <w:rPr>
                <w:rFonts w:ascii="Segoe UI" w:hAnsi="Segoe UI"/>
                <w:color w:val="334155"/>
                <w:sz w:val="19"/>
              </w:rPr>
              <w:t>0.30.1</w:t>
            </w:r>
          </w:p>
        </w:tc>
        <w:tc>
          <w:tcPr>
            <w:tcW w:type="dxa" w:w="2880"/>
            <w:shd w:fill="F8FAFC"/>
            <w:tcMar>
              <w:top w:w="100" w:type="dxa"/>
              <w:bottom w:w="100" w:type="dxa"/>
              <w:left w:w="100" w:type="dxa"/>
              <w:right w:w="100" w:type="dxa"/>
            </w:tcMar>
          </w:tcPr>
          <w:p>
            <w:r>
              <w:rPr>
                <w:rFonts w:ascii="Segoe UI" w:hAnsi="Segoe UI"/>
                <w:color w:val="334155"/>
                <w:sz w:val="19"/>
              </w:rPr>
              <w:t>ASGI server implementation to run FastAPI backend.</w:t>
            </w:r>
          </w:p>
        </w:tc>
      </w:tr>
      <w:tr>
        <w:tc>
          <w:tcPr>
            <w:tcW w:type="dxa" w:w="1728"/>
            <w:shd w:fill="FFFFFF"/>
            <w:tcMar>
              <w:top w:w="100" w:type="dxa"/>
              <w:bottom w:w="100" w:type="dxa"/>
              <w:left w:w="100" w:type="dxa"/>
              <w:right w:w="100" w:type="dxa"/>
            </w:tcMar>
          </w:tcPr>
          <w:p>
            <w:r>
              <w:rPr>
                <w:rFonts w:ascii="Segoe UI" w:hAnsi="Segoe UI"/>
                <w:color w:val="334155"/>
                <w:sz w:val="19"/>
              </w:rPr>
              <w:t>Backend</w:t>
            </w:r>
          </w:p>
        </w:tc>
        <w:tc>
          <w:tcPr>
            <w:tcW w:type="dxa" w:w="2160"/>
            <w:shd w:fill="FFFFFF"/>
            <w:tcMar>
              <w:top w:w="100" w:type="dxa"/>
              <w:bottom w:w="100" w:type="dxa"/>
              <w:left w:w="100" w:type="dxa"/>
              <w:right w:w="100" w:type="dxa"/>
            </w:tcMar>
          </w:tcPr>
          <w:p>
            <w:r>
              <w:rPr>
                <w:rFonts w:ascii="Segoe UI" w:hAnsi="Segoe UI"/>
                <w:b/>
                <w:color w:val="334155"/>
                <w:sz w:val="19"/>
              </w:rPr>
              <w:t>HTTPX</w:t>
            </w:r>
          </w:p>
        </w:tc>
        <w:tc>
          <w:tcPr>
            <w:tcW w:type="dxa" w:w="2592"/>
            <w:shd w:fill="FFFFFF"/>
            <w:tcMar>
              <w:top w:w="100" w:type="dxa"/>
              <w:bottom w:w="100" w:type="dxa"/>
              <w:left w:w="100" w:type="dxa"/>
              <w:right w:w="100" w:type="dxa"/>
            </w:tcMar>
          </w:tcPr>
          <w:p>
            <w:r>
              <w:rPr>
                <w:rFonts w:ascii="Segoe UI" w:hAnsi="Segoe UI"/>
                <w:color w:val="334155"/>
                <w:sz w:val="19"/>
              </w:rPr>
              <w:t>0.27.0</w:t>
            </w:r>
          </w:p>
        </w:tc>
        <w:tc>
          <w:tcPr>
            <w:tcW w:type="dxa" w:w="2880"/>
            <w:shd w:fill="FFFFFF"/>
            <w:tcMar>
              <w:top w:w="100" w:type="dxa"/>
              <w:bottom w:w="100" w:type="dxa"/>
              <w:left w:w="100" w:type="dxa"/>
              <w:right w:w="100" w:type="dxa"/>
            </w:tcMar>
          </w:tcPr>
          <w:p>
            <w:r>
              <w:rPr>
                <w:rFonts w:ascii="Segoe UI" w:hAnsi="Segoe UI"/>
                <w:color w:val="334155"/>
                <w:sz w:val="19"/>
              </w:rPr>
              <w:t>Asynchronous HTTP client querying Space-Track endpoints.</w:t>
            </w:r>
          </w:p>
        </w:tc>
      </w:tr>
      <w:tr>
        <w:tc>
          <w:tcPr>
            <w:tcW w:type="dxa" w:w="1728"/>
            <w:shd w:fill="F8FAFC"/>
            <w:tcMar>
              <w:top w:w="100" w:type="dxa"/>
              <w:bottom w:w="100" w:type="dxa"/>
              <w:left w:w="100" w:type="dxa"/>
              <w:right w:w="100" w:type="dxa"/>
            </w:tcMar>
          </w:tcPr>
          <w:p>
            <w:r>
              <w:rPr>
                <w:rFonts w:ascii="Segoe UI" w:hAnsi="Segoe UI"/>
                <w:color w:val="334155"/>
                <w:sz w:val="19"/>
              </w:rPr>
              <w:t>Backend</w:t>
            </w:r>
          </w:p>
        </w:tc>
        <w:tc>
          <w:tcPr>
            <w:tcW w:type="dxa" w:w="2160"/>
            <w:shd w:fill="F8FAFC"/>
            <w:tcMar>
              <w:top w:w="100" w:type="dxa"/>
              <w:bottom w:w="100" w:type="dxa"/>
              <w:left w:w="100" w:type="dxa"/>
              <w:right w:w="100" w:type="dxa"/>
            </w:tcMar>
          </w:tcPr>
          <w:p>
            <w:r>
              <w:rPr>
                <w:rFonts w:ascii="Segoe UI" w:hAnsi="Segoe UI"/>
                <w:b/>
                <w:color w:val="334155"/>
                <w:sz w:val="19"/>
              </w:rPr>
              <w:t>Gemini API SDK</w:t>
            </w:r>
          </w:p>
        </w:tc>
        <w:tc>
          <w:tcPr>
            <w:tcW w:type="dxa" w:w="2592"/>
            <w:shd w:fill="F8FAFC"/>
            <w:tcMar>
              <w:top w:w="100" w:type="dxa"/>
              <w:bottom w:w="100" w:type="dxa"/>
              <w:left w:w="100" w:type="dxa"/>
              <w:right w:w="100" w:type="dxa"/>
            </w:tcMar>
          </w:tcPr>
          <w:p>
            <w:r>
              <w:rPr>
                <w:rFonts w:ascii="Segoe UI" w:hAnsi="Segoe UI"/>
                <w:color w:val="334155"/>
                <w:sz w:val="19"/>
              </w:rPr>
              <w:t>0.7.2</w:t>
            </w:r>
          </w:p>
        </w:tc>
        <w:tc>
          <w:tcPr>
            <w:tcW w:type="dxa" w:w="2880"/>
            <w:shd w:fill="F8FAFC"/>
            <w:tcMar>
              <w:top w:w="100" w:type="dxa"/>
              <w:bottom w:w="100" w:type="dxa"/>
              <w:left w:w="100" w:type="dxa"/>
              <w:right w:w="100" w:type="dxa"/>
            </w:tcMar>
          </w:tcPr>
          <w:p>
            <w:r>
              <w:rPr>
                <w:rFonts w:ascii="Segoe UI" w:hAnsi="Segoe UI"/>
                <w:color w:val="334155"/>
                <w:sz w:val="19"/>
              </w:rPr>
              <w:t>Google Generative AI interface (gemini-2.0-flash).</w:t>
            </w:r>
          </w:p>
        </w:tc>
      </w:tr>
      <w:tr>
        <w:tc>
          <w:tcPr>
            <w:tcW w:type="dxa" w:w="1728"/>
            <w:shd w:fill="FFFFFF"/>
            <w:tcMar>
              <w:top w:w="100" w:type="dxa"/>
              <w:bottom w:w="100" w:type="dxa"/>
              <w:left w:w="100" w:type="dxa"/>
              <w:right w:w="100" w:type="dxa"/>
            </w:tcMar>
          </w:tcPr>
          <w:p>
            <w:r>
              <w:rPr>
                <w:rFonts w:ascii="Segoe UI" w:hAnsi="Segoe UI"/>
                <w:color w:val="334155"/>
                <w:sz w:val="19"/>
              </w:rPr>
              <w:t>Backend</w:t>
            </w:r>
          </w:p>
        </w:tc>
        <w:tc>
          <w:tcPr>
            <w:tcW w:type="dxa" w:w="2160"/>
            <w:shd w:fill="FFFFFF"/>
            <w:tcMar>
              <w:top w:w="100" w:type="dxa"/>
              <w:bottom w:w="100" w:type="dxa"/>
              <w:left w:w="100" w:type="dxa"/>
              <w:right w:w="100" w:type="dxa"/>
            </w:tcMar>
          </w:tcPr>
          <w:p>
            <w:r>
              <w:rPr>
                <w:rFonts w:ascii="Segoe UI" w:hAnsi="Segoe UI"/>
                <w:b/>
                <w:color w:val="334155"/>
                <w:sz w:val="19"/>
              </w:rPr>
              <w:t>python-docx</w:t>
            </w:r>
          </w:p>
        </w:tc>
        <w:tc>
          <w:tcPr>
            <w:tcW w:type="dxa" w:w="2592"/>
            <w:shd w:fill="FFFFFF"/>
            <w:tcMar>
              <w:top w:w="100" w:type="dxa"/>
              <w:bottom w:w="100" w:type="dxa"/>
              <w:left w:w="100" w:type="dxa"/>
              <w:right w:w="100" w:type="dxa"/>
            </w:tcMar>
          </w:tcPr>
          <w:p>
            <w:r>
              <w:rPr>
                <w:rFonts w:ascii="Segoe UI" w:hAnsi="Segoe UI"/>
                <w:color w:val="334155"/>
                <w:sz w:val="19"/>
              </w:rPr>
              <w:t>1.1.2</w:t>
            </w:r>
          </w:p>
        </w:tc>
        <w:tc>
          <w:tcPr>
            <w:tcW w:type="dxa" w:w="2880"/>
            <w:shd w:fill="FFFFFF"/>
            <w:tcMar>
              <w:top w:w="100" w:type="dxa"/>
              <w:bottom w:w="100" w:type="dxa"/>
              <w:left w:w="100" w:type="dxa"/>
              <w:right w:w="100" w:type="dxa"/>
            </w:tcMar>
          </w:tcPr>
          <w:p>
            <w:r>
              <w:rPr>
                <w:rFonts w:ascii="Segoe UI" w:hAnsi="Segoe UI"/>
                <w:color w:val="334155"/>
                <w:sz w:val="19"/>
              </w:rPr>
              <w:t>Server-side utility for document compilation.</w:t>
            </w:r>
          </w:p>
        </w:tc>
      </w:tr>
    </w:tbl>
    <w:p>
      <w:pPr>
        <w:spacing w:after="120" w:line="276" w:lineRule="auto"/>
      </w:pPr>
    </w:p>
    <w:p>
      <w:pPr>
        <w:keepNext/>
        <w:spacing w:before="400" w:after="120"/>
      </w:pPr>
      <w:r>
        <w:rPr>
          <w:rFonts w:ascii="Segoe UI" w:hAnsi="Segoe UI"/>
          <w:b/>
          <w:color w:val="0B132B"/>
          <w:sz w:val="36"/>
        </w:rPr>
        <w:t>4. Functional Modules Deep Dive</w:t>
      </w:r>
    </w:p>
    <w:p>
      <w:pPr>
        <w:spacing w:after="120" w:line="276" w:lineRule="auto"/>
      </w:pPr>
      <w:r>
        <w:rPr>
          <w:rFonts w:ascii="Segoe UI" w:hAnsi="Segoe UI"/>
          <w:color w:val="334155"/>
          <w:sz w:val="22"/>
        </w:rPr>
        <w:t>KesslerX distributes its mission control commands across 10 specialized views, each optimized for distinct operational tasks. The interface features a persistent collapsible sidebar and header containing a live UTC clock, threat level indicator, and a keyboard-activated search command palette.</w:t>
      </w:r>
    </w:p>
    <w:p>
      <w:pPr>
        <w:keepNext/>
        <w:spacing w:before="280" w:after="80"/>
      </w:pPr>
      <w:r>
        <w:rPr>
          <w:rFonts w:ascii="Segoe UI" w:hAnsi="Segoe UI"/>
          <w:b/>
          <w:color w:val="1C2541"/>
          <w:sz w:val="28"/>
        </w:rPr>
        <w:t>1. Dashboard (Central Command Center)</w:t>
      </w:r>
    </w:p>
    <w:p>
      <w:pPr>
        <w:spacing w:after="120" w:line="276" w:lineRule="auto"/>
      </w:pPr>
      <w:r>
        <w:rPr>
          <w:rFonts w:ascii="Segoe UI" w:hAnsi="Segoe UI"/>
          <w:color w:val="334155"/>
          <w:sz w:val="22"/>
        </w:rPr>
        <w:t>The Dashboard serves as the central flight control summary. It displays vital orbital metrics (Active Payloads, Tracked Debris, Active Conjunction Risks, and Space Weather state) via animated counter cards that compile dynamically. Beneath the statistics, a medium-sized Cesium globe automatically orbits to show real-time assets. It includes a custom canvas-based animated needle gauge showing the overall Orbital Risk index (currently calculated at 72% High Risk), close approach grids, and a regional orbital congestion progress bar comparing LEO, MEO, GEO, and HEO densities.</w:t>
      </w:r>
    </w:p>
    <w:p>
      <w:pPr>
        <w:keepNext/>
        <w:spacing w:before="280" w:after="80"/>
      </w:pPr>
      <w:r>
        <w:rPr>
          <w:rFonts w:ascii="Segoe UI" w:hAnsi="Segoe UI"/>
          <w:b/>
          <w:color w:val="1C2541"/>
          <w:sz w:val="28"/>
        </w:rPr>
        <w:t>2. Orbital Map (Full 3D Globe)</w:t>
      </w:r>
    </w:p>
    <w:p>
      <w:pPr>
        <w:spacing w:after="120" w:line="276" w:lineRule="auto"/>
      </w:pPr>
      <w:r>
        <w:rPr>
          <w:rFonts w:ascii="Segoe UI" w:hAnsi="Segoe UI"/>
          <w:color w:val="334155"/>
          <w:sz w:val="22"/>
        </w:rPr>
        <w:t>The Orbital Map provides a dedicated full-screen WebGL globe for precise orbital visualization. Users can toggle visualization layers (Active Satellites, Debris, Orbit Trajectories, and Celestial Grids) or play the timeline slider to simulate past or future orbital positions. SGP4 propagation calculates paths in real time. Clicking on any satellite opens the ObjectDetailsPanel, detailing its catalog identity, owner country, apogee, perigee, inclination, speed, and collision risks. Users can also trigger a local PDF report download or hide the entire overlay UI for an unobstructed full-screen view.</w:t>
      </w:r>
    </w:p>
    <w:p>
      <w:pPr>
        <w:keepNext/>
        <w:spacing w:before="280" w:after="80"/>
      </w:pPr>
      <w:r>
        <w:rPr>
          <w:rFonts w:ascii="Segoe UI" w:hAnsi="Segoe UI"/>
          <w:b/>
          <w:color w:val="1C2541"/>
          <w:sz w:val="28"/>
        </w:rPr>
        <w:t>3. Collision Monitor (Conjunction Assessment)</w:t>
      </w:r>
    </w:p>
    <w:p>
      <w:pPr>
        <w:spacing w:after="120" w:line="276" w:lineRule="auto"/>
      </w:pPr>
      <w:r>
        <w:rPr>
          <w:rFonts w:ascii="Segoe UI" w:hAnsi="Segoe UI"/>
          <w:color w:val="334155"/>
          <w:sz w:val="22"/>
        </w:rPr>
        <w:t>The Collision Monitor tracks potential space collisions. It tabulates upcoming close encounters, calculating Miss Distance (meters), Relative Velocity (km/s), Collision Probability, and Time to Closest Approach (TCA). An automated avoidance analysis engine evaluates each threat, recommending appropriate delta-v adjustments, thrust angles, and recommended burn times. To maintain immersion during local staging environments, the page includes a highly stable NASA high-definition ISS Earth view video loop in place of vulnerable external live streams.</w:t>
      </w:r>
    </w:p>
    <w:p>
      <w:pPr>
        <w:keepNext/>
        <w:spacing w:before="280" w:after="80"/>
      </w:pPr>
      <w:r>
        <w:rPr>
          <w:rFonts w:ascii="Segoe UI" w:hAnsi="Segoe UI"/>
          <w:b/>
          <w:color w:val="1C2541"/>
          <w:sz w:val="28"/>
        </w:rPr>
        <w:t>4. Analytics (Statistical Insights)</w:t>
      </w:r>
    </w:p>
    <w:p>
      <w:pPr>
        <w:spacing w:after="120" w:line="276" w:lineRule="auto"/>
      </w:pPr>
      <w:r>
        <w:rPr>
          <w:rFonts w:ascii="Segoe UI" w:hAnsi="Segoe UI"/>
          <w:color w:val="334155"/>
          <w:sz w:val="22"/>
        </w:rPr>
        <w:t>The Analytics page translates raw satellite indexes into historical graphs using Recharts. It features four primary diagrams: a historical line chart tracking satellite launch rates vs debris growth over decades; a bar chart representing debris distributions by altitude; a donut chart showing national ownership shares (US, China, Russia, ESA, India, etc.); and a radar chart tracking constellation utilization (Starlink, OneWeb, GPS, etc.).</w:t>
      </w:r>
    </w:p>
    <w:p>
      <w:pPr>
        <w:keepNext/>
        <w:spacing w:before="280" w:after="80"/>
      </w:pPr>
      <w:r>
        <w:rPr>
          <w:rFonts w:ascii="Segoe UI" w:hAnsi="Segoe UI"/>
          <w:b/>
          <w:color w:val="1C2541"/>
          <w:sz w:val="28"/>
        </w:rPr>
        <w:t>5. Space Weather (Solar Radiation Alerts)</w:t>
      </w:r>
    </w:p>
    <w:p>
      <w:pPr>
        <w:spacing w:after="120" w:line="276" w:lineRule="auto"/>
      </w:pPr>
      <w:r>
        <w:rPr>
          <w:rFonts w:ascii="Segoe UI" w:hAnsi="Segoe UI"/>
          <w:color w:val="334155"/>
          <w:sz w:val="22"/>
        </w:rPr>
        <w:t>Space Weather tracks geomagnetic disturbances that cause atmospheric drag, degrading satellite orbits. The page features SVG indicators for the Kp Index (geomagnetic activity), solar wind velocity, and Interplanetary Magnetic Field (IMF) Bz direction. It incorporates a live solar flares feed and an animated interactive SVG Sun. Solar flare events trigger visual pulses across the page to warn controllers of imminent ionospheric fluctuations.</w:t>
      </w:r>
    </w:p>
    <w:p>
      <w:pPr>
        <w:keepNext/>
        <w:spacing w:before="280" w:after="80"/>
      </w:pPr>
      <w:r>
        <w:rPr>
          <w:rFonts w:ascii="Segoe UI" w:hAnsi="Segoe UI"/>
          <w:b/>
          <w:color w:val="1C2541"/>
          <w:sz w:val="28"/>
        </w:rPr>
        <w:t>6. AI Copilot (Space Mechanics Assistant)</w:t>
      </w:r>
    </w:p>
    <w:p>
      <w:pPr>
        <w:spacing w:after="120" w:line="276" w:lineRule="auto"/>
      </w:pPr>
      <w:r>
        <w:rPr>
          <w:rFonts w:ascii="Segoe UI" w:hAnsi="Segoe UI"/>
          <w:color w:val="334155"/>
          <w:sz w:val="22"/>
        </w:rPr>
        <w:t>The AI Copilot is a conversational interface connected to Google's Gemini LLM. Programmed with a system-level role focusing on orbital mechanics and SSA operations, the copilot processes telemetry data, analyzes debris mitigation strategies, and performs complex orbital calculations (such as Hohmann transfers). The interface includes quick-click prompt cards (e.g., 'Analyze LEO congestion', 'How does space weather affect orbit decay?') to accelerate user workflows.</w:t>
      </w:r>
    </w:p>
    <w:p>
      <w:pPr>
        <w:keepNext/>
        <w:spacing w:before="280" w:after="80"/>
      </w:pPr>
      <w:r>
        <w:rPr>
          <w:rFonts w:ascii="Segoe UI" w:hAnsi="Segoe UI"/>
          <w:b/>
          <w:color w:val="1C2541"/>
          <w:sz w:val="28"/>
        </w:rPr>
        <w:t>7. Simulations (Kessler Chain Reactions)</w:t>
      </w:r>
    </w:p>
    <w:p>
      <w:pPr>
        <w:spacing w:after="120" w:line="276" w:lineRule="auto"/>
      </w:pPr>
      <w:r>
        <w:rPr>
          <w:rFonts w:ascii="Segoe UI" w:hAnsi="Segoe UI"/>
          <w:color w:val="334155"/>
          <w:sz w:val="22"/>
        </w:rPr>
        <w:t>Simulations features an interactive, physics-based 2D canvas particle model demonstrating Kessler Syndrome cascading effects. Users can adjust parameters like initial satellite density, debris fragmentation counts, and average velocity, and then click to trigger a collision. The simulation dynamically calculates and renders hundreds of debris particles colliding in real-time, visualizing the rapid transition of a stable orbit into an unusable debris field.</w:t>
      </w:r>
    </w:p>
    <w:p>
      <w:pPr>
        <w:keepNext/>
        <w:spacing w:before="280" w:after="80"/>
      </w:pPr>
      <w:r>
        <w:rPr>
          <w:rFonts w:ascii="Segoe UI" w:hAnsi="Segoe UI"/>
          <w:b/>
          <w:color w:val="1C2541"/>
          <w:sz w:val="28"/>
        </w:rPr>
        <w:t>8. Alert Center (WebSocket Broadcasts)</w:t>
      </w:r>
    </w:p>
    <w:p>
      <w:pPr>
        <w:spacing w:after="120" w:line="276" w:lineRule="auto"/>
      </w:pPr>
      <w:r>
        <w:rPr>
          <w:rFonts w:ascii="Segoe UI" w:hAnsi="Segoe UI"/>
          <w:color w:val="334155"/>
          <w:sz w:val="22"/>
        </w:rPr>
        <w:t>The Alert Center aggregates system warnings, receiving real-time event updates from the backend via WebSockets. Alerts are categorized by severity levels: LOW (general maneuvers), MEDIUM (space weather changes), HIGH (close encounters), and CRITICAL (active collisions/conjunction probability exceeding 1%). Users can filter alerts by severity, search for specific satellite IDs, and clear logs in real-time.</w:t>
      </w:r>
    </w:p>
    <w:p>
      <w:pPr>
        <w:keepNext/>
        <w:spacing w:before="280" w:after="80"/>
      </w:pPr>
      <w:r>
        <w:rPr>
          <w:rFonts w:ascii="Segoe UI" w:hAnsi="Segoe UI"/>
          <w:b/>
          <w:color w:val="1C2541"/>
          <w:sz w:val="28"/>
        </w:rPr>
        <w:t>9. Reports (Automated PDF Exports)</w:t>
      </w:r>
    </w:p>
    <w:p>
      <w:pPr>
        <w:spacing w:after="120" w:line="276" w:lineRule="auto"/>
      </w:pPr>
      <w:r>
        <w:rPr>
          <w:rFonts w:ascii="Segoe UI" w:hAnsi="Segoe UI"/>
          <w:color w:val="334155"/>
          <w:sz w:val="22"/>
        </w:rPr>
        <w:t>Reports allows controllers to generate official aerospace summary documents. The page displays predefined report templates (e.g., 'Weekly LEO Congestion Assessment', 'Solar Storm Drag Evaluation'). Clicking 'Export PDF' compiles data on the client side using html2canvas and jsPDF, formatting it into a clean, downloadable PDF document.</w:t>
      </w:r>
    </w:p>
    <w:p>
      <w:pPr>
        <w:keepNext/>
        <w:spacing w:before="280" w:after="80"/>
      </w:pPr>
      <w:r>
        <w:rPr>
          <w:rFonts w:ascii="Segoe UI" w:hAnsi="Segoe UI"/>
          <w:b/>
          <w:color w:val="1C2541"/>
          <w:sz w:val="28"/>
        </w:rPr>
        <w:t>10. Settings (Platform Configuration)</w:t>
      </w:r>
    </w:p>
    <w:p>
      <w:pPr>
        <w:spacing w:after="120" w:line="276" w:lineRule="auto"/>
      </w:pPr>
      <w:r>
        <w:rPr>
          <w:rFonts w:ascii="Segoe UI" w:hAnsi="Segoe UI"/>
          <w:color w:val="334155"/>
          <w:sz w:val="22"/>
        </w:rPr>
        <w:t>Settings governs system configurations, organized across four panels: General Settings (theme toggles, unit scales), Notification Thresholds (minimum proximity alerts), API Configurations (configuring Space-Track account logins and Gemini keys), and Globe Quality Settings (adjusting CesiumJS tile density, orbital path rendering length, and auto-rotation velocities).</w:t>
      </w:r>
    </w:p>
    <w:tbl>
      <w:tblPr>
        <w:tblW w:type="auto" w:w="0"/>
        <w:jc w:val="center"/>
        <w:tblLayout w:type="fixed"/>
        <w:tblLook w:firstColumn="1" w:firstRow="1" w:lastColumn="0" w:lastRow="0" w:noHBand="0" w:noVBand="1" w:val="04A0"/>
      </w:tblPr>
      <w:tblGrid>
        <w:gridCol w:w="9360"/>
      </w:tblGrid>
      <w:tr>
        <w:tc>
          <w:tcPr>
            <w:tcW w:type="dxa" w:w="9360"/>
            <w:shd w:fill="F1F5F9"/>
            <w:tcMar>
              <w:top w:w="140" w:type="dxa"/>
              <w:bottom w:w="140" w:type="dxa"/>
              <w:left w:w="180" w:type="dxa"/>
              <w:right w:w="180" w:type="dxa"/>
            </w:tcMar>
            <w:tcBorders>
              <w:top w:val="none"/>
              <w:left w:val="single" w:sz="24" w:space="0" w:color="00AEEF"/>
              <w:bottom w:val="none"/>
              <w:right w:val="none"/>
            </w:tcBorders>
          </w:tcPr>
          <w:p>
            <w:pPr>
              <w:spacing w:after="0" w:line="276" w:lineRule="auto"/>
            </w:pPr>
            <w:r>
              <w:rPr>
                <w:rFonts w:ascii="Segoe UI" w:hAnsi="Segoe UI"/>
                <w:b/>
                <w:color w:val="00AEEF"/>
                <w:sz w:val="21"/>
              </w:rPr>
              <w:t xml:space="preserve">INACTIVE COMPONENT HANDLING: </w:t>
            </w:r>
            <w:r>
              <w:rPr>
                <w:rFonts w:ascii="Segoe UI" w:hAnsi="Segoe UI"/>
                <w:color w:val="334155"/>
                <w:sz w:val="21"/>
              </w:rPr>
              <w:t>To ensure a seamless user experience during demonstration phases, any buttons linked to inactive or planned features are bound to smart onClick handlers. Clicking these buttons displays a clean alert window (e.g., 'Generate Report will be available soon') instead of failing silently or breaking the layout.</w:t>
            </w:r>
          </w:p>
        </w:tc>
      </w:tr>
    </w:tbl>
    <w:p>
      <w:r>
        <w:br w:type="page"/>
      </w:r>
    </w:p>
    <w:p>
      <w:pPr>
        <w:keepNext/>
        <w:spacing w:before="400" w:after="120"/>
      </w:pPr>
      <w:r>
        <w:rPr>
          <w:rFonts w:ascii="Segoe UI" w:hAnsi="Segoe UI"/>
          <w:b/>
          <w:color w:val="0B132B"/>
          <w:sz w:val="36"/>
        </w:rPr>
        <w:t>5. Backend Services &amp; Data Engineering</w:t>
      </w:r>
    </w:p>
    <w:p>
      <w:pPr>
        <w:spacing w:after="120" w:line="276" w:lineRule="auto"/>
      </w:pPr>
      <w:r>
        <w:rPr>
          <w:rFonts w:ascii="Segoe UI" w:hAnsi="Segoe UI"/>
          <w:color w:val="334155"/>
          <w:sz w:val="22"/>
        </w:rPr>
        <w:t>The FastAPI Python backend acts as the data broker for the KesslerX platform, ensuring information is filtered, cached, and served securely.</w:t>
      </w:r>
    </w:p>
    <w:p>
      <w:pPr>
        <w:keepNext/>
        <w:spacing w:before="280" w:after="80"/>
      </w:pPr>
      <w:r>
        <w:rPr>
          <w:rFonts w:ascii="Segoe UI" w:hAnsi="Segoe UI"/>
          <w:b/>
          <w:color w:val="1C2541"/>
          <w:sz w:val="28"/>
        </w:rPr>
        <w:t>Space-Track client integration (space_track.py)</w:t>
      </w:r>
    </w:p>
    <w:p>
      <w:pPr>
        <w:spacing w:after="120" w:line="276" w:lineRule="auto"/>
      </w:pPr>
      <w:r>
        <w:rPr>
          <w:rFonts w:ascii="Segoe UI" w:hAnsi="Segoe UI"/>
          <w:color w:val="334155"/>
          <w:sz w:val="22"/>
        </w:rPr>
        <w:t>Space-Track.org is the official repository for satellite TLE data. Because Space-Track enforces strict API rate limits (typically 20 requests per minute), direct queries from the client browser would quickly result in IP bans. The `SpaceTrackClient` in `space_track.py` solves this problem by routing all telemetry queries through the backend server using the following strategies:</w:t>
      </w:r>
    </w:p>
    <w:p>
      <w:pPr>
        <w:pStyle w:val="ListBullet"/>
        <w:spacing w:after="60" w:line="276" w:lineRule="auto"/>
      </w:pPr>
      <w:r>
        <w:rPr>
          <w:rFonts w:ascii="Segoe UI" w:hAnsi="Segoe UI"/>
          <w:b/>
          <w:color w:val="334155"/>
          <w:sz w:val="22"/>
        </w:rPr>
        <w:t xml:space="preserve">Authentication: </w:t>
      </w:r>
      <w:r>
        <w:rPr>
          <w:rFonts w:ascii="Segoe UI" w:hAnsi="Segoe UI"/>
          <w:color w:val="334155"/>
          <w:sz w:val="22"/>
        </w:rPr>
        <w:t>Performs secure cookie-based login routines on startup or on cache expiration.</w:t>
      </w:r>
    </w:p>
    <w:p>
      <w:pPr>
        <w:pStyle w:val="ListBullet"/>
        <w:spacing w:after="60" w:line="276" w:lineRule="auto"/>
      </w:pPr>
      <w:r>
        <w:rPr>
          <w:rFonts w:ascii="Segoe UI" w:hAnsi="Segoe UI"/>
          <w:b/>
          <w:color w:val="334155"/>
          <w:sz w:val="22"/>
        </w:rPr>
        <w:t xml:space="preserve">Memory Caching: </w:t>
      </w:r>
      <w:r>
        <w:rPr>
          <w:rFonts w:ascii="Segoe UI" w:hAnsi="Segoe UI"/>
          <w:color w:val="334155"/>
          <w:sz w:val="22"/>
        </w:rPr>
        <w:t>Caches queried JSON datasets in memory for 10 minutes (600s TTL) to prevent redundant queries.</w:t>
      </w:r>
    </w:p>
    <w:p>
      <w:pPr>
        <w:pStyle w:val="ListBullet"/>
        <w:spacing w:after="60" w:line="276" w:lineRule="auto"/>
      </w:pPr>
      <w:r>
        <w:rPr>
          <w:rFonts w:ascii="Segoe UI" w:hAnsi="Segoe UI"/>
          <w:b/>
          <w:color w:val="334155"/>
          <w:sz w:val="22"/>
        </w:rPr>
        <w:t xml:space="preserve">Rate Limiting: </w:t>
      </w:r>
      <w:r>
        <w:rPr>
          <w:rFonts w:ascii="Segoe UI" w:hAnsi="Segoe UI"/>
          <w:color w:val="334155"/>
          <w:sz w:val="22"/>
        </w:rPr>
        <w:t>Employs HTTP status checking and handles 'Retry-After' response headers to pause worker tasks if rate limits are hit.</w:t>
      </w:r>
    </w:p>
    <w:p>
      <w:pPr>
        <w:pStyle w:val="ListBullet"/>
        <w:spacing w:after="60" w:line="276" w:lineRule="auto"/>
      </w:pPr>
      <w:r>
        <w:rPr>
          <w:rFonts w:ascii="Segoe UI" w:hAnsi="Segoe UI"/>
          <w:b/>
          <w:color w:val="334155"/>
          <w:sz w:val="22"/>
        </w:rPr>
        <w:t xml:space="preserve">Object Classification: </w:t>
      </w:r>
      <w:r>
        <w:rPr>
          <w:rFonts w:ascii="Segoe UI" w:hAnsi="Segoe UI"/>
          <w:color w:val="334155"/>
          <w:sz w:val="22"/>
        </w:rPr>
        <w:t>Filters, sorts, and catalogs TLE records, dividing them into clean categories: ISS, Debris, Weather, Military, GPS, Scientific, and Communication.</w:t>
      </w:r>
    </w:p>
    <w:p>
      <w:pPr>
        <w:pStyle w:val="ListBullet"/>
        <w:spacing w:after="60" w:line="276" w:lineRule="auto"/>
      </w:pPr>
      <w:r>
        <w:rPr>
          <w:rFonts w:ascii="Segoe UI" w:hAnsi="Segoe UI"/>
          <w:b/>
          <w:color w:val="334155"/>
          <w:sz w:val="22"/>
        </w:rPr>
        <w:t xml:space="preserve">Mock Failover: </w:t>
      </w:r>
      <w:r>
        <w:rPr>
          <w:rFonts w:ascii="Segoe UI" w:hAnsi="Segoe UI"/>
          <w:color w:val="334155"/>
          <w:sz w:val="22"/>
        </w:rPr>
        <w:t>Maintains a robust local repository of 120+ mock TLE objects. If Space-Track credentials are missing or the service is down, the client seamlessly falls back to local data, allowing offline operation without UI disruption.</w:t>
      </w:r>
    </w:p>
    <w:p>
      <w:pPr>
        <w:keepNext/>
        <w:spacing w:before="280" w:after="80"/>
      </w:pPr>
      <w:r>
        <w:rPr>
          <w:rFonts w:ascii="Segoe UI" w:hAnsi="Segoe UI"/>
          <w:b/>
          <w:color w:val="1C2541"/>
          <w:sz w:val="28"/>
        </w:rPr>
        <w:t>Gemini AI Copilot Wrapper (ai_service.py)</w:t>
      </w:r>
    </w:p>
    <w:p>
      <w:pPr>
        <w:spacing w:after="120" w:line="276" w:lineRule="auto"/>
      </w:pPr>
      <w:r>
        <w:rPr>
          <w:rFonts w:ascii="Segoe UI" w:hAnsi="Segoe UI"/>
          <w:color w:val="334155"/>
          <w:sz w:val="22"/>
        </w:rPr>
        <w:t>The `MockAIService` class (named to avoid breaking existing imports, though it is fully wired to Gemini) acts as the connection point to the official Google Generative AI SDK:</w:t>
      </w:r>
    </w:p>
    <w:p>
      <w:pPr>
        <w:pStyle w:val="ListBullet"/>
        <w:spacing w:after="60" w:line="276" w:lineRule="auto"/>
      </w:pPr>
      <w:r>
        <w:rPr>
          <w:rFonts w:ascii="Segoe UI" w:hAnsi="Segoe UI"/>
          <w:b/>
          <w:color w:val="334155"/>
          <w:sz w:val="22"/>
        </w:rPr>
        <w:t xml:space="preserve">Model Selection: </w:t>
      </w:r>
      <w:r>
        <w:rPr>
          <w:rFonts w:ascii="Segoe UI" w:hAnsi="Segoe UI"/>
          <w:color w:val="334155"/>
          <w:sz w:val="22"/>
        </w:rPr>
        <w:t>Initializes the 'gemini-2.0-flash' model using the developer's GEMINI_API_KEY.</w:t>
      </w:r>
    </w:p>
    <w:p>
      <w:pPr>
        <w:pStyle w:val="ListBullet"/>
        <w:spacing w:after="60" w:line="276" w:lineRule="auto"/>
      </w:pPr>
      <w:r>
        <w:rPr>
          <w:rFonts w:ascii="Segoe UI" w:hAnsi="Segoe UI"/>
          <w:b/>
          <w:color w:val="334155"/>
          <w:sz w:val="22"/>
        </w:rPr>
        <w:t xml:space="preserve">System Prompts: </w:t>
      </w:r>
      <w:r>
        <w:rPr>
          <w:rFonts w:ascii="Segoe UI" w:hAnsi="Segoe UI"/>
          <w:color w:val="334155"/>
          <w:sz w:val="22"/>
        </w:rPr>
        <w:t>Injects a specialized system instruction directing the model to act as the 'Kessler AI Copilot'—concise, professional, and technical.</w:t>
      </w:r>
    </w:p>
    <w:p>
      <w:pPr>
        <w:pStyle w:val="ListBullet"/>
        <w:spacing w:after="60" w:line="276" w:lineRule="auto"/>
      </w:pPr>
      <w:r>
        <w:rPr>
          <w:rFonts w:ascii="Segoe UI" w:hAnsi="Segoe UI"/>
          <w:b/>
          <w:color w:val="334155"/>
          <w:sz w:val="22"/>
        </w:rPr>
        <w:t xml:space="preserve">Context Binding: </w:t>
      </w:r>
      <w:r>
        <w:rPr>
          <w:rFonts w:ascii="Segoe UI" w:hAnsi="Segoe UI"/>
          <w:color w:val="334155"/>
          <w:sz w:val="22"/>
        </w:rPr>
        <w:t>Passes the current satellite selection or orbital context alongside user prompts, enabling the AI to answer queries with precise context.</w:t>
      </w:r>
    </w:p>
    <w:p>
      <w:pPr>
        <w:pStyle w:val="ListBullet"/>
        <w:spacing w:after="60" w:line="276" w:lineRule="auto"/>
      </w:pPr>
      <w:r>
        <w:rPr>
          <w:rFonts w:ascii="Segoe UI" w:hAnsi="Segoe UI"/>
          <w:b/>
          <w:color w:val="334155"/>
          <w:sz w:val="22"/>
        </w:rPr>
        <w:t xml:space="preserve">Offline Fallback: </w:t>
      </w:r>
      <w:r>
        <w:rPr>
          <w:rFonts w:ascii="Segoe UI" w:hAnsi="Segoe UI"/>
          <w:color w:val="334155"/>
          <w:sz w:val="22"/>
        </w:rPr>
        <w:t>Includes a pattern-matching fallback handler that provides simulated, intelligent answers (e.g., about solar drag or conjunction events) if API keys are missing or credentials fail.</w:t>
      </w:r>
    </w:p>
    <w:p>
      <w:pPr>
        <w:keepNext/>
        <w:spacing w:before="280" w:after="80"/>
      </w:pPr>
      <w:r>
        <w:rPr>
          <w:rFonts w:ascii="Segoe UI" w:hAnsi="Segoe UI"/>
          <w:b/>
          <w:color w:val="1C2541"/>
          <w:sz w:val="28"/>
        </w:rPr>
        <w:t>WebSocket Server &amp; Simulation Broadcaster (main.py)</w:t>
      </w:r>
    </w:p>
    <w:p>
      <w:pPr>
        <w:spacing w:after="120" w:line="276" w:lineRule="auto"/>
      </w:pPr>
      <w:r>
        <w:rPr>
          <w:rFonts w:ascii="Segoe UI" w:hAnsi="Segoe UI"/>
          <w:color w:val="334155"/>
          <w:sz w:val="22"/>
        </w:rPr>
        <w:t>The backend server establishes a WebSocket connection registry via the `/ws/alerts` endpoint. A python connection manager handles client registrations. On server startup, an asynchronous event loop starts a background task (`simulate_realtime_updates`) that sleeps for 10 seconds, randomly picks a high-severity alert from a list, converts it to JSON, and broadcasts it to all connected clients. When the client receives the alert, it updates the layout's global warning feed in real-time.</w:t>
      </w:r>
    </w:p>
    <w:p>
      <w:r>
        <w:br w:type="page"/>
      </w:r>
    </w:p>
    <w:p>
      <w:pPr>
        <w:keepNext/>
        <w:spacing w:before="400" w:after="120"/>
      </w:pPr>
      <w:r>
        <w:rPr>
          <w:rFonts w:ascii="Segoe UI" w:hAnsi="Segoe UI"/>
          <w:b/>
          <w:color w:val="0B132B"/>
          <w:sz w:val="36"/>
        </w:rPr>
        <w:t>6. Setup, Configuration &amp; Installation Guide</w:t>
      </w:r>
    </w:p>
    <w:p>
      <w:pPr>
        <w:spacing w:after="120" w:line="276" w:lineRule="auto"/>
      </w:pPr>
      <w:r>
        <w:rPr>
          <w:rFonts w:ascii="Segoe UI" w:hAnsi="Segoe UI"/>
          <w:color w:val="334155"/>
          <w:sz w:val="22"/>
        </w:rPr>
        <w:t>Follow these steps to configure and run KesslerX in a local environment for development or staging.</w:t>
      </w:r>
    </w:p>
    <w:p>
      <w:pPr>
        <w:keepNext/>
        <w:spacing w:before="280" w:after="80"/>
      </w:pPr>
      <w:r>
        <w:rPr>
          <w:rFonts w:ascii="Segoe UI" w:hAnsi="Segoe UI"/>
          <w:b/>
          <w:color w:val="1C2541"/>
          <w:sz w:val="28"/>
        </w:rPr>
        <w:t>Prerequisites</w:t>
      </w:r>
    </w:p>
    <w:p>
      <w:pPr>
        <w:pStyle w:val="ListBullet"/>
        <w:spacing w:after="60" w:line="276" w:lineRule="auto"/>
      </w:pPr>
      <w:r>
        <w:rPr>
          <w:rFonts w:ascii="Segoe UI" w:hAnsi="Segoe UI"/>
          <w:color w:val="334155"/>
          <w:sz w:val="22"/>
        </w:rPr>
        <w:t>Node.js (v18.0.0 or higher) &amp; npm (v9.0.0 or higher)</w:t>
      </w:r>
    </w:p>
    <w:p>
      <w:pPr>
        <w:pStyle w:val="ListBullet"/>
        <w:spacing w:after="60" w:line="276" w:lineRule="auto"/>
      </w:pPr>
      <w:r>
        <w:rPr>
          <w:rFonts w:ascii="Segoe UI" w:hAnsi="Segoe UI"/>
          <w:color w:val="334155"/>
          <w:sz w:val="22"/>
        </w:rPr>
        <w:t>Python (v3.10 or higher) with pip</w:t>
      </w:r>
    </w:p>
    <w:p>
      <w:pPr>
        <w:pStyle w:val="ListBullet"/>
        <w:spacing w:after="60" w:line="276" w:lineRule="auto"/>
      </w:pPr>
      <w:r>
        <w:rPr>
          <w:rFonts w:ascii="Segoe UI" w:hAnsi="Segoe UI"/>
          <w:color w:val="334155"/>
          <w:sz w:val="22"/>
        </w:rPr>
        <w:t>Active Space-Track.org account (Optional, fallback provided)</w:t>
      </w:r>
    </w:p>
    <w:p>
      <w:pPr>
        <w:pStyle w:val="ListBullet"/>
        <w:spacing w:after="60" w:line="276" w:lineRule="auto"/>
      </w:pPr>
      <w:r>
        <w:rPr>
          <w:rFonts w:ascii="Segoe UI" w:hAnsi="Segoe UI"/>
          <w:color w:val="334155"/>
          <w:sz w:val="22"/>
        </w:rPr>
        <w:t>Google Gemini API Key (Optional, fallback provided)</w:t>
      </w:r>
    </w:p>
    <w:p>
      <w:pPr>
        <w:keepNext/>
        <w:spacing w:before="280" w:after="80"/>
      </w:pPr>
      <w:r>
        <w:rPr>
          <w:rFonts w:ascii="Segoe UI" w:hAnsi="Segoe UI"/>
          <w:b/>
          <w:color w:val="1C2541"/>
          <w:sz w:val="28"/>
        </w:rPr>
        <w:t>Environment Variables Configuration</w:t>
      </w:r>
    </w:p>
    <w:p>
      <w:pPr>
        <w:spacing w:after="120" w:line="276" w:lineRule="auto"/>
      </w:pPr>
      <w:r>
        <w:rPr>
          <w:rFonts w:ascii="Segoe UI" w:hAnsi="Segoe UI"/>
          <w:color w:val="334155"/>
          <w:sz w:val="22"/>
        </w:rPr>
        <w:t>Create a file named `.env` in the project root directory. This file stores configuration tokens and API keys:</w:t>
      </w:r>
    </w:p>
    <w:tbl>
      <w:tblPr>
        <w:tblW w:type="auto" w:w="0"/>
        <w:jc w:val="center"/>
        <w:tblLook w:firstColumn="1" w:firstRow="1" w:lastColumn="0" w:lastRow="0" w:noHBand="0" w:noVBand="1" w:val="04A0"/>
        <w:tblBorders>
          <w:top w:val="single" w:sz="4" w:space="0" w:color="CBD5E1"/>
          <w:left w:val="none"/>
          <w:bottom w:val="single" w:sz="6" w:space="0" w:color="CBD5E1"/>
          <w:right w:val="none"/>
          <w:insideH w:val="single" w:sz="4" w:space="0" w:color="CBD5E1"/>
          <w:insideV w:val="none"/>
        </w:tblBorders>
      </w:tblPr>
      <w:tblGrid>
        <w:gridCol w:w="8640"/>
      </w:tblGrid>
      <w:tr>
        <w:tc>
          <w:tcPr>
            <w:tcW w:type="dxa" w:w="9360"/>
            <w:shd w:fill="F1F5F9"/>
            <w:tcMar>
              <w:top w:w="100" w:type="dxa"/>
              <w:bottom w:w="100" w:type="dxa"/>
              <w:left w:w="120" w:type="dxa"/>
              <w:right w:w="120" w:type="dxa"/>
            </w:tcMar>
          </w:tcPr>
          <w:p>
            <w:pPr>
              <w:spacing w:after="0" w:line="276" w:lineRule="auto"/>
            </w:pPr>
            <w:r>
              <w:rPr>
                <w:rFonts w:ascii="Consolas" w:hAnsi="Consolas"/>
                <w:color w:val="1C2541"/>
                <w:sz w:val="19"/>
              </w:rPr>
              <w:t># Cesium Ion Token (Required for high-resolution satellite Earth map rendering)</w:t>
              <w:br/>
              <w:t>VITE_CESIUM_ION_TOKEN=your_cesium_ion_token_here</w:t>
              <w:br/>
              <w:br/>
              <w:t># Space-Track Login (Optional - if blank, local TLE mocks are served)</w:t>
              <w:br/>
              <w:t>SPACE_TRACK_USERNAME=your_username@domain.com</w:t>
              <w:br/>
              <w:t>SPACE_TRACK_PASSWORD=your_space_track_secure_password</w:t>
              <w:br/>
              <w:br/>
              <w:t># Gemini LLM Key (Optional - if blank, offline copilot answers are served)</w:t>
              <w:br/>
              <w:t>GEMINI_API_KEY=your_gemini_api_key_string</w:t>
            </w:r>
          </w:p>
        </w:tc>
      </w:tr>
    </w:tbl>
    <w:p>
      <w:pPr>
        <w:spacing w:after="120" w:line="276" w:lineRule="auto"/>
      </w:pPr>
    </w:p>
    <w:p>
      <w:pPr>
        <w:keepNext/>
        <w:spacing w:before="280" w:after="80"/>
      </w:pPr>
      <w:r>
        <w:rPr>
          <w:rFonts w:ascii="Segoe UI" w:hAnsi="Segoe UI"/>
          <w:b/>
          <w:color w:val="1C2541"/>
          <w:sz w:val="28"/>
        </w:rPr>
        <w:t>Installation &amp; Deployment Steps</w:t>
      </w:r>
    </w:p>
    <w:p>
      <w:pPr>
        <w:keepNext/>
        <w:spacing w:before="200" w:after="40"/>
      </w:pPr>
      <w:r>
        <w:rPr>
          <w:rFonts w:ascii="Segoe UI" w:hAnsi="Segoe UI"/>
          <w:b/>
          <w:color w:val="00AEEF"/>
          <w:sz w:val="24"/>
        </w:rPr>
        <w:t>Step 1: Frontend Installation</w:t>
      </w:r>
    </w:p>
    <w:p>
      <w:pPr>
        <w:spacing w:after="120" w:line="276" w:lineRule="auto"/>
      </w:pPr>
      <w:r>
        <w:rPr>
          <w:rFonts w:ascii="Segoe UI" w:hAnsi="Segoe UI"/>
          <w:color w:val="334155"/>
          <w:sz w:val="22"/>
        </w:rPr>
        <w:t>Navigate to the root directory and install node packages:</w:t>
      </w:r>
    </w:p>
    <w:p>
      <w:pPr>
        <w:ind w:left="360"/>
      </w:pPr>
      <w:r>
        <w:rPr>
          <w:rFonts w:ascii="Consolas" w:hAnsi="Consolas"/>
          <w:color w:val="1C2541"/>
          <w:sz w:val="20"/>
        </w:rPr>
        <w:t>npm install</w:t>
      </w:r>
    </w:p>
    <w:p>
      <w:pPr>
        <w:keepNext/>
        <w:spacing w:before="200" w:after="40"/>
      </w:pPr>
      <w:r>
        <w:rPr>
          <w:rFonts w:ascii="Segoe UI" w:hAnsi="Segoe UI"/>
          <w:b/>
          <w:color w:val="00AEEF"/>
          <w:sz w:val="24"/>
        </w:rPr>
        <w:t>Step 2: Backend Setup &amp; Dependency Installation</w:t>
      </w:r>
    </w:p>
    <w:p>
      <w:pPr>
        <w:spacing w:after="120" w:line="276" w:lineRule="auto"/>
      </w:pPr>
      <w:r>
        <w:rPr>
          <w:rFonts w:ascii="Segoe UI" w:hAnsi="Segoe UI"/>
          <w:color w:val="334155"/>
          <w:sz w:val="22"/>
        </w:rPr>
        <w:t>Navigate to the backend directory, initialize a python virtual environment, and install dependencies:</w:t>
      </w:r>
    </w:p>
    <w:p>
      <w:pPr>
        <w:ind w:left="360"/>
      </w:pPr>
      <w:r>
        <w:rPr>
          <w:rFonts w:ascii="Consolas" w:hAnsi="Consolas"/>
          <w:color w:val="1C2541"/>
          <w:sz w:val="20"/>
        </w:rPr>
        <w:t>cd backend</w:t>
        <w:br/>
        <w:t>python -m venv venv</w:t>
        <w:br/>
        <w:t>.\venv\Scripts\activate      # On macOS/Linux: source venv/bin/activate</w:t>
        <w:br/>
        <w:t>pip install -r requirements.txt</w:t>
      </w:r>
    </w:p>
    <w:p>
      <w:pPr>
        <w:keepNext/>
        <w:spacing w:before="200" w:after="40"/>
      </w:pPr>
      <w:r>
        <w:rPr>
          <w:rFonts w:ascii="Segoe UI" w:hAnsi="Segoe UI"/>
          <w:b/>
          <w:color w:val="00AEEF"/>
          <w:sz w:val="24"/>
        </w:rPr>
        <w:t>Step 3: Running the Application (Development Mode)</w:t>
      </w:r>
    </w:p>
    <w:p>
      <w:pPr>
        <w:spacing w:after="120" w:line="276" w:lineRule="auto"/>
      </w:pPr>
      <w:r>
        <w:rPr>
          <w:rFonts w:ascii="Segoe UI" w:hAnsi="Segoe UI"/>
          <w:color w:val="334155"/>
          <w:sz w:val="22"/>
        </w:rPr>
        <w:t>To run both servers concurrently, execute the following commands in separate terminal sessions:</w:t>
      </w:r>
    </w:p>
    <w:p>
      <w:pPr>
        <w:pStyle w:val="ListBullet"/>
        <w:spacing w:after="60" w:line="276" w:lineRule="auto"/>
      </w:pPr>
      <w:r>
        <w:rPr>
          <w:rFonts w:ascii="Segoe UI" w:hAnsi="Segoe UI"/>
          <w:b/>
          <w:color w:val="334155"/>
          <w:sz w:val="22"/>
        </w:rPr>
        <w:t xml:space="preserve">Run Backend: </w:t>
      </w:r>
      <w:r>
        <w:rPr>
          <w:rFonts w:ascii="Segoe UI" w:hAnsi="Segoe UI"/>
          <w:color w:val="334155"/>
          <w:sz w:val="22"/>
        </w:rPr>
        <w:t>Starts the uvicorn API worker server on http://localhost:8000.</w:t>
      </w:r>
    </w:p>
    <w:p>
      <w:pPr>
        <w:ind w:left="720"/>
      </w:pPr>
      <w:r>
        <w:rPr>
          <w:rFonts w:ascii="Consolas" w:hAnsi="Consolas"/>
          <w:color w:val="1C2541"/>
          <w:sz w:val="20"/>
        </w:rPr>
        <w:t>python main.py</w:t>
      </w:r>
    </w:p>
    <w:p>
      <w:pPr>
        <w:pStyle w:val="ListBullet"/>
        <w:spacing w:after="60" w:line="276" w:lineRule="auto"/>
      </w:pPr>
      <w:r>
        <w:rPr>
          <w:rFonts w:ascii="Segoe UI" w:hAnsi="Segoe UI"/>
          <w:b/>
          <w:color w:val="334155"/>
          <w:sz w:val="22"/>
        </w:rPr>
        <w:t xml:space="preserve">Run Frontend: </w:t>
      </w:r>
      <w:r>
        <w:rPr>
          <w:rFonts w:ascii="Segoe UI" w:hAnsi="Segoe UI"/>
          <w:color w:val="334155"/>
          <w:sz w:val="22"/>
        </w:rPr>
        <w:t>Starts the Vite asset server on http://localhost:3000 (proxies API and WS to port 8000).</w:t>
      </w:r>
    </w:p>
    <w:p>
      <w:pPr>
        <w:ind w:left="720"/>
      </w:pPr>
      <w:r>
        <w:rPr>
          <w:rFonts w:ascii="Consolas" w:hAnsi="Consolas"/>
          <w:color w:val="1C2541"/>
          <w:sz w:val="20"/>
        </w:rPr>
        <w:t>npm run dev</w:t>
      </w:r>
    </w:p>
    <w:p>
      <w:pPr>
        <w:keepNext/>
        <w:spacing w:before="200" w:after="40"/>
      </w:pPr>
      <w:r>
        <w:rPr>
          <w:rFonts w:ascii="Segoe UI" w:hAnsi="Segoe UI"/>
          <w:b/>
          <w:color w:val="00AEEF"/>
          <w:sz w:val="24"/>
        </w:rPr>
        <w:t>Step 4: Executing Tests</w:t>
      </w:r>
    </w:p>
    <w:p>
      <w:pPr>
        <w:spacing w:after="120" w:line="276" w:lineRule="auto"/>
      </w:pPr>
      <w:r>
        <w:rPr>
          <w:rFonts w:ascii="Segoe UI" w:hAnsi="Segoe UI"/>
          <w:color w:val="334155"/>
          <w:sz w:val="22"/>
        </w:rPr>
        <w:t>Both the frontend and backend are equipped with automated test suites to ensure system integrity:</w:t>
      </w:r>
    </w:p>
    <w:p>
      <w:pPr>
        <w:pStyle w:val="ListBullet"/>
        <w:spacing w:after="60" w:line="276" w:lineRule="auto"/>
      </w:pPr>
      <w:r>
        <w:rPr>
          <w:rFonts w:ascii="Segoe UI" w:hAnsi="Segoe UI"/>
          <w:b/>
          <w:color w:val="334155"/>
          <w:sz w:val="22"/>
        </w:rPr>
        <w:t xml:space="preserve">Backend Tests: </w:t>
      </w:r>
      <w:r>
        <w:rPr>
          <w:rFonts w:ascii="Segoe UI" w:hAnsi="Segoe UI"/>
          <w:color w:val="334155"/>
          <w:sz w:val="22"/>
        </w:rPr>
        <w:t>Run `pytest` to validate backend health checking and satellite query endpoints.</w:t>
      </w:r>
    </w:p>
    <w:p>
      <w:pPr>
        <w:pStyle w:val="ListBullet"/>
        <w:spacing w:after="60" w:line="276" w:lineRule="auto"/>
      </w:pPr>
      <w:r>
        <w:rPr>
          <w:rFonts w:ascii="Segoe UI" w:hAnsi="Segoe UI"/>
          <w:b/>
          <w:color w:val="334155"/>
          <w:sz w:val="22"/>
        </w:rPr>
        <w:t xml:space="preserve">Frontend Tests: </w:t>
      </w:r>
      <w:r>
        <w:rPr>
          <w:rFonts w:ascii="Segoe UI" w:hAnsi="Segoe UI"/>
          <w:color w:val="334155"/>
          <w:sz w:val="22"/>
        </w:rPr>
        <w:t>Run `npm run test` (Vitest) to execute frontend component assertion tests.</w:t>
      </w:r>
    </w:p>
    <w:tbl>
      <w:tblPr>
        <w:tblW w:type="auto" w:w="0"/>
        <w:jc w:val="center"/>
        <w:tblLayout w:type="fixed"/>
        <w:tblLook w:firstColumn="1" w:firstRow="1" w:lastColumn="0" w:lastRow="0" w:noHBand="0" w:noVBand="1" w:val="04A0"/>
      </w:tblPr>
      <w:tblGrid>
        <w:gridCol w:w="9360"/>
      </w:tblGrid>
      <w:tr>
        <w:tc>
          <w:tcPr>
            <w:tcW w:type="dxa" w:w="9360"/>
            <w:shd w:fill="F1F5F9"/>
            <w:tcMar>
              <w:top w:w="140" w:type="dxa"/>
              <w:bottom w:w="140" w:type="dxa"/>
              <w:left w:w="180" w:type="dxa"/>
              <w:right w:w="180" w:type="dxa"/>
            </w:tcMar>
            <w:tcBorders>
              <w:top w:val="none"/>
              <w:left w:val="single" w:sz="24" w:space="0" w:color="00AEEF"/>
              <w:bottom w:val="none"/>
              <w:right w:val="none"/>
            </w:tcBorders>
          </w:tcPr>
          <w:p>
            <w:pPr>
              <w:spacing w:after="0" w:line="276" w:lineRule="auto"/>
            </w:pPr>
            <w:r>
              <w:rPr>
                <w:rFonts w:ascii="Segoe UI" w:hAnsi="Segoe UI"/>
                <w:b/>
                <w:color w:val="00AEEF"/>
                <w:sz w:val="21"/>
              </w:rPr>
              <w:t xml:space="preserve">PORT CONFIGURATION WARNING: </w:t>
            </w:r>
            <w:r>
              <w:rPr>
                <w:rFonts w:ascii="Segoe UI" w:hAnsi="Segoe UI"/>
                <w:color w:val="334155"/>
                <w:sz w:val="21"/>
              </w:rPr>
              <w:t>Ensure your ports (3000 and 8000) are free before executing the startup commands. If you change the backend port, remember to update the proxy routing rules located in your vite.config.ts file.</w:t>
            </w:r>
          </w:p>
        </w:tc>
      </w:tr>
    </w:tbl>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