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S.P. College Workflow &amp; Approval System</w:t>
      </w:r>
    </w:p>
    <w:p>
      <w:pPr>
        <w:spacing w:before="0" w:after="240"/>
      </w:pPr>
      <w:r>
        <w:rPr>
          <w:rFonts w:ascii="Arial" w:hAnsi="Arial"/>
          <w:b/>
          <w:color w:val="2563EB"/>
          <w:sz w:val="26"/>
        </w:rPr>
        <w:t>Developer Environment &amp; API Keys Template Guide</w:t>
      </w:r>
    </w:p>
    <w:p>
      <w:pPr>
        <w:spacing w:after="320"/>
      </w:pPr>
      <w:r>
        <w:rPr>
          <w:rFonts w:ascii="Arial" w:hAnsi="Arial"/>
          <w:i/>
          <w:color w:val="475569"/>
          <w:sz w:val="18"/>
        </w:rPr>
        <w:t>Team Template Reference  |  Version 1.0.0  |  Updated: September 2026</w:t>
      </w:r>
    </w:p>
    <w:tbl>
      <w:tblPr>
        <w:tblW w:type="auto" w:w="0"/>
        <w:jc w:val="center"/>
        <w:tblLayout w:type="fixed"/>
        <w:tblLook w:firstColumn="1" w:firstRow="1" w:lastColumn="0" w:lastRow="0" w:noHBand="0" w:noVBand="1" w:val="04A0"/>
      </w:tblPr>
      <w:tblGrid>
        <w:gridCol w:w="9936"/>
      </w:tblGrid>
      <w:tr>
        <w:tc>
          <w:tcPr>
            <w:tcW w:type="dxa" w:w="9360"/>
            <w:shd w:fill="FEF3C7"/>
            <w:tcMar>
              <w:top w:w="140" w:type="dxa"/>
              <w:bottom w:w="140" w:type="dxa"/>
              <w:left w:w="180" w:type="dxa"/>
              <w:right w:w="180" w:type="dxa"/>
            </w:tcMar>
            <w:tcBorders>
              <w:top w:val="none"/>
              <w:left w:val="single" w:sz="24" w:space="0" w:color="F59E0B"/>
              <w:bottom w:val="none"/>
              <w:right w:val="none"/>
            </w:tcBorders>
          </w:tcPr>
          <w:p>
            <w:pPr>
              <w:spacing w:before="40" w:after="40"/>
            </w:pPr>
            <w:r>
              <w:rPr>
                <w:rFonts w:ascii="Arial" w:hAnsi="Arial"/>
                <w:b/>
                <w:color w:val="92400E"/>
                <w:sz w:val="20"/>
              </w:rPr>
              <w:t>IMPORTANT SECURITY NOTICE:</w:t>
              <w:br/>
            </w:r>
            <w:r>
              <w:rPr>
                <w:rFonts w:ascii="Arial" w:hAnsi="Arial"/>
                <w:color w:val="78350F"/>
                <w:sz w:val="19"/>
              </w:rPr>
              <w:t>Never commit .env or .env.local files containing real secrets to GitHub. Use this template to populate your local .env files. Actual passwords and production API keys should be obtained securely from the project lead.</w:t>
            </w:r>
          </w:p>
        </w:tc>
      </w:tr>
    </w:tbl>
    <w:p/>
    <w:p>
      <w:pPr>
        <w:spacing w:before="280" w:after="120"/>
      </w:pPr>
      <w:r>
        <w:rPr>
          <w:rFonts w:ascii="Arial" w:hAnsi="Arial"/>
          <w:b/>
          <w:color w:val="1E3A8A"/>
          <w:sz w:val="28"/>
        </w:rPr>
        <w:t>1. Backend Environment Configuration (server/.env)</w:t>
      </w:r>
    </w:p>
    <w:p>
      <w:pPr>
        <w:spacing w:after="120"/>
      </w:pPr>
      <w:r>
        <w:rPr>
          <w:rFonts w:ascii="Arial" w:hAnsi="Arial"/>
          <w:color w:val="0F172A"/>
          <w:sz w:val="20"/>
        </w:rPr>
        <w:t>Create a file named .env inside the server/ directory with the template below and replace placeholders with your credentials: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6" w:space="0" w:color="CBD5E1"/>
              <w:left w:val="single" w:sz="24" w:space="0" w:color="3B82F6"/>
              <w:bottom w:val="single" w:sz="6" w:space="0" w:color="CBD5E1"/>
              <w:right w:val="single" w:sz="6" w:space="0" w:color="CBD5E1"/>
            </w:tcBorders>
          </w:tcPr>
          <w:p>
            <w:pPr>
              <w:spacing w:before="40" w:after="40" w:line="276" w:lineRule="auto"/>
            </w:pPr>
            <w:r>
              <w:rPr>
                <w:rFonts w:ascii="Consolas" w:hAnsi="Consolas"/>
                <w:color w:val="0F172A"/>
                <w:sz w:val="19"/>
              </w:rPr>
              <w:t>PORT=4000</w:t>
              <w:br/>
              <w:t>DATABASE_URL=postgresql://app_user:&lt;YOUR_DEV_PASSWORD&gt;@localhost:5433/spc_approval</w:t>
              <w:br/>
              <w:t>TEST_ADMIN_URL=postgresql://postgres:&lt;YOUR_ADMIN_PASSWORD&gt;@localhost:5433/postgres</w:t>
              <w:br/>
              <w:br/>
              <w:t>JWT_SECRET=&lt;YOUR_JWT_SECRET_AT_LEAST_32_CHARS&gt;</w:t>
              <w:br/>
              <w:t>JWT_EXPIRES_IN=8h</w:t>
              <w:br/>
              <w:t>SIGNING_SECRET=&lt;YOUR_SIGNING_SECRET_AT_LEAST_32_CHARS&gt;</w:t>
              <w:br/>
              <w:br/>
              <w:t>UPLOAD_DIR=uploads</w:t>
              <w:br/>
              <w:t>MAX_UPLOAD_MB=10</w:t>
              <w:br/>
              <w:t>CORS_ORIGIN=http://localhost:3000</w:t>
              <w:br/>
              <w:br/>
              <w:t># Resend HTTP API (Used on cloud hosts like Render and for local testing)</w:t>
              <w:br/>
              <w:t>RESEND_API_KEY=&lt;YOUR_RESEND_API_KEY&gt;</w:t>
              <w:br/>
              <w:t>RESEND_FROM="SP College Workflow &lt;onboarding@resend.dev&gt;"</w:t>
              <w:br/>
              <w:br/>
              <w:t># SMTP Fallback Transport (Gmail SMTP)</w:t>
              <w:br/>
              <w:t>SMTP_HOST=smtp.gmail.com</w:t>
              <w:br/>
              <w:t>SMTP_PORT=465</w:t>
              <w:br/>
              <w:t>SMTP_SECURE=true</w:t>
              <w:br/>
              <w:t>SMTP_USER=&lt;YOUR_GMAIL_ADDRESS&gt;</w:t>
              <w:br/>
              <w:t>SMTP_PASS=&lt;YOUR_16_CHAR_GOOGLE_APP_PASSWORD&gt;</w:t>
              <w:br/>
              <w:t>SMTP_FROM="SP College Workflow &lt;&lt;YOUR_GMAIL_ADDRESS&gt;&gt;"</w:t>
              <w:br/>
              <w:br/>
              <w:t># Notification recipient for issue alerts</w:t>
              <w:br/>
              <w:t>PRINCIPAL_EMAIL=protonedge01@gmail.com</w:t>
            </w:r>
          </w:p>
        </w:tc>
      </w:tr>
    </w:tbl>
    <w:p/>
    <w:p>
      <w:pPr>
        <w:spacing w:before="280" w:after="120"/>
      </w:pPr>
      <w:r>
        <w:rPr>
          <w:rFonts w:ascii="Arial" w:hAnsi="Arial"/>
          <w:b/>
          <w:color w:val="1E3A8A"/>
          <w:sz w:val="28"/>
        </w:rPr>
        <w:t>2. Neon Cloud Database Configuration (.env.local)</w:t>
      </w:r>
    </w:p>
    <w:p>
      <w:pPr>
        <w:spacing w:after="120"/>
      </w:pPr>
      <w:r>
        <w:rPr>
          <w:rFonts w:ascii="Arial" w:hAnsi="Arial"/>
          <w:color w:val="0F172A"/>
          <w:sz w:val="20"/>
        </w:rPr>
        <w:t>If connecting to the Neon hosted PostgreSQL instance, create .env.local at the project root:</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6" w:space="0" w:color="CBD5E1"/>
              <w:left w:val="single" w:sz="24" w:space="0" w:color="3B82F6"/>
              <w:bottom w:val="single" w:sz="6" w:space="0" w:color="CBD5E1"/>
              <w:right w:val="single" w:sz="6" w:space="0" w:color="CBD5E1"/>
            </w:tcBorders>
          </w:tcPr>
          <w:p>
            <w:pPr>
              <w:spacing w:before="40" w:after="40" w:line="276" w:lineRule="auto"/>
            </w:pPr>
            <w:r>
              <w:rPr>
                <w:rFonts w:ascii="Consolas" w:hAnsi="Consolas"/>
                <w:color w:val="0F172A"/>
                <w:sz w:val="19"/>
              </w:rPr>
              <w:t>DATABASE_URL="postgresql://neondb_owner:&lt;YOUR_NEON_PASSWORD&gt;@ep-soft-wildflower-b5ki73zr-pooler.c-7.us-east-2.aws.neon.tech/neondb?channel_binding=require&amp;sslmode=require"</w:t>
              <w:br/>
              <w:t>DATABASE_URL_UNPOOLED="postgresql://neondb_owner:&lt;YOUR_NEON_PASSWORD&gt;@ep-soft-wildflower-b5ki73zr.c-7.us-east-2.aws.neon.tech/neondb?channel_binding=require&amp;sslmode=require"</w:t>
              <w:br/>
              <w:t>NEON_BRANCH=production</w:t>
            </w:r>
          </w:p>
        </w:tc>
      </w:tr>
    </w:tbl>
    <w:p/>
    <w:p>
      <w:pPr>
        <w:spacing w:before="280" w:after="120"/>
      </w:pPr>
      <w:r>
        <w:rPr>
          <w:rFonts w:ascii="Arial" w:hAnsi="Arial"/>
          <w:b/>
          <w:color w:val="1E3A8A"/>
          <w:sz w:val="28"/>
        </w:rPr>
        <w:t>3. Environment Variables Reference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00" w:type="dxa"/>
              <w:bottom w:w="100" w:type="dxa"/>
              <w:left w:w="140" w:type="dxa"/>
              <w:right w:w="140" w:type="dxa"/>
            </w:tcMar>
          </w:tcPr>
          <w:p>
            <w:r>
              <w:rPr>
                <w:rFonts w:ascii="Arial" w:hAnsi="Arial"/>
                <w:b/>
                <w:color w:val="FFFFFF"/>
                <w:sz w:val="19"/>
              </w:rPr>
              <w:t>Variable</w:t>
            </w:r>
          </w:p>
        </w:tc>
        <w:tc>
          <w:tcPr>
            <w:tcW w:type="dxa" w:w="3168"/>
            <w:shd w:fill="1E3A8A"/>
            <w:tcMar>
              <w:top w:w="100" w:type="dxa"/>
              <w:bottom w:w="100" w:type="dxa"/>
              <w:left w:w="140" w:type="dxa"/>
              <w:right w:w="140" w:type="dxa"/>
            </w:tcMar>
          </w:tcPr>
          <w:p>
            <w:r>
              <w:rPr>
                <w:rFonts w:ascii="Arial" w:hAnsi="Arial"/>
                <w:b/>
                <w:color w:val="FFFFFF"/>
                <w:sz w:val="19"/>
              </w:rPr>
              <w:t>Purpose</w:t>
            </w:r>
          </w:p>
        </w:tc>
        <w:tc>
          <w:tcPr>
            <w:tcW w:type="dxa" w:w="3600"/>
            <w:shd w:fill="1E3A8A"/>
            <w:tcMar>
              <w:top w:w="100" w:type="dxa"/>
              <w:bottom w:w="100" w:type="dxa"/>
              <w:left w:w="140" w:type="dxa"/>
              <w:right w:w="140" w:type="dxa"/>
            </w:tcMar>
          </w:tcPr>
          <w:p>
            <w:r>
              <w:rPr>
                <w:rFonts w:ascii="Arial" w:hAnsi="Arial"/>
                <w:b/>
                <w:color w:val="FFFFFF"/>
                <w:sz w:val="19"/>
              </w:rPr>
              <w:t>Notes / Constraints</w:t>
            </w:r>
          </w:p>
        </w:tc>
      </w:tr>
      <w:tr>
        <w:tc>
          <w:tcPr>
            <w:tcW w:type="dxa" w:w="2592"/>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Consolas" w:hAnsi="Consolas"/>
                <w:color w:val="0F172A"/>
                <w:sz w:val="17"/>
              </w:rPr>
              <w:t>RESEND_API_KEY</w:t>
            </w:r>
          </w:p>
        </w:tc>
        <w:tc>
          <w:tcPr>
            <w:tcW w:type="dxa" w:w="3168"/>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HTTPS API key for Resend email delivery</w:t>
            </w:r>
          </w:p>
        </w:tc>
        <w:tc>
          <w:tcPr>
            <w:tcW w:type="dxa" w:w="3600"/>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Required on cloud hosts (like Render) that block outbound SMTP ports 465/587.</w:t>
            </w:r>
          </w:p>
        </w:tc>
      </w:tr>
      <w:tr>
        <w:tc>
          <w:tcPr>
            <w:tcW w:type="dxa" w:w="2592"/>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Consolas" w:hAnsi="Consolas"/>
                <w:color w:val="0F172A"/>
                <w:sz w:val="17"/>
              </w:rPr>
              <w:t>PRINCIPAL_EMAIL</w:t>
            </w:r>
          </w:p>
        </w:tc>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Target address for issue notifications</w:t>
            </w:r>
          </w:p>
        </w:tc>
        <w:tc>
          <w:tcPr>
            <w:tcW w:type="dxa" w:w="3600"/>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Must match the registered account email (protonedge01@gmail.com) when using the free onboarding@resend.dev domain.</w:t>
            </w:r>
          </w:p>
        </w:tc>
      </w:tr>
      <w:tr>
        <w:tc>
          <w:tcPr>
            <w:tcW w:type="dxa" w:w="2592"/>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Consolas" w:hAnsi="Consolas"/>
                <w:color w:val="0F172A"/>
                <w:sz w:val="17"/>
              </w:rPr>
              <w:t>SMTP_USER &amp; PASS</w:t>
            </w:r>
          </w:p>
        </w:tc>
        <w:tc>
          <w:tcPr>
            <w:tcW w:type="dxa" w:w="3168"/>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Gmail address and 16-character App Password</w:t>
            </w:r>
          </w:p>
        </w:tc>
        <w:tc>
          <w:tcPr>
            <w:tcW w:type="dxa" w:w="3600"/>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Fallback transport when running locally. Generate an App Password in Google Account settings.</w:t>
            </w:r>
          </w:p>
        </w:tc>
      </w:tr>
      <w:tr>
        <w:tc>
          <w:tcPr>
            <w:tcW w:type="dxa" w:w="2592"/>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Consolas" w:hAnsi="Consolas"/>
                <w:color w:val="0F172A"/>
                <w:sz w:val="17"/>
              </w:rPr>
              <w:t>DATABASE_URL</w:t>
            </w:r>
          </w:p>
        </w:tc>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PostgreSQL database connection string</w:t>
            </w:r>
          </w:p>
        </w:tc>
        <w:tc>
          <w:tcPr>
            <w:tcW w:type="dxa" w:w="3600"/>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Must connect as app_user (RLS enforced). The API refuses to start as postgres superuser.</w:t>
            </w:r>
          </w:p>
        </w:tc>
      </w:tr>
      <w:tr>
        <w:tc>
          <w:tcPr>
            <w:tcW w:type="dxa" w:w="2592"/>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Consolas" w:hAnsi="Consolas"/>
                <w:color w:val="0F172A"/>
                <w:sz w:val="17"/>
              </w:rPr>
              <w:t>JWT_SECRET</w:t>
            </w:r>
          </w:p>
        </w:tc>
        <w:tc>
          <w:tcPr>
            <w:tcW w:type="dxa" w:w="3168"/>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Session token signing and verification secret</w:t>
            </w:r>
          </w:p>
        </w:tc>
        <w:tc>
          <w:tcPr>
            <w:tcW w:type="dxa" w:w="3600"/>
            <w:shd w:fill="FFFFFF"/>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At least 32 characters. Used to issue and verify authentication tokens.</w:t>
            </w:r>
          </w:p>
        </w:tc>
      </w:tr>
      <w:tr>
        <w:tc>
          <w:tcPr>
            <w:tcW w:type="dxa" w:w="2592"/>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Consolas" w:hAnsi="Consolas"/>
                <w:color w:val="0F172A"/>
                <w:sz w:val="17"/>
              </w:rPr>
              <w:t>SIGNING_SECRET</w:t>
            </w:r>
          </w:p>
        </w:tc>
        <w:tc>
          <w:tcPr>
            <w:tcW w:type="dxa" w:w="3168"/>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HMAC key used to seal approved requests</w:t>
            </w:r>
          </w:p>
        </w:tc>
        <w:tc>
          <w:tcPr>
            <w:tcW w:type="dxa" w:w="3600"/>
            <w:shd w:fill="F8FAFC"/>
            <w:tcMar>
              <w:top w:w="80" w:type="dxa"/>
              <w:bottom w:w="8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0F172A"/>
                <w:sz w:val="18"/>
              </w:rPr>
              <w:t>Changing this causes existing approval seals in the database to report MISMATCH.</w:t>
            </w:r>
          </w:p>
        </w:tc>
      </w:tr>
    </w:tbl>
    <w:p/>
    <w:p>
      <w:pPr>
        <w:spacing w:before="280" w:after="120"/>
      </w:pPr>
      <w:r>
        <w:rPr>
          <w:rFonts w:ascii="Arial" w:hAnsi="Arial"/>
          <w:b/>
          <w:color w:val="1E3A8A"/>
          <w:sz w:val="28"/>
        </w:rPr>
        <w:t>4. Step-by-Step Developer Onboarding Workflow</w:t>
      </w:r>
    </w:p>
    <w:p>
      <w:pPr>
        <w:spacing w:before="120" w:after="40"/>
      </w:pPr>
      <w:r>
        <w:rPr>
          <w:rFonts w:ascii="Arial" w:hAnsi="Arial"/>
          <w:b/>
          <w:color w:val="2563EB"/>
          <w:sz w:val="22"/>
        </w:rPr>
        <w:t>Step 1: Clone and Checkout</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6" w:space="0" w:color="CBD5E1"/>
              <w:left w:val="single" w:sz="24" w:space="0" w:color="3B82F6"/>
              <w:bottom w:val="single" w:sz="6" w:space="0" w:color="CBD5E1"/>
              <w:right w:val="single" w:sz="6" w:space="0" w:color="CBD5E1"/>
            </w:tcBorders>
          </w:tcPr>
          <w:p>
            <w:pPr>
              <w:spacing w:before="40" w:after="40" w:line="276" w:lineRule="auto"/>
            </w:pPr>
            <w:r>
              <w:rPr>
                <w:rFonts w:ascii="Consolas" w:hAnsi="Consolas"/>
                <w:color w:val="0F172A"/>
                <w:sz w:val="19"/>
              </w:rPr>
              <w:t>git clone https://github.com/Anish1302D/sp-college-approval-hub.git</w:t>
              <w:br/>
              <w:t>cd sp-college-approval-hub</w:t>
              <w:br/>
              <w:t>git checkout main</w:t>
            </w:r>
          </w:p>
        </w:tc>
      </w:tr>
    </w:tbl>
    <w:p/>
    <w:p>
      <w:pPr>
        <w:spacing w:before="120" w:after="40"/>
      </w:pPr>
      <w:r>
        <w:rPr>
          <w:rFonts w:ascii="Arial" w:hAnsi="Arial"/>
          <w:b/>
          <w:color w:val="2563EB"/>
          <w:sz w:val="22"/>
        </w:rPr>
        <w:t>Step 2: Create Environment Files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6" w:space="0" w:color="CBD5E1"/>
              <w:left w:val="single" w:sz="24" w:space="0" w:color="3B82F6"/>
              <w:bottom w:val="single" w:sz="6" w:space="0" w:color="CBD5E1"/>
              <w:right w:val="single" w:sz="6" w:space="0" w:color="CBD5E1"/>
            </w:tcBorders>
          </w:tcPr>
          <w:p>
            <w:pPr>
              <w:spacing w:before="40" w:after="40" w:line="276" w:lineRule="auto"/>
            </w:pPr>
            <w:r>
              <w:rPr>
                <w:rFonts w:ascii="Consolas" w:hAnsi="Consolas"/>
                <w:color w:val="0F172A"/>
                <w:sz w:val="19"/>
              </w:rPr>
              <w:t>Create server/.env using the configuration template in Section 1.</w:t>
              <w:br/>
              <w:t>(Optional) Create .env.local at project root using Section 2 if using Neon DB.</w:t>
            </w:r>
          </w:p>
        </w:tc>
      </w:tr>
    </w:tbl>
    <w:p/>
    <w:p>
      <w:pPr>
        <w:spacing w:before="120" w:after="40"/>
      </w:pPr>
      <w:r>
        <w:rPr>
          <w:rFonts w:ascii="Arial" w:hAnsi="Arial"/>
          <w:b/>
          <w:color w:val="2563EB"/>
          <w:sz w:val="22"/>
        </w:rPr>
        <w:t>Step 3: Install All Dependencies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6" w:space="0" w:color="CBD5E1"/>
              <w:left w:val="single" w:sz="24" w:space="0" w:color="3B82F6"/>
              <w:bottom w:val="single" w:sz="6" w:space="0" w:color="CBD5E1"/>
              <w:right w:val="single" w:sz="6" w:space="0" w:color="CBD5E1"/>
            </w:tcBorders>
          </w:tcPr>
          <w:p>
            <w:pPr>
              <w:spacing w:before="40" w:after="40" w:line="276" w:lineRule="auto"/>
            </w:pPr>
            <w:r>
              <w:rPr>
                <w:rFonts w:ascii="Consolas" w:hAnsi="Consolas"/>
                <w:color w:val="0F172A"/>
                <w:sz w:val="19"/>
              </w:rPr>
              <w:t>npm install            # Install frontend dependencies</w:t>
              <w:br/>
              <w:t>cd server</w:t>
              <w:br/>
              <w:t>npm install            # Install backend dependencies</w:t>
              <w:br/>
              <w:t>cd ..</w:t>
            </w:r>
          </w:p>
        </w:tc>
      </w:tr>
    </w:tbl>
    <w:p/>
    <w:p>
      <w:pPr>
        <w:spacing w:before="120" w:after="40"/>
      </w:pPr>
      <w:r>
        <w:rPr>
          <w:rFonts w:ascii="Arial" w:hAnsi="Arial"/>
          <w:b/>
          <w:color w:val="2563EB"/>
          <w:sz w:val="22"/>
        </w:rPr>
        <w:t>Step 4: Launch Development Servers</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6" w:space="0" w:color="CBD5E1"/>
              <w:left w:val="single" w:sz="24" w:space="0" w:color="3B82F6"/>
              <w:bottom w:val="single" w:sz="6" w:space="0" w:color="CBD5E1"/>
              <w:right w:val="single" w:sz="6" w:space="0" w:color="CBD5E1"/>
            </w:tcBorders>
          </w:tcPr>
          <w:p>
            <w:pPr>
              <w:spacing w:before="40" w:after="40" w:line="276" w:lineRule="auto"/>
            </w:pPr>
            <w:r>
              <w:rPr>
                <w:rFonts w:ascii="Consolas" w:hAnsi="Consolas"/>
                <w:color w:val="0F172A"/>
                <w:sz w:val="19"/>
              </w:rPr>
              <w:t># In Terminal 1 (Backend):</w:t>
              <w:br/>
              <w:t>cd server &amp;&amp; npm run dev</w:t>
              <w:br/>
              <w:br/>
              <w:t># In Terminal 2 (Frontend):</w:t>
              <w:br/>
              <w:t>npm run dev</w:t>
            </w:r>
          </w:p>
        </w:tc>
      </w:tr>
    </w:tbl>
    <w:p/>
    <w:p>
      <w:pPr>
        <w:spacing w:before="120" w:after="40"/>
      </w:pPr>
      <w:r>
        <w:rPr>
          <w:rFonts w:ascii="Arial" w:hAnsi="Arial"/>
          <w:b/>
          <w:color w:val="2563EB"/>
          <w:sz w:val="22"/>
        </w:rPr>
        <w:t>Step 5: Verify Email Flow</w:t>
      </w:r>
    </w:p>
    <w:tbl>
      <w:tblPr>
        <w:tblW w:type="auto" w:w="0"/>
        <w:jc w:val="center"/>
        <w:tblLayout w:type="fixed"/>
        <w:tblLook w:firstColumn="1" w:firstRow="1" w:lastColumn="0" w:lastRow="0" w:noHBand="0" w:noVBand="1" w:val="04A0"/>
      </w:tblPr>
      <w:tblGrid>
        <w:gridCol w:w="9936"/>
      </w:tblGrid>
      <w:tr>
        <w:tc>
          <w:tcPr>
            <w:tcW w:type="dxa" w:w="9360"/>
            <w:shd w:fill="F1F5F9"/>
            <w:tcMar>
              <w:top w:w="140" w:type="dxa"/>
              <w:bottom w:w="140" w:type="dxa"/>
              <w:left w:w="200" w:type="dxa"/>
              <w:right w:w="200" w:type="dxa"/>
            </w:tcMar>
            <w:tcBorders>
              <w:top w:val="single" w:sz="6" w:space="0" w:color="CBD5E1"/>
              <w:left w:val="single" w:sz="24" w:space="0" w:color="3B82F6"/>
              <w:bottom w:val="single" w:sz="6" w:space="0" w:color="CBD5E1"/>
              <w:right w:val="single" w:sz="6" w:space="0" w:color="CBD5E1"/>
            </w:tcBorders>
          </w:tcPr>
          <w:p>
            <w:pPr>
              <w:spacing w:before="40" w:after="40" w:line="276" w:lineRule="auto"/>
            </w:pPr>
            <w:r>
              <w:rPr>
                <w:rFonts w:ascii="Consolas" w:hAnsi="Consolas"/>
                <w:color w:val="0F172A"/>
                <w:sz w:val="19"/>
              </w:rPr>
              <w:t>Sign in as faculty (e.g., madhuri.mam@spcollege.edu.in) -&gt; Create a new issue -&gt; The system will automatically send a notification email to the configured principal email.</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