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B7349" w:rsidRDefault="006B7349" w:rsidP="006B7349">
      <w:pPr>
        <w:jc w:val="both"/>
        <w:rPr>
          <w:rFonts w:ascii="Times New Roman" w:hAnsi="Times New Roman" w:cs="Times New Roman"/>
          <w:b/>
          <w:bCs/>
          <w:sz w:val="36"/>
          <w:szCs w:val="36"/>
        </w:rPr>
      </w:pPr>
    </w:p>
    <w:p w:rsidR="006B7349" w:rsidRPr="006B7349" w:rsidRDefault="006B7349" w:rsidP="006B7349">
      <w:pPr>
        <w:jc w:val="both"/>
        <w:rPr>
          <w:rFonts w:ascii="Times New Roman" w:hAnsi="Times New Roman" w:cs="Times New Roman"/>
          <w:b/>
          <w:bCs/>
          <w:sz w:val="36"/>
          <w:szCs w:val="36"/>
        </w:rPr>
      </w:pPr>
      <w:r w:rsidRPr="006B7349">
        <w:rPr>
          <w:rFonts w:ascii="Times New Roman" w:hAnsi="Times New Roman" w:cs="Times New Roman"/>
          <w:b/>
          <w:bCs/>
          <w:sz w:val="36"/>
          <w:szCs w:val="36"/>
        </w:rPr>
        <w:t>Introduction</w:t>
      </w:r>
    </w:p>
    <w:p w:rsidR="006B7349" w:rsidRDefault="006B7349" w:rsidP="006B7349">
      <w:pPr>
        <w:jc w:val="both"/>
        <w:rPr>
          <w:rFonts w:ascii="Times New Roman" w:hAnsi="Times New Roman" w:cs="Times New Roman"/>
          <w:sz w:val="28"/>
          <w:szCs w:val="28"/>
        </w:rPr>
      </w:pPr>
      <w:r w:rsidRPr="006B7349">
        <w:rPr>
          <w:rFonts w:ascii="Times New Roman" w:hAnsi="Times New Roman" w:cs="Times New Roman"/>
          <w:sz w:val="28"/>
          <w:szCs w:val="28"/>
        </w:rPr>
        <w:t xml:space="preserve">On June 20, 2024, the Department of Computer Science and Engineering (CSE) at Acharya Institute of Technology organized a seminar on CAT, GMAT, GRE, and other competitive exam preparedness. This seminar, conducted in collaboration with the CSE department forum </w:t>
      </w:r>
      <w:r w:rsidRPr="006B7349">
        <w:rPr>
          <w:rFonts w:ascii="Times New Roman" w:hAnsi="Times New Roman" w:cs="Times New Roman"/>
          <w:sz w:val="28"/>
          <w:szCs w:val="28"/>
          <w:highlight w:val="yellow"/>
        </w:rPr>
        <w:t>LAKSHYA and Global Reach Academy</w:t>
      </w:r>
      <w:r w:rsidR="00152EE8">
        <w:rPr>
          <w:rFonts w:ascii="Times New Roman" w:hAnsi="Times New Roman" w:cs="Times New Roman"/>
          <w:sz w:val="28"/>
          <w:szCs w:val="28"/>
          <w:highlight w:val="yellow"/>
        </w:rPr>
        <w:t xml:space="preserve"> </w:t>
      </w:r>
      <w:r w:rsidRPr="006B7349">
        <w:rPr>
          <w:rFonts w:ascii="Times New Roman" w:hAnsi="Times New Roman" w:cs="Times New Roman"/>
          <w:sz w:val="28"/>
          <w:szCs w:val="28"/>
          <w:highlight w:val="yellow"/>
        </w:rPr>
        <w:t>(Mam Can You Change This)</w:t>
      </w:r>
      <w:r w:rsidRPr="006B7349">
        <w:rPr>
          <w:rFonts w:ascii="Times New Roman" w:hAnsi="Times New Roman" w:cs="Times New Roman"/>
          <w:sz w:val="28"/>
          <w:szCs w:val="28"/>
          <w:highlight w:val="yellow"/>
        </w:rPr>
        <w:t>,</w:t>
      </w:r>
      <w:r w:rsidRPr="006B7349">
        <w:rPr>
          <w:rFonts w:ascii="Times New Roman" w:hAnsi="Times New Roman" w:cs="Times New Roman"/>
          <w:sz w:val="28"/>
          <w:szCs w:val="28"/>
        </w:rPr>
        <w:t xml:space="preserve"> aimed to equip pre-final year students with the necessary tools and knowledge for excelling in competitive exams. The event took place in the Main Auditorium</w:t>
      </w:r>
      <w:r w:rsidR="00152EE8">
        <w:rPr>
          <w:rFonts w:ascii="Times New Roman" w:hAnsi="Times New Roman" w:cs="Times New Roman"/>
          <w:sz w:val="28"/>
          <w:szCs w:val="28"/>
        </w:rPr>
        <w:t xml:space="preserve"> of ANA Block</w:t>
      </w:r>
      <w:r w:rsidRPr="006B7349">
        <w:rPr>
          <w:rFonts w:ascii="Times New Roman" w:hAnsi="Times New Roman" w:cs="Times New Roman"/>
          <w:sz w:val="28"/>
          <w:szCs w:val="28"/>
        </w:rPr>
        <w:t xml:space="preserve"> from 1:45 pm to 4:30 pm.</w:t>
      </w:r>
    </w:p>
    <w:p w:rsidR="006B7349" w:rsidRDefault="006B7349" w:rsidP="006B7349">
      <w:pPr>
        <w:jc w:val="both"/>
        <w:rPr>
          <w:rFonts w:ascii="Times New Roman" w:hAnsi="Times New Roman" w:cs="Times New Roman"/>
          <w:sz w:val="28"/>
          <w:szCs w:val="28"/>
        </w:rPr>
      </w:pPr>
    </w:p>
    <w:p w:rsidR="006B7349" w:rsidRDefault="006B7349" w:rsidP="006B7349">
      <w:pPr>
        <w:ind w:left="1440" w:firstLine="720"/>
        <w:jc w:val="both"/>
        <w:rPr>
          <w:rFonts w:ascii="Times New Roman" w:hAnsi="Times New Roman" w:cs="Times New Roman"/>
          <w:sz w:val="44"/>
          <w:szCs w:val="44"/>
        </w:rPr>
      </w:pPr>
      <w:r>
        <w:rPr>
          <w:rFonts w:ascii="Times New Roman" w:hAnsi="Times New Roman" w:cs="Times New Roman"/>
          <w:noProof/>
          <w:sz w:val="44"/>
          <w:szCs w:val="44"/>
        </w:rPr>
        <w:drawing>
          <wp:inline distT="0" distB="0" distL="0" distR="0">
            <wp:extent cx="3467100" cy="2600506"/>
            <wp:effectExtent l="0" t="0" r="0" b="9525"/>
            <wp:docPr id="1310344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344518" name="Picture 13103445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71337" cy="2603684"/>
                    </a:xfrm>
                    <a:prstGeom prst="rect">
                      <a:avLst/>
                    </a:prstGeom>
                  </pic:spPr>
                </pic:pic>
              </a:graphicData>
            </a:graphic>
          </wp:inline>
        </w:drawing>
      </w:r>
    </w:p>
    <w:p w:rsidR="006B7349" w:rsidRPr="006B7349" w:rsidRDefault="006B7349" w:rsidP="006B7349">
      <w:pPr>
        <w:ind w:left="1440" w:firstLine="720"/>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Fig 1:</w:t>
      </w:r>
      <w:r w:rsidR="00152EE8">
        <w:rPr>
          <w:rFonts w:ascii="Times New Roman" w:hAnsi="Times New Roman" w:cs="Times New Roman"/>
          <w:b/>
          <w:bCs/>
          <w:sz w:val="24"/>
          <w:szCs w:val="24"/>
        </w:rPr>
        <w:t xml:space="preserve"> </w:t>
      </w:r>
      <w:r>
        <w:rPr>
          <w:rFonts w:ascii="Times New Roman" w:hAnsi="Times New Roman" w:cs="Times New Roman"/>
          <w:b/>
          <w:bCs/>
          <w:sz w:val="24"/>
          <w:szCs w:val="24"/>
        </w:rPr>
        <w:t xml:space="preserve">- Seminar </w:t>
      </w:r>
    </w:p>
    <w:p w:rsidR="006B7349" w:rsidRPr="006B7349" w:rsidRDefault="006B7349" w:rsidP="006B7349">
      <w:pPr>
        <w:jc w:val="both"/>
        <w:rPr>
          <w:rFonts w:ascii="Times New Roman" w:hAnsi="Times New Roman" w:cs="Times New Roman"/>
          <w:b/>
          <w:bCs/>
          <w:sz w:val="36"/>
          <w:szCs w:val="36"/>
        </w:rPr>
      </w:pPr>
      <w:r w:rsidRPr="006B7349">
        <w:rPr>
          <w:rFonts w:ascii="Times New Roman" w:hAnsi="Times New Roman" w:cs="Times New Roman"/>
          <w:b/>
          <w:bCs/>
          <w:sz w:val="36"/>
          <w:szCs w:val="36"/>
        </w:rPr>
        <w:t>Objectives</w:t>
      </w:r>
    </w:p>
    <w:p w:rsidR="006B7349" w:rsidRPr="006B7349" w:rsidRDefault="006B7349" w:rsidP="006B7349">
      <w:pPr>
        <w:jc w:val="both"/>
        <w:rPr>
          <w:rFonts w:ascii="Times New Roman" w:hAnsi="Times New Roman" w:cs="Times New Roman"/>
          <w:sz w:val="28"/>
          <w:szCs w:val="28"/>
        </w:rPr>
      </w:pPr>
      <w:r w:rsidRPr="006B7349">
        <w:rPr>
          <w:rFonts w:ascii="Times New Roman" w:hAnsi="Times New Roman" w:cs="Times New Roman"/>
          <w:sz w:val="28"/>
          <w:szCs w:val="28"/>
        </w:rPr>
        <w:t>The primary objectives of the seminar were:</w:t>
      </w:r>
    </w:p>
    <w:p w:rsidR="006B7349" w:rsidRPr="006B7349" w:rsidRDefault="006B7349" w:rsidP="006B7349">
      <w:pPr>
        <w:numPr>
          <w:ilvl w:val="0"/>
          <w:numId w:val="3"/>
        </w:numPr>
        <w:jc w:val="both"/>
        <w:rPr>
          <w:rFonts w:ascii="Times New Roman" w:hAnsi="Times New Roman" w:cs="Times New Roman"/>
          <w:sz w:val="28"/>
          <w:szCs w:val="28"/>
        </w:rPr>
      </w:pPr>
      <w:r w:rsidRPr="006B7349">
        <w:rPr>
          <w:rFonts w:ascii="Times New Roman" w:hAnsi="Times New Roman" w:cs="Times New Roman"/>
          <w:sz w:val="28"/>
          <w:szCs w:val="28"/>
        </w:rPr>
        <w:t>To highlight the significance of aptitude tests.</w:t>
      </w:r>
    </w:p>
    <w:p w:rsidR="006B7349" w:rsidRPr="006B7349" w:rsidRDefault="006B7349" w:rsidP="006B7349">
      <w:pPr>
        <w:numPr>
          <w:ilvl w:val="0"/>
          <w:numId w:val="3"/>
        </w:numPr>
        <w:jc w:val="both"/>
        <w:rPr>
          <w:rFonts w:ascii="Times New Roman" w:hAnsi="Times New Roman" w:cs="Times New Roman"/>
          <w:sz w:val="28"/>
          <w:szCs w:val="28"/>
        </w:rPr>
      </w:pPr>
      <w:r w:rsidRPr="006B7349">
        <w:rPr>
          <w:rFonts w:ascii="Times New Roman" w:hAnsi="Times New Roman" w:cs="Times New Roman"/>
          <w:sz w:val="28"/>
          <w:szCs w:val="28"/>
        </w:rPr>
        <w:t>To provide information on national-level management examinations.</w:t>
      </w:r>
    </w:p>
    <w:p w:rsidR="006B7349" w:rsidRPr="006B7349" w:rsidRDefault="006B7349" w:rsidP="006B7349">
      <w:pPr>
        <w:numPr>
          <w:ilvl w:val="0"/>
          <w:numId w:val="3"/>
        </w:numPr>
        <w:jc w:val="both"/>
        <w:rPr>
          <w:rFonts w:ascii="Times New Roman" w:hAnsi="Times New Roman" w:cs="Times New Roman"/>
          <w:sz w:val="28"/>
          <w:szCs w:val="28"/>
        </w:rPr>
      </w:pPr>
      <w:r w:rsidRPr="006B7349">
        <w:rPr>
          <w:rFonts w:ascii="Times New Roman" w:hAnsi="Times New Roman" w:cs="Times New Roman"/>
          <w:sz w:val="28"/>
          <w:szCs w:val="28"/>
        </w:rPr>
        <w:t>To offer guidelines for facing personal interviews and group discussions.</w:t>
      </w:r>
    </w:p>
    <w:p w:rsidR="006B7349" w:rsidRDefault="006B7349" w:rsidP="006B7349">
      <w:pPr>
        <w:numPr>
          <w:ilvl w:val="0"/>
          <w:numId w:val="3"/>
        </w:numPr>
        <w:jc w:val="both"/>
        <w:rPr>
          <w:rFonts w:ascii="Times New Roman" w:hAnsi="Times New Roman" w:cs="Times New Roman"/>
          <w:sz w:val="28"/>
          <w:szCs w:val="28"/>
        </w:rPr>
      </w:pPr>
      <w:r w:rsidRPr="006B7349">
        <w:rPr>
          <w:rFonts w:ascii="Times New Roman" w:hAnsi="Times New Roman" w:cs="Times New Roman"/>
          <w:sz w:val="28"/>
          <w:szCs w:val="28"/>
        </w:rPr>
        <w:t>To discuss job prospects post-BE.</w:t>
      </w:r>
    </w:p>
    <w:p w:rsidR="006B7349" w:rsidRDefault="006B7349" w:rsidP="006B7349">
      <w:pPr>
        <w:jc w:val="both"/>
        <w:rPr>
          <w:rFonts w:ascii="Times New Roman" w:hAnsi="Times New Roman" w:cs="Times New Roman"/>
          <w:b/>
          <w:bCs/>
          <w:sz w:val="36"/>
          <w:szCs w:val="36"/>
        </w:rPr>
      </w:pPr>
    </w:p>
    <w:p w:rsidR="006B7349" w:rsidRDefault="006B7349" w:rsidP="006B7349">
      <w:pPr>
        <w:jc w:val="both"/>
        <w:rPr>
          <w:rFonts w:ascii="Times New Roman" w:hAnsi="Times New Roman" w:cs="Times New Roman"/>
          <w:b/>
          <w:bCs/>
          <w:sz w:val="36"/>
          <w:szCs w:val="36"/>
        </w:rPr>
      </w:pPr>
    </w:p>
    <w:p w:rsidR="006B7349" w:rsidRPr="006B7349" w:rsidRDefault="006B7349" w:rsidP="006B7349">
      <w:pPr>
        <w:jc w:val="both"/>
        <w:rPr>
          <w:rFonts w:ascii="Times New Roman" w:hAnsi="Times New Roman" w:cs="Times New Roman"/>
          <w:b/>
          <w:bCs/>
          <w:sz w:val="36"/>
          <w:szCs w:val="36"/>
        </w:rPr>
      </w:pPr>
      <w:r w:rsidRPr="006B7349">
        <w:rPr>
          <w:rFonts w:ascii="Times New Roman" w:hAnsi="Times New Roman" w:cs="Times New Roman"/>
          <w:b/>
          <w:bCs/>
          <w:sz w:val="36"/>
          <w:szCs w:val="36"/>
        </w:rPr>
        <w:t>Discussion</w:t>
      </w:r>
    </w:p>
    <w:p w:rsidR="006B7349" w:rsidRPr="006B7349" w:rsidRDefault="006B7349" w:rsidP="006B7349">
      <w:pPr>
        <w:jc w:val="both"/>
        <w:rPr>
          <w:rFonts w:ascii="Times New Roman" w:hAnsi="Times New Roman" w:cs="Times New Roman"/>
          <w:sz w:val="28"/>
          <w:szCs w:val="28"/>
        </w:rPr>
      </w:pPr>
      <w:r w:rsidRPr="006B7349">
        <w:rPr>
          <w:rFonts w:ascii="Times New Roman" w:hAnsi="Times New Roman" w:cs="Times New Roman"/>
          <w:sz w:val="28"/>
          <w:szCs w:val="28"/>
        </w:rPr>
        <w:t>The seminar began with a welcome address by Prof. Kamala K, class teacher of the 6th C section</w:t>
      </w:r>
      <w:r>
        <w:rPr>
          <w:rFonts w:ascii="Times New Roman" w:hAnsi="Times New Roman" w:cs="Times New Roman"/>
          <w:sz w:val="28"/>
          <w:szCs w:val="28"/>
        </w:rPr>
        <w:t xml:space="preserve"> and </w:t>
      </w:r>
      <w:r w:rsidRPr="006B7349">
        <w:rPr>
          <w:rFonts w:ascii="Times New Roman" w:hAnsi="Times New Roman" w:cs="Times New Roman"/>
          <w:sz w:val="28"/>
          <w:szCs w:val="28"/>
        </w:rPr>
        <w:t xml:space="preserve">Prof. Varalakshmi B D, class teacher of the 6th </w:t>
      </w:r>
      <w:r>
        <w:rPr>
          <w:rFonts w:ascii="Times New Roman" w:hAnsi="Times New Roman" w:cs="Times New Roman"/>
          <w:sz w:val="28"/>
          <w:szCs w:val="28"/>
        </w:rPr>
        <w:t>A</w:t>
      </w:r>
      <w:r w:rsidRPr="006B7349">
        <w:rPr>
          <w:rFonts w:ascii="Times New Roman" w:hAnsi="Times New Roman" w:cs="Times New Roman"/>
          <w:sz w:val="28"/>
          <w:szCs w:val="28"/>
        </w:rPr>
        <w:t xml:space="preserve"> section, who emphasized the importance of career guidance for students. Certified counselors from </w:t>
      </w:r>
      <w:r w:rsidRPr="006B7349">
        <w:rPr>
          <w:rFonts w:ascii="Times New Roman" w:hAnsi="Times New Roman" w:cs="Times New Roman"/>
          <w:sz w:val="28"/>
          <w:szCs w:val="28"/>
          <w:highlight w:val="yellow"/>
        </w:rPr>
        <w:t>Global Reach Academy</w:t>
      </w:r>
      <w:r w:rsidR="00152EE8">
        <w:rPr>
          <w:rFonts w:ascii="Times New Roman" w:hAnsi="Times New Roman" w:cs="Times New Roman"/>
          <w:sz w:val="28"/>
          <w:szCs w:val="28"/>
          <w:highlight w:val="yellow"/>
        </w:rPr>
        <w:t xml:space="preserve"> </w:t>
      </w:r>
      <w:r w:rsidR="00152EE8" w:rsidRPr="00152EE8">
        <w:rPr>
          <w:rFonts w:ascii="Times New Roman" w:hAnsi="Times New Roman" w:cs="Times New Roman"/>
          <w:sz w:val="28"/>
          <w:szCs w:val="28"/>
          <w:highlight w:val="yellow"/>
        </w:rPr>
        <w:t>(This also)</w:t>
      </w:r>
      <w:r w:rsidRPr="006B7349">
        <w:rPr>
          <w:rFonts w:ascii="Times New Roman" w:hAnsi="Times New Roman" w:cs="Times New Roman"/>
          <w:sz w:val="28"/>
          <w:szCs w:val="28"/>
        </w:rPr>
        <w:t xml:space="preserve"> conducted the session, sharing insights on higher studies abroad. They discussed the various challenges and opportunities associated with studying abroad, helping students make informed decisions about their professional paths.</w:t>
      </w:r>
    </w:p>
    <w:p w:rsidR="006B7349" w:rsidRPr="006B7349" w:rsidRDefault="006B7349" w:rsidP="006B7349">
      <w:pPr>
        <w:jc w:val="both"/>
        <w:rPr>
          <w:rFonts w:ascii="Times New Roman" w:hAnsi="Times New Roman" w:cs="Times New Roman"/>
          <w:sz w:val="28"/>
          <w:szCs w:val="28"/>
        </w:rPr>
      </w:pPr>
      <w:r w:rsidRPr="006B7349">
        <w:rPr>
          <w:rFonts w:ascii="Times New Roman" w:hAnsi="Times New Roman" w:cs="Times New Roman"/>
          <w:sz w:val="28"/>
          <w:szCs w:val="28"/>
        </w:rPr>
        <w:t>The session covered the following key points:</w:t>
      </w:r>
    </w:p>
    <w:p w:rsidR="006B7349" w:rsidRPr="006B7349" w:rsidRDefault="006B7349" w:rsidP="006B7349">
      <w:pPr>
        <w:numPr>
          <w:ilvl w:val="0"/>
          <w:numId w:val="4"/>
        </w:numPr>
        <w:jc w:val="both"/>
        <w:rPr>
          <w:rFonts w:ascii="Times New Roman" w:hAnsi="Times New Roman" w:cs="Times New Roman"/>
          <w:sz w:val="28"/>
          <w:szCs w:val="28"/>
        </w:rPr>
      </w:pPr>
      <w:r w:rsidRPr="006B7349">
        <w:rPr>
          <w:rFonts w:ascii="Times New Roman" w:hAnsi="Times New Roman" w:cs="Times New Roman"/>
          <w:sz w:val="28"/>
          <w:szCs w:val="28"/>
        </w:rPr>
        <w:t>The importance of aptitude tests in competitive exams.</w:t>
      </w:r>
    </w:p>
    <w:p w:rsidR="006B7349" w:rsidRPr="006B7349" w:rsidRDefault="006B7349" w:rsidP="006B7349">
      <w:pPr>
        <w:numPr>
          <w:ilvl w:val="0"/>
          <w:numId w:val="4"/>
        </w:numPr>
        <w:jc w:val="both"/>
        <w:rPr>
          <w:rFonts w:ascii="Times New Roman" w:hAnsi="Times New Roman" w:cs="Times New Roman"/>
          <w:sz w:val="28"/>
          <w:szCs w:val="28"/>
        </w:rPr>
      </w:pPr>
      <w:r w:rsidRPr="006B7349">
        <w:rPr>
          <w:rFonts w:ascii="Times New Roman" w:hAnsi="Times New Roman" w:cs="Times New Roman"/>
          <w:sz w:val="28"/>
          <w:szCs w:val="28"/>
        </w:rPr>
        <w:t>Detailed information on exams like CAT, GMAT, and GRE.</w:t>
      </w:r>
    </w:p>
    <w:p w:rsidR="006B7349" w:rsidRPr="006B7349" w:rsidRDefault="006B7349" w:rsidP="006B7349">
      <w:pPr>
        <w:numPr>
          <w:ilvl w:val="0"/>
          <w:numId w:val="4"/>
        </w:numPr>
        <w:jc w:val="both"/>
        <w:rPr>
          <w:rFonts w:ascii="Times New Roman" w:hAnsi="Times New Roman" w:cs="Times New Roman"/>
          <w:sz w:val="28"/>
          <w:szCs w:val="28"/>
        </w:rPr>
      </w:pPr>
      <w:r w:rsidRPr="006B7349">
        <w:rPr>
          <w:rFonts w:ascii="Times New Roman" w:hAnsi="Times New Roman" w:cs="Times New Roman"/>
          <w:sz w:val="28"/>
          <w:szCs w:val="28"/>
        </w:rPr>
        <w:t>Strategies for personal interviews and group discussions.</w:t>
      </w:r>
    </w:p>
    <w:p w:rsidR="006B7349" w:rsidRDefault="006B7349" w:rsidP="006B7349">
      <w:pPr>
        <w:numPr>
          <w:ilvl w:val="0"/>
          <w:numId w:val="4"/>
        </w:numPr>
        <w:jc w:val="both"/>
        <w:rPr>
          <w:rFonts w:ascii="Times New Roman" w:hAnsi="Times New Roman" w:cs="Times New Roman"/>
          <w:sz w:val="28"/>
          <w:szCs w:val="28"/>
        </w:rPr>
      </w:pPr>
      <w:r w:rsidRPr="006B7349">
        <w:rPr>
          <w:rFonts w:ascii="Times New Roman" w:hAnsi="Times New Roman" w:cs="Times New Roman"/>
          <w:sz w:val="28"/>
          <w:szCs w:val="28"/>
        </w:rPr>
        <w:t>Potential career paths and job opportunities after graduation.</w:t>
      </w:r>
    </w:p>
    <w:p w:rsidR="006B7349" w:rsidRDefault="006B7349" w:rsidP="006B7349">
      <w:pPr>
        <w:jc w:val="both"/>
        <w:rPr>
          <w:rFonts w:ascii="Times New Roman" w:hAnsi="Times New Roman" w:cs="Times New Roman"/>
          <w:sz w:val="28"/>
          <w:szCs w:val="28"/>
        </w:rPr>
      </w:pPr>
    </w:p>
    <w:p w:rsidR="006B7349" w:rsidRDefault="006B7349" w:rsidP="006B7349">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noProof/>
          <w:sz w:val="36"/>
          <w:szCs w:val="36"/>
        </w:rPr>
        <w:drawing>
          <wp:inline distT="0" distB="0" distL="0" distR="0" wp14:anchorId="0B9ACF4A" wp14:editId="4D0F1170">
            <wp:extent cx="4046220" cy="2554605"/>
            <wp:effectExtent l="0" t="0" r="0" b="0"/>
            <wp:docPr id="853639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639665" name="Picture 85363966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49323" cy="2556564"/>
                    </a:xfrm>
                    <a:prstGeom prst="rect">
                      <a:avLst/>
                    </a:prstGeom>
                  </pic:spPr>
                </pic:pic>
              </a:graphicData>
            </a:graphic>
          </wp:inline>
        </w:drawing>
      </w:r>
    </w:p>
    <w:p w:rsidR="006B7349" w:rsidRDefault="006B7349" w:rsidP="006B7349">
      <w:pPr>
        <w:ind w:left="2160" w:firstLine="720"/>
        <w:jc w:val="both"/>
        <w:rPr>
          <w:rFonts w:ascii="Times New Roman" w:hAnsi="Times New Roman" w:cs="Times New Roman"/>
          <w:sz w:val="28"/>
          <w:szCs w:val="28"/>
        </w:rPr>
      </w:pPr>
      <w:r>
        <w:rPr>
          <w:rFonts w:ascii="Times New Roman" w:hAnsi="Times New Roman" w:cs="Times New Roman"/>
          <w:b/>
          <w:bCs/>
          <w:sz w:val="24"/>
          <w:szCs w:val="24"/>
        </w:rPr>
        <w:t xml:space="preserve">Fig </w:t>
      </w:r>
      <w:r>
        <w:rPr>
          <w:rFonts w:ascii="Times New Roman" w:hAnsi="Times New Roman" w:cs="Times New Roman"/>
          <w:b/>
          <w:bCs/>
          <w:sz w:val="24"/>
          <w:szCs w:val="24"/>
        </w:rPr>
        <w:t>2</w:t>
      </w:r>
      <w:r>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b/>
          <w:bCs/>
          <w:sz w:val="24"/>
          <w:szCs w:val="24"/>
        </w:rPr>
        <w:t>- S</w:t>
      </w:r>
      <w:r>
        <w:rPr>
          <w:rFonts w:ascii="Times New Roman" w:hAnsi="Times New Roman" w:cs="Times New Roman"/>
          <w:b/>
          <w:bCs/>
          <w:sz w:val="24"/>
          <w:szCs w:val="24"/>
        </w:rPr>
        <w:t>ir Explaining</w:t>
      </w:r>
    </w:p>
    <w:p w:rsidR="006B7349" w:rsidRDefault="006B7349" w:rsidP="006B7349">
      <w:pPr>
        <w:jc w:val="both"/>
        <w:rPr>
          <w:rFonts w:ascii="Times New Roman" w:hAnsi="Times New Roman" w:cs="Times New Roman"/>
          <w:sz w:val="28"/>
          <w:szCs w:val="28"/>
        </w:rPr>
      </w:pPr>
    </w:p>
    <w:p w:rsidR="006B7349" w:rsidRDefault="006B7349" w:rsidP="006B7349">
      <w:pPr>
        <w:jc w:val="both"/>
        <w:rPr>
          <w:rFonts w:ascii="Times New Roman" w:hAnsi="Times New Roman" w:cs="Times New Roman"/>
          <w:sz w:val="28"/>
          <w:szCs w:val="28"/>
        </w:rPr>
      </w:pPr>
    </w:p>
    <w:p w:rsidR="006B7349" w:rsidRDefault="006B7349" w:rsidP="006B7349">
      <w:pPr>
        <w:jc w:val="both"/>
        <w:rPr>
          <w:rFonts w:ascii="Times New Roman" w:hAnsi="Times New Roman" w:cs="Times New Roman"/>
          <w:sz w:val="28"/>
          <w:szCs w:val="28"/>
        </w:rPr>
      </w:pPr>
    </w:p>
    <w:p w:rsidR="006B7349" w:rsidRPr="006B7349" w:rsidRDefault="006B7349" w:rsidP="006B7349">
      <w:pPr>
        <w:jc w:val="both"/>
        <w:rPr>
          <w:rFonts w:ascii="Times New Roman" w:hAnsi="Times New Roman" w:cs="Times New Roman"/>
          <w:sz w:val="28"/>
          <w:szCs w:val="28"/>
        </w:rPr>
      </w:pPr>
    </w:p>
    <w:p w:rsidR="006B7349" w:rsidRDefault="006B7349" w:rsidP="006B7349">
      <w:pPr>
        <w:jc w:val="both"/>
        <w:rPr>
          <w:rFonts w:ascii="Times New Roman" w:hAnsi="Times New Roman" w:cs="Times New Roman"/>
          <w:b/>
          <w:bCs/>
          <w:sz w:val="36"/>
          <w:szCs w:val="36"/>
        </w:rPr>
      </w:pPr>
    </w:p>
    <w:p w:rsidR="006B7349" w:rsidRPr="006B7349" w:rsidRDefault="006B7349" w:rsidP="006B7349">
      <w:pPr>
        <w:jc w:val="both"/>
        <w:rPr>
          <w:rFonts w:ascii="Times New Roman" w:hAnsi="Times New Roman" w:cs="Times New Roman"/>
          <w:b/>
          <w:bCs/>
          <w:sz w:val="36"/>
          <w:szCs w:val="36"/>
        </w:rPr>
      </w:pPr>
      <w:r w:rsidRPr="006B7349">
        <w:rPr>
          <w:rFonts w:ascii="Times New Roman" w:hAnsi="Times New Roman" w:cs="Times New Roman"/>
          <w:b/>
          <w:bCs/>
          <w:sz w:val="36"/>
          <w:szCs w:val="36"/>
        </w:rPr>
        <w:t>Conclusion</w:t>
      </w:r>
    </w:p>
    <w:p w:rsidR="006B7349" w:rsidRPr="006B7349" w:rsidRDefault="006B7349" w:rsidP="006B7349">
      <w:pPr>
        <w:jc w:val="both"/>
        <w:rPr>
          <w:rFonts w:ascii="Times New Roman" w:hAnsi="Times New Roman" w:cs="Times New Roman"/>
          <w:sz w:val="28"/>
          <w:szCs w:val="28"/>
        </w:rPr>
      </w:pPr>
      <w:r w:rsidRPr="006B7349">
        <w:rPr>
          <w:rFonts w:ascii="Times New Roman" w:hAnsi="Times New Roman" w:cs="Times New Roman"/>
          <w:sz w:val="28"/>
          <w:szCs w:val="28"/>
        </w:rPr>
        <w:t>The seminar was a valuable session for the students, providing them with critical insights into the preparation for competitive exams. The knowledge shared by the counselors from Global Reach Academy was instrumental in helping students understand the steps required to achieve their career goals.</w:t>
      </w:r>
      <w:r>
        <w:rPr>
          <w:rFonts w:ascii="Times New Roman" w:hAnsi="Times New Roman" w:cs="Times New Roman"/>
          <w:sz w:val="28"/>
          <w:szCs w:val="28"/>
        </w:rPr>
        <w:t xml:space="preserve"> </w:t>
      </w:r>
    </w:p>
    <w:p w:rsidR="006B7349" w:rsidRDefault="006B7349" w:rsidP="006B7349">
      <w:pPr>
        <w:jc w:val="both"/>
        <w:rPr>
          <w:rFonts w:ascii="Times New Roman" w:hAnsi="Times New Roman" w:cs="Times New Roman"/>
          <w:b/>
          <w:bCs/>
          <w:sz w:val="36"/>
          <w:szCs w:val="36"/>
        </w:rPr>
      </w:pPr>
      <w:r>
        <w:rPr>
          <w:rFonts w:ascii="Times New Roman" w:hAnsi="Times New Roman" w:cs="Times New Roman"/>
          <w:b/>
          <w:bCs/>
          <w:sz w:val="36"/>
          <w:szCs w:val="36"/>
        </w:rPr>
        <w:t xml:space="preserve">              </w:t>
      </w:r>
      <w:r>
        <w:rPr>
          <w:rFonts w:ascii="Times New Roman" w:hAnsi="Times New Roman" w:cs="Times New Roman"/>
          <w:b/>
          <w:bCs/>
          <w:noProof/>
          <w:sz w:val="36"/>
          <w:szCs w:val="36"/>
        </w:rPr>
        <w:drawing>
          <wp:inline distT="0" distB="0" distL="0" distR="0">
            <wp:extent cx="4297680" cy="3223485"/>
            <wp:effectExtent l="0" t="0" r="7620" b="0"/>
            <wp:docPr id="7674938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493891" name="Picture 76749389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00377" cy="3225508"/>
                    </a:xfrm>
                    <a:prstGeom prst="rect">
                      <a:avLst/>
                    </a:prstGeom>
                  </pic:spPr>
                </pic:pic>
              </a:graphicData>
            </a:graphic>
          </wp:inline>
        </w:drawing>
      </w:r>
    </w:p>
    <w:p w:rsidR="006B7349" w:rsidRPr="006B7349" w:rsidRDefault="006B7349" w:rsidP="006B7349">
      <w:pPr>
        <w:ind w:left="2160" w:firstLine="720"/>
        <w:jc w:val="both"/>
        <w:rPr>
          <w:rFonts w:ascii="Times New Roman" w:hAnsi="Times New Roman" w:cs="Times New Roman"/>
          <w:sz w:val="28"/>
          <w:szCs w:val="28"/>
        </w:rPr>
      </w:pPr>
      <w:r>
        <w:rPr>
          <w:rFonts w:ascii="Times New Roman" w:hAnsi="Times New Roman" w:cs="Times New Roman"/>
          <w:b/>
          <w:bCs/>
          <w:sz w:val="24"/>
          <w:szCs w:val="24"/>
        </w:rPr>
        <w:t xml:space="preserve">Fig </w:t>
      </w:r>
      <w:r>
        <w:rPr>
          <w:rFonts w:ascii="Times New Roman" w:hAnsi="Times New Roman" w:cs="Times New Roman"/>
          <w:b/>
          <w:bCs/>
          <w:sz w:val="24"/>
          <w:szCs w:val="24"/>
        </w:rPr>
        <w:t>3</w:t>
      </w:r>
      <w:r>
        <w:rPr>
          <w:rFonts w:ascii="Times New Roman" w:hAnsi="Times New Roman" w:cs="Times New Roman"/>
          <w:b/>
          <w:bCs/>
          <w:sz w:val="24"/>
          <w:szCs w:val="24"/>
        </w:rPr>
        <w:t>: - S</w:t>
      </w:r>
      <w:r>
        <w:rPr>
          <w:rFonts w:ascii="Times New Roman" w:hAnsi="Times New Roman" w:cs="Times New Roman"/>
          <w:b/>
          <w:bCs/>
          <w:sz w:val="24"/>
          <w:szCs w:val="24"/>
        </w:rPr>
        <w:t>tudents</w:t>
      </w:r>
      <w:r>
        <w:rPr>
          <w:rFonts w:ascii="Times New Roman" w:hAnsi="Times New Roman" w:cs="Times New Roman"/>
          <w:b/>
          <w:bCs/>
          <w:sz w:val="24"/>
          <w:szCs w:val="24"/>
        </w:rPr>
        <w:t xml:space="preserve"> </w:t>
      </w:r>
      <w:r>
        <w:rPr>
          <w:rFonts w:ascii="Times New Roman" w:hAnsi="Times New Roman" w:cs="Times New Roman"/>
          <w:b/>
          <w:bCs/>
          <w:sz w:val="24"/>
          <w:szCs w:val="24"/>
        </w:rPr>
        <w:t>Attending</w:t>
      </w:r>
    </w:p>
    <w:p w:rsidR="006B7349" w:rsidRPr="006B7349" w:rsidRDefault="006B7349" w:rsidP="006B7349">
      <w:pPr>
        <w:jc w:val="both"/>
        <w:rPr>
          <w:rFonts w:ascii="Times New Roman" w:hAnsi="Times New Roman" w:cs="Times New Roman"/>
          <w:b/>
          <w:bCs/>
          <w:sz w:val="36"/>
          <w:szCs w:val="36"/>
        </w:rPr>
      </w:pPr>
      <w:r w:rsidRPr="006B7349">
        <w:rPr>
          <w:rFonts w:ascii="Times New Roman" w:hAnsi="Times New Roman" w:cs="Times New Roman"/>
          <w:b/>
          <w:bCs/>
          <w:sz w:val="36"/>
          <w:szCs w:val="36"/>
        </w:rPr>
        <w:t>Future Scope</w:t>
      </w:r>
    </w:p>
    <w:p w:rsidR="006B7349" w:rsidRPr="006B7349" w:rsidRDefault="006B7349" w:rsidP="006B7349">
      <w:pPr>
        <w:jc w:val="both"/>
        <w:rPr>
          <w:rFonts w:ascii="Times New Roman" w:hAnsi="Times New Roman" w:cs="Times New Roman"/>
          <w:sz w:val="28"/>
          <w:szCs w:val="28"/>
        </w:rPr>
      </w:pPr>
      <w:r w:rsidRPr="006B7349">
        <w:rPr>
          <w:rFonts w:ascii="Times New Roman" w:hAnsi="Times New Roman" w:cs="Times New Roman"/>
          <w:sz w:val="28"/>
          <w:szCs w:val="28"/>
        </w:rPr>
        <w:t>Moving forward, the department plans to:</w:t>
      </w:r>
    </w:p>
    <w:p w:rsidR="006B7349" w:rsidRPr="006B7349" w:rsidRDefault="006B7349" w:rsidP="006B7349">
      <w:pPr>
        <w:numPr>
          <w:ilvl w:val="0"/>
          <w:numId w:val="5"/>
        </w:numPr>
        <w:jc w:val="both"/>
        <w:rPr>
          <w:rFonts w:ascii="Times New Roman" w:hAnsi="Times New Roman" w:cs="Times New Roman"/>
          <w:sz w:val="28"/>
          <w:szCs w:val="28"/>
        </w:rPr>
      </w:pPr>
      <w:r w:rsidRPr="006B7349">
        <w:rPr>
          <w:rFonts w:ascii="Times New Roman" w:hAnsi="Times New Roman" w:cs="Times New Roman"/>
          <w:sz w:val="28"/>
          <w:szCs w:val="28"/>
        </w:rPr>
        <w:t>Organize more such seminars and workshops to cover various other competitive exams and career guidance topics.</w:t>
      </w:r>
    </w:p>
    <w:p w:rsidR="006B7349" w:rsidRPr="006B7349" w:rsidRDefault="006B7349" w:rsidP="006B7349">
      <w:pPr>
        <w:numPr>
          <w:ilvl w:val="0"/>
          <w:numId w:val="5"/>
        </w:numPr>
        <w:jc w:val="both"/>
        <w:rPr>
          <w:rFonts w:ascii="Times New Roman" w:hAnsi="Times New Roman" w:cs="Times New Roman"/>
          <w:sz w:val="28"/>
          <w:szCs w:val="28"/>
        </w:rPr>
      </w:pPr>
      <w:r w:rsidRPr="006B7349">
        <w:rPr>
          <w:rFonts w:ascii="Times New Roman" w:hAnsi="Times New Roman" w:cs="Times New Roman"/>
          <w:sz w:val="28"/>
          <w:szCs w:val="28"/>
        </w:rPr>
        <w:t>Establish a mentorship program connecting students with alumni who have successfully cleared these exams and are pursuing higher studies or careers abroad.</w:t>
      </w:r>
    </w:p>
    <w:p w:rsidR="006B7349" w:rsidRDefault="006B7349" w:rsidP="006B7349">
      <w:pPr>
        <w:numPr>
          <w:ilvl w:val="0"/>
          <w:numId w:val="5"/>
        </w:numPr>
        <w:jc w:val="both"/>
        <w:rPr>
          <w:rFonts w:ascii="Times New Roman" w:hAnsi="Times New Roman" w:cs="Times New Roman"/>
          <w:sz w:val="28"/>
          <w:szCs w:val="28"/>
        </w:rPr>
      </w:pPr>
      <w:r w:rsidRPr="006B7349">
        <w:rPr>
          <w:rFonts w:ascii="Times New Roman" w:hAnsi="Times New Roman" w:cs="Times New Roman"/>
          <w:sz w:val="28"/>
          <w:szCs w:val="28"/>
        </w:rPr>
        <w:t>Provide continuous support and resources for students preparing for competitive exams.</w:t>
      </w:r>
    </w:p>
    <w:p w:rsidR="006B7349" w:rsidRPr="006B7349" w:rsidRDefault="006B7349" w:rsidP="006B7349">
      <w:pPr>
        <w:jc w:val="both"/>
        <w:rPr>
          <w:rFonts w:ascii="Times New Roman" w:hAnsi="Times New Roman" w:cs="Times New Roman"/>
          <w:sz w:val="28"/>
          <w:szCs w:val="28"/>
        </w:rPr>
      </w:pPr>
    </w:p>
    <w:p w:rsidR="006B7349" w:rsidRPr="006B7349" w:rsidRDefault="006B7349" w:rsidP="006B7349">
      <w:pPr>
        <w:jc w:val="both"/>
        <w:rPr>
          <w:rFonts w:ascii="Times New Roman" w:hAnsi="Times New Roman" w:cs="Times New Roman"/>
          <w:b/>
          <w:bCs/>
          <w:sz w:val="36"/>
          <w:szCs w:val="36"/>
        </w:rPr>
      </w:pPr>
      <w:r w:rsidRPr="006B7349">
        <w:rPr>
          <w:rFonts w:ascii="Times New Roman" w:hAnsi="Times New Roman" w:cs="Times New Roman"/>
          <w:b/>
          <w:bCs/>
          <w:sz w:val="36"/>
          <w:szCs w:val="36"/>
        </w:rPr>
        <w:t>Outcomes of the Seminar</w:t>
      </w:r>
    </w:p>
    <w:p w:rsidR="006B7349" w:rsidRPr="006B7349" w:rsidRDefault="006B7349" w:rsidP="006B7349">
      <w:pPr>
        <w:numPr>
          <w:ilvl w:val="0"/>
          <w:numId w:val="6"/>
        </w:numPr>
        <w:jc w:val="both"/>
        <w:rPr>
          <w:rFonts w:ascii="Times New Roman" w:hAnsi="Times New Roman" w:cs="Times New Roman"/>
          <w:sz w:val="28"/>
          <w:szCs w:val="28"/>
        </w:rPr>
      </w:pPr>
      <w:r w:rsidRPr="006B7349">
        <w:rPr>
          <w:rFonts w:ascii="Times New Roman" w:hAnsi="Times New Roman" w:cs="Times New Roman"/>
          <w:sz w:val="28"/>
          <w:szCs w:val="28"/>
        </w:rPr>
        <w:t>Increased awareness among students about career and higher education options in India and abroad.</w:t>
      </w:r>
    </w:p>
    <w:p w:rsidR="006B7349" w:rsidRPr="006B7349" w:rsidRDefault="006B7349" w:rsidP="006B7349">
      <w:pPr>
        <w:numPr>
          <w:ilvl w:val="0"/>
          <w:numId w:val="6"/>
        </w:numPr>
        <w:jc w:val="both"/>
        <w:rPr>
          <w:rFonts w:ascii="Times New Roman" w:hAnsi="Times New Roman" w:cs="Times New Roman"/>
          <w:sz w:val="28"/>
          <w:szCs w:val="28"/>
        </w:rPr>
      </w:pPr>
      <w:r w:rsidRPr="006B7349">
        <w:rPr>
          <w:rFonts w:ascii="Times New Roman" w:hAnsi="Times New Roman" w:cs="Times New Roman"/>
          <w:sz w:val="28"/>
          <w:szCs w:val="28"/>
        </w:rPr>
        <w:t>Enhanced understanding of the importance of goal-setting and strategic preparation.</w:t>
      </w:r>
    </w:p>
    <w:p w:rsidR="006B7349" w:rsidRPr="006B7349" w:rsidRDefault="006B7349" w:rsidP="00DA7F24">
      <w:pPr>
        <w:numPr>
          <w:ilvl w:val="0"/>
          <w:numId w:val="6"/>
        </w:numPr>
        <w:jc w:val="both"/>
        <w:rPr>
          <w:rFonts w:ascii="Times New Roman" w:hAnsi="Times New Roman" w:cs="Times New Roman"/>
          <w:b/>
          <w:bCs/>
          <w:sz w:val="36"/>
          <w:szCs w:val="36"/>
        </w:rPr>
      </w:pPr>
      <w:r w:rsidRPr="006B7349">
        <w:rPr>
          <w:rFonts w:ascii="Times New Roman" w:hAnsi="Times New Roman" w:cs="Times New Roman"/>
          <w:sz w:val="28"/>
          <w:szCs w:val="28"/>
        </w:rPr>
        <w:t>Empowered students to make informed decisions about their future educational and professional goals.</w:t>
      </w:r>
    </w:p>
    <w:p w:rsidR="006B7349" w:rsidRPr="006B7349" w:rsidRDefault="006B7349" w:rsidP="006B7349">
      <w:pPr>
        <w:ind w:left="720" w:firstLine="720"/>
        <w:jc w:val="both"/>
        <w:rPr>
          <w:rFonts w:ascii="Times New Roman" w:hAnsi="Times New Roman" w:cs="Times New Roman"/>
          <w:b/>
          <w:bCs/>
          <w:sz w:val="36"/>
          <w:szCs w:val="36"/>
        </w:rPr>
      </w:pPr>
    </w:p>
    <w:p w:rsidR="006B7349" w:rsidRPr="006B7349" w:rsidRDefault="006B7349" w:rsidP="006B7349">
      <w:pPr>
        <w:jc w:val="both"/>
        <w:rPr>
          <w:rFonts w:ascii="Times New Roman" w:hAnsi="Times New Roman" w:cs="Times New Roman"/>
          <w:b/>
          <w:bCs/>
          <w:sz w:val="36"/>
          <w:szCs w:val="36"/>
        </w:rPr>
      </w:pPr>
      <w:r w:rsidRPr="006B7349">
        <w:rPr>
          <w:rFonts w:ascii="Times New Roman" w:hAnsi="Times New Roman" w:cs="Times New Roman"/>
          <w:b/>
          <w:bCs/>
          <w:sz w:val="36"/>
          <w:szCs w:val="36"/>
        </w:rPr>
        <w:t>Acknowledgments</w:t>
      </w:r>
    </w:p>
    <w:p w:rsidR="006B7349" w:rsidRPr="006B7349" w:rsidRDefault="006B7349" w:rsidP="006B7349">
      <w:pPr>
        <w:jc w:val="both"/>
        <w:rPr>
          <w:rFonts w:ascii="Times New Roman" w:hAnsi="Times New Roman" w:cs="Times New Roman"/>
          <w:sz w:val="28"/>
          <w:szCs w:val="28"/>
        </w:rPr>
      </w:pPr>
      <w:r w:rsidRPr="006B7349">
        <w:rPr>
          <w:rFonts w:ascii="Times New Roman" w:hAnsi="Times New Roman" w:cs="Times New Roman"/>
          <w:sz w:val="28"/>
          <w:szCs w:val="28"/>
        </w:rPr>
        <w:t xml:space="preserve">The seminar was coordinated by Prof. Kamala K, Assistant Professor and Placement Coordinator of the CSE department. The efforts of the forum coordinators, Mrs. Varalakshmi B D and Mrs. Bhavyashree S P, along with the support of the HOD-CSE, Dr. Ajith </w:t>
      </w:r>
      <w:proofErr w:type="spellStart"/>
      <w:r w:rsidRPr="006B7349">
        <w:rPr>
          <w:rFonts w:ascii="Times New Roman" w:hAnsi="Times New Roman" w:cs="Times New Roman"/>
          <w:sz w:val="28"/>
          <w:szCs w:val="28"/>
        </w:rPr>
        <w:t>Padyana</w:t>
      </w:r>
      <w:proofErr w:type="spellEnd"/>
      <w:r w:rsidRPr="006B7349">
        <w:rPr>
          <w:rFonts w:ascii="Times New Roman" w:hAnsi="Times New Roman" w:cs="Times New Roman"/>
          <w:sz w:val="28"/>
          <w:szCs w:val="28"/>
        </w:rPr>
        <w:t>, were instrumental in making this event a success.</w:t>
      </w:r>
    </w:p>
    <w:p w:rsidR="006B7349" w:rsidRDefault="006B7349" w:rsidP="006B7349">
      <w:pPr>
        <w:jc w:val="both"/>
        <w:rPr>
          <w:rFonts w:ascii="Times New Roman" w:hAnsi="Times New Roman" w:cs="Times New Roman"/>
          <w:b/>
          <w:bCs/>
          <w:sz w:val="36"/>
          <w:szCs w:val="36"/>
        </w:rPr>
      </w:pPr>
    </w:p>
    <w:p w:rsidR="006B7349" w:rsidRPr="006B7349" w:rsidRDefault="006B7349" w:rsidP="006B7349">
      <w:pPr>
        <w:jc w:val="both"/>
        <w:rPr>
          <w:rFonts w:ascii="Times New Roman" w:hAnsi="Times New Roman" w:cs="Times New Roman"/>
          <w:sz w:val="28"/>
          <w:szCs w:val="28"/>
        </w:rPr>
      </w:pPr>
      <w:r w:rsidRPr="006B7349">
        <w:rPr>
          <w:rFonts w:ascii="Times New Roman" w:hAnsi="Times New Roman" w:cs="Times New Roman"/>
          <w:b/>
          <w:bCs/>
          <w:sz w:val="32"/>
          <w:szCs w:val="32"/>
        </w:rPr>
        <w:t>Forum Coordinators:</w:t>
      </w:r>
      <w:r w:rsidRPr="006B7349">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sidRPr="006B7349">
        <w:rPr>
          <w:rFonts w:ascii="Times New Roman" w:hAnsi="Times New Roman" w:cs="Times New Roman"/>
          <w:b/>
          <w:bCs/>
          <w:sz w:val="32"/>
          <w:szCs w:val="32"/>
        </w:rPr>
        <w:t>HOD-CSE:</w:t>
      </w:r>
    </w:p>
    <w:p w:rsidR="006B7349" w:rsidRPr="006B7349" w:rsidRDefault="006B7349" w:rsidP="006B7349">
      <w:pPr>
        <w:jc w:val="both"/>
        <w:rPr>
          <w:rFonts w:ascii="Times New Roman" w:hAnsi="Times New Roman" w:cs="Times New Roman"/>
          <w:sz w:val="28"/>
          <w:szCs w:val="28"/>
        </w:rPr>
      </w:pPr>
      <w:r w:rsidRPr="006B7349">
        <w:rPr>
          <w:rFonts w:ascii="Times New Roman" w:hAnsi="Times New Roman" w:cs="Times New Roman"/>
          <w:sz w:val="28"/>
          <w:szCs w:val="28"/>
        </w:rPr>
        <w:t>Mrs. Varalakshmi B D</w:t>
      </w:r>
      <w:r>
        <w:rPr>
          <w:rFonts w:ascii="Times New Roman" w:hAnsi="Times New Roman" w:cs="Times New Roman"/>
          <w:sz w:val="28"/>
          <w:szCs w:val="28"/>
        </w:rPr>
        <w:tab/>
        <w:t xml:space="preserve">                                                           </w:t>
      </w:r>
      <w:r w:rsidRPr="006B7349">
        <w:rPr>
          <w:rFonts w:ascii="Times New Roman" w:hAnsi="Times New Roman" w:cs="Times New Roman"/>
          <w:sz w:val="28"/>
          <w:szCs w:val="28"/>
        </w:rPr>
        <w:t xml:space="preserve">Dr. Ajith </w:t>
      </w:r>
      <w:proofErr w:type="spellStart"/>
      <w:r w:rsidRPr="006B7349">
        <w:rPr>
          <w:rFonts w:ascii="Times New Roman" w:hAnsi="Times New Roman" w:cs="Times New Roman"/>
          <w:sz w:val="28"/>
          <w:szCs w:val="28"/>
        </w:rPr>
        <w:t>Padyana</w:t>
      </w:r>
      <w:proofErr w:type="spellEnd"/>
    </w:p>
    <w:p w:rsidR="006B7349" w:rsidRPr="006B7349" w:rsidRDefault="006B7349" w:rsidP="006B7349">
      <w:pPr>
        <w:jc w:val="both"/>
        <w:rPr>
          <w:rFonts w:ascii="Times New Roman" w:hAnsi="Times New Roman" w:cs="Times New Roman"/>
          <w:sz w:val="28"/>
          <w:szCs w:val="28"/>
        </w:rPr>
      </w:pPr>
      <w:r w:rsidRPr="006B7349">
        <w:rPr>
          <w:rFonts w:ascii="Times New Roman" w:hAnsi="Times New Roman" w:cs="Times New Roman"/>
          <w:sz w:val="28"/>
          <w:szCs w:val="28"/>
        </w:rPr>
        <w:t>Mrs. Bhavyashree S P</w:t>
      </w:r>
    </w:p>
    <w:p w:rsidR="008C45A5" w:rsidRPr="006B7349" w:rsidRDefault="008C45A5" w:rsidP="006B7349">
      <w:pPr>
        <w:jc w:val="both"/>
        <w:rPr>
          <w:rFonts w:ascii="Times New Roman" w:hAnsi="Times New Roman" w:cs="Times New Roman"/>
        </w:rPr>
      </w:pPr>
    </w:p>
    <w:sectPr w:rsidR="008C45A5" w:rsidRPr="006B7349">
      <w:headerReference w:type="even" r:id="rId11"/>
      <w:headerReference w:type="default" r:id="rId12"/>
      <w:footerReference w:type="even" r:id="rId13"/>
      <w:footerReference w:type="default" r:id="rId14"/>
      <w:headerReference w:type="first" r:id="rId15"/>
      <w:footerReference w:type="first" r:id="rId16"/>
      <w:pgSz w:w="11906" w:h="16838"/>
      <w:pgMar w:top="1440" w:right="900" w:bottom="1440" w:left="1440" w:header="510" w:footer="51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75AF1" w:rsidRDefault="00475AF1">
      <w:pPr>
        <w:spacing w:after="0" w:line="240" w:lineRule="auto"/>
      </w:pPr>
      <w:r>
        <w:separator/>
      </w:r>
    </w:p>
  </w:endnote>
  <w:endnote w:type="continuationSeparator" w:id="0">
    <w:p w:rsidR="00475AF1" w:rsidRDefault="00475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C45A5" w:rsidRDefault="008C45A5">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C45A5" w:rsidRDefault="00000000">
    <w:pPr>
      <w:pBdr>
        <w:top w:val="single" w:sz="24" w:space="1" w:color="622423"/>
        <w:left w:val="nil"/>
        <w:bottom w:val="nil"/>
        <w:right w:val="nil"/>
        <w:between w:val="nil"/>
      </w:pBdr>
      <w:tabs>
        <w:tab w:val="center" w:pos="4513"/>
        <w:tab w:val="right" w:pos="9026"/>
        <w:tab w:val="right" w:pos="9540"/>
      </w:tabs>
      <w:spacing w:after="0" w:line="240" w:lineRule="auto"/>
      <w:ind w:right="-357" w:hanging="851"/>
      <w:rPr>
        <w:color w:val="000000"/>
      </w:rPr>
    </w:pPr>
    <w:r>
      <w:rPr>
        <w:color w:val="000000"/>
      </w:rPr>
      <w:t xml:space="preserve">Department of Computer Science &amp; Engineering, AcIT-Bengaluru-560107                                                                 Page </w:t>
    </w:r>
    <w:r>
      <w:rPr>
        <w:color w:val="000000"/>
      </w:rPr>
      <w:fldChar w:fldCharType="begin"/>
    </w:r>
    <w:r>
      <w:rPr>
        <w:color w:val="000000"/>
      </w:rPr>
      <w:instrText>PAGE</w:instrText>
    </w:r>
    <w:r>
      <w:rPr>
        <w:color w:val="000000"/>
      </w:rPr>
      <w:fldChar w:fldCharType="separate"/>
    </w:r>
    <w:r w:rsidR="006B7349">
      <w:rPr>
        <w:noProof/>
        <w:color w:val="000000"/>
      </w:rPr>
      <w:t>1</w:t>
    </w:r>
    <w:r>
      <w:rPr>
        <w:color w:val="000000"/>
      </w:rPr>
      <w:fldChar w:fldCharType="end"/>
    </w:r>
  </w:p>
  <w:p w:rsidR="008C45A5" w:rsidRDefault="008C45A5">
    <w:pPr>
      <w:pBdr>
        <w:top w:val="single" w:sz="24" w:space="1" w:color="622423"/>
        <w:left w:val="nil"/>
        <w:bottom w:val="nil"/>
        <w:right w:val="nil"/>
        <w:between w:val="nil"/>
      </w:pBdr>
      <w:tabs>
        <w:tab w:val="center" w:pos="4513"/>
        <w:tab w:val="right" w:pos="9026"/>
        <w:tab w:val="right" w:pos="9540"/>
      </w:tabs>
      <w:spacing w:after="0" w:line="240" w:lineRule="auto"/>
      <w:ind w:right="-357" w:hanging="85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C45A5" w:rsidRDefault="008C45A5">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75AF1" w:rsidRDefault="00475AF1">
      <w:pPr>
        <w:spacing w:after="0" w:line="240" w:lineRule="auto"/>
      </w:pPr>
      <w:r>
        <w:separator/>
      </w:r>
    </w:p>
  </w:footnote>
  <w:footnote w:type="continuationSeparator" w:id="0">
    <w:p w:rsidR="00475AF1" w:rsidRDefault="00475A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C45A5" w:rsidRDefault="008C45A5">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C45A5" w:rsidRDefault="00000000">
    <w:pPr>
      <w:pBdr>
        <w:top w:val="nil"/>
        <w:left w:val="nil"/>
        <w:bottom w:val="nil"/>
        <w:right w:val="nil"/>
        <w:between w:val="nil"/>
      </w:pBdr>
      <w:tabs>
        <w:tab w:val="center" w:pos="4513"/>
        <w:tab w:val="right" w:pos="9026"/>
        <w:tab w:val="right" w:pos="9639"/>
      </w:tabs>
      <w:spacing w:after="0" w:line="240" w:lineRule="auto"/>
      <w:ind w:left="-567" w:right="-165"/>
      <w:rPr>
        <w:color w:val="000000"/>
      </w:rPr>
    </w:pPr>
    <w:r>
      <w:rPr>
        <w:color w:val="000000"/>
      </w:rPr>
      <w:t xml:space="preserve">   </w:t>
    </w:r>
  </w:p>
  <w:tbl>
    <w:tblPr>
      <w:tblStyle w:val="a0"/>
      <w:tblW w:w="10632" w:type="dxa"/>
      <w:tblInd w:w="-856" w:type="dxa"/>
      <w:tblBorders>
        <w:top w:val="nil"/>
        <w:left w:val="nil"/>
        <w:bottom w:val="nil"/>
        <w:right w:val="nil"/>
        <w:insideH w:val="single" w:sz="4" w:space="0" w:color="000000"/>
        <w:insideV w:val="nil"/>
      </w:tblBorders>
      <w:tblLayout w:type="fixed"/>
      <w:tblLook w:val="0400" w:firstRow="0" w:lastRow="0" w:firstColumn="0" w:lastColumn="0" w:noHBand="0" w:noVBand="1"/>
    </w:tblPr>
    <w:tblGrid>
      <w:gridCol w:w="1206"/>
      <w:gridCol w:w="8155"/>
      <w:gridCol w:w="1271"/>
    </w:tblGrid>
    <w:tr w:rsidR="008C45A5">
      <w:trPr>
        <w:cantSplit/>
        <w:tblHeader/>
      </w:trPr>
      <w:tc>
        <w:tcPr>
          <w:tcW w:w="1206" w:type="dxa"/>
          <w:vAlign w:val="center"/>
        </w:tcPr>
        <w:p w:rsidR="008C45A5" w:rsidRDefault="00000000">
          <w:pPr>
            <w:pBdr>
              <w:top w:val="nil"/>
              <w:left w:val="nil"/>
              <w:bottom w:val="nil"/>
              <w:right w:val="nil"/>
              <w:between w:val="nil"/>
            </w:pBdr>
            <w:tabs>
              <w:tab w:val="center" w:pos="4513"/>
              <w:tab w:val="right" w:pos="9026"/>
              <w:tab w:val="right" w:pos="9639"/>
            </w:tabs>
            <w:ind w:right="-165"/>
            <w:rPr>
              <w:color w:val="000000"/>
            </w:rPr>
          </w:pPr>
          <w:r>
            <w:rPr>
              <w:noProof/>
            </w:rPr>
            <w:drawing>
              <wp:anchor distT="0" distB="0" distL="114300" distR="114300" simplePos="0" relativeHeight="251658240" behindDoc="0" locked="0" layoutInCell="1" hidden="0" allowOverlap="1">
                <wp:simplePos x="0" y="0"/>
                <wp:positionH relativeFrom="column">
                  <wp:posOffset>-7609</wp:posOffset>
                </wp:positionH>
                <wp:positionV relativeFrom="paragraph">
                  <wp:posOffset>-639436</wp:posOffset>
                </wp:positionV>
                <wp:extent cx="624840" cy="647700"/>
                <wp:effectExtent l="0" t="0" r="0" b="0"/>
                <wp:wrapSquare wrapText="bothSides" distT="0" distB="0" distL="114300" distR="114300"/>
                <wp:docPr id="2" name="image2.png" descr="newlogo.JPG"/>
                <wp:cNvGraphicFramePr/>
                <a:graphic xmlns:a="http://schemas.openxmlformats.org/drawingml/2006/main">
                  <a:graphicData uri="http://schemas.openxmlformats.org/drawingml/2006/picture">
                    <pic:pic xmlns:pic="http://schemas.openxmlformats.org/drawingml/2006/picture">
                      <pic:nvPicPr>
                        <pic:cNvPr id="0" name="image2.png" descr="newlogo.JPG"/>
                        <pic:cNvPicPr preferRelativeResize="0"/>
                      </pic:nvPicPr>
                      <pic:blipFill>
                        <a:blip r:embed="rId1"/>
                        <a:srcRect b="13158"/>
                        <a:stretch>
                          <a:fillRect/>
                        </a:stretch>
                      </pic:blipFill>
                      <pic:spPr>
                        <a:xfrm>
                          <a:off x="0" y="0"/>
                          <a:ext cx="624840" cy="647700"/>
                        </a:xfrm>
                        <a:prstGeom prst="rect">
                          <a:avLst/>
                        </a:prstGeom>
                        <a:ln/>
                      </pic:spPr>
                    </pic:pic>
                  </a:graphicData>
                </a:graphic>
              </wp:anchor>
            </w:drawing>
          </w:r>
        </w:p>
      </w:tc>
      <w:tc>
        <w:tcPr>
          <w:tcW w:w="8155" w:type="dxa"/>
          <w:vAlign w:val="center"/>
        </w:tcPr>
        <w:p w:rsidR="008C45A5" w:rsidRDefault="00000000">
          <w:pPr>
            <w:pStyle w:val="Heading2"/>
            <w:tabs>
              <w:tab w:val="left" w:pos="370"/>
            </w:tabs>
            <w:spacing w:before="0"/>
            <w:ind w:left="36" w:right="-165"/>
            <w:jc w:val="center"/>
            <w:outlineLvl w:val="1"/>
            <w:rPr>
              <w:rFonts w:ascii="Cambria" w:eastAsia="Cambria" w:hAnsi="Cambria" w:cs="Cambria"/>
              <w:color w:val="000000"/>
              <w:sz w:val="22"/>
              <w:szCs w:val="22"/>
            </w:rPr>
          </w:pPr>
          <w:r>
            <w:rPr>
              <w:rFonts w:ascii="Cambria" w:eastAsia="Cambria" w:hAnsi="Cambria" w:cs="Cambria"/>
              <w:color w:val="000000"/>
              <w:sz w:val="22"/>
              <w:szCs w:val="22"/>
            </w:rPr>
            <w:t>ACHARYA INSTITUTE OF TECHNOLOGY</w:t>
          </w:r>
        </w:p>
        <w:p w:rsidR="008C45A5" w:rsidRDefault="00000000">
          <w:pPr>
            <w:tabs>
              <w:tab w:val="left" w:pos="370"/>
            </w:tabs>
            <w:ind w:left="36" w:right="-165"/>
            <w:jc w:val="center"/>
            <w:rPr>
              <w:b/>
              <w:sz w:val="28"/>
              <w:szCs w:val="28"/>
            </w:rPr>
          </w:pPr>
          <w:r>
            <w:rPr>
              <w:b/>
              <w:sz w:val="28"/>
              <w:szCs w:val="28"/>
            </w:rPr>
            <w:t>DEPARTMENT OF COMPUTER SCIENCE &amp; ENGINEERING</w:t>
          </w:r>
        </w:p>
        <w:p w:rsidR="008C45A5" w:rsidRDefault="00000000">
          <w:pPr>
            <w:tabs>
              <w:tab w:val="left" w:pos="370"/>
            </w:tabs>
            <w:ind w:left="36" w:right="-165"/>
            <w:jc w:val="center"/>
            <w:rPr>
              <w:sz w:val="14"/>
              <w:szCs w:val="14"/>
            </w:rPr>
          </w:pPr>
          <w:r>
            <w:rPr>
              <w:sz w:val="14"/>
              <w:szCs w:val="14"/>
            </w:rPr>
            <w:t>(Affiliated to Visvesvaraya Technological University, Belagavi, Approved by AICTE, New Delhi and Accredited by NBA &amp; NAAC)</w:t>
          </w:r>
        </w:p>
        <w:p w:rsidR="008C45A5" w:rsidRDefault="00000000">
          <w:pPr>
            <w:tabs>
              <w:tab w:val="left" w:pos="370"/>
            </w:tabs>
            <w:ind w:left="36" w:right="-165"/>
            <w:jc w:val="center"/>
          </w:pPr>
          <w:r>
            <w:t>Acharya Dr. Sarvepalli Radhakrishnan Road, ACHIT Nagar Post</w:t>
          </w:r>
          <w:r>
            <w:rPr>
              <w:b/>
            </w:rPr>
            <w:t xml:space="preserve">, </w:t>
          </w:r>
          <w:proofErr w:type="spellStart"/>
          <w:r>
            <w:t>Soladevanahalli</w:t>
          </w:r>
          <w:proofErr w:type="spellEnd"/>
          <w:r>
            <w:t>,</w:t>
          </w:r>
        </w:p>
        <w:p w:rsidR="008C45A5" w:rsidRDefault="00000000">
          <w:pPr>
            <w:pBdr>
              <w:top w:val="nil"/>
              <w:left w:val="nil"/>
              <w:bottom w:val="nil"/>
              <w:right w:val="nil"/>
              <w:between w:val="nil"/>
            </w:pBdr>
            <w:tabs>
              <w:tab w:val="center" w:pos="4513"/>
              <w:tab w:val="right" w:pos="9026"/>
              <w:tab w:val="left" w:pos="370"/>
              <w:tab w:val="right" w:pos="9639"/>
            </w:tabs>
            <w:ind w:left="36" w:right="-165"/>
            <w:jc w:val="center"/>
            <w:rPr>
              <w:color w:val="000000"/>
            </w:rPr>
          </w:pPr>
          <w:r>
            <w:rPr>
              <w:color w:val="000000"/>
            </w:rPr>
            <w:t>Bengaluru – 560107</w:t>
          </w:r>
        </w:p>
      </w:tc>
      <w:tc>
        <w:tcPr>
          <w:tcW w:w="1271" w:type="dxa"/>
          <w:vAlign w:val="center"/>
        </w:tcPr>
        <w:p w:rsidR="008C45A5" w:rsidRDefault="00000000">
          <w:pPr>
            <w:pBdr>
              <w:top w:val="nil"/>
              <w:left w:val="nil"/>
              <w:bottom w:val="nil"/>
              <w:right w:val="nil"/>
              <w:between w:val="nil"/>
            </w:pBdr>
            <w:tabs>
              <w:tab w:val="center" w:pos="4513"/>
              <w:tab w:val="right" w:pos="9026"/>
              <w:tab w:val="right" w:pos="9639"/>
            </w:tabs>
            <w:ind w:right="-165"/>
            <w:jc w:val="center"/>
            <w:rPr>
              <w:color w:val="000000"/>
            </w:rPr>
          </w:pPr>
          <w:r>
            <w:rPr>
              <w:b/>
              <w:smallCaps/>
              <w:noProof/>
              <w:color w:val="000000"/>
              <w:sz w:val="46"/>
              <w:szCs w:val="46"/>
            </w:rPr>
            <w:drawing>
              <wp:inline distT="0" distB="0" distL="0" distR="0">
                <wp:extent cx="662940" cy="32766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662940" cy="327660"/>
                        </a:xfrm>
                        <a:prstGeom prst="rect">
                          <a:avLst/>
                        </a:prstGeom>
                        <a:ln/>
                      </pic:spPr>
                    </pic:pic>
                  </a:graphicData>
                </a:graphic>
              </wp:inline>
            </w:drawing>
          </w:r>
        </w:p>
      </w:tc>
    </w:tr>
  </w:tbl>
  <w:p w:rsidR="008C45A5" w:rsidRDefault="00000000">
    <w:pPr>
      <w:pBdr>
        <w:top w:val="nil"/>
        <w:left w:val="nil"/>
        <w:bottom w:val="nil"/>
        <w:right w:val="nil"/>
        <w:between w:val="nil"/>
      </w:pBdr>
      <w:tabs>
        <w:tab w:val="center" w:pos="4513"/>
        <w:tab w:val="right" w:pos="9026"/>
        <w:tab w:val="right" w:pos="9639"/>
      </w:tabs>
      <w:spacing w:after="0" w:line="240" w:lineRule="auto"/>
      <w:ind w:left="-851" w:right="-357"/>
      <w:rPr>
        <w:color w:val="000000"/>
      </w:rPr>
    </w:pPr>
    <w:r>
      <w:rPr>
        <w:b/>
        <w:color w:val="000000"/>
        <w:u w:val="single"/>
      </w:rPr>
      <w:t>____________________________________________________________________________________________________________________________________</w:t>
    </w:r>
    <w:r>
      <w:rPr>
        <w:color w:val="00000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C45A5" w:rsidRDefault="008C45A5">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82CD2"/>
    <w:multiLevelType w:val="multilevel"/>
    <w:tmpl w:val="5008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E4C67"/>
    <w:multiLevelType w:val="multilevel"/>
    <w:tmpl w:val="97F8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0618F8"/>
    <w:multiLevelType w:val="multilevel"/>
    <w:tmpl w:val="333CD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F22405"/>
    <w:multiLevelType w:val="multilevel"/>
    <w:tmpl w:val="3BD48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0C67B5"/>
    <w:multiLevelType w:val="multilevel"/>
    <w:tmpl w:val="C6E60D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F9417B9"/>
    <w:multiLevelType w:val="multilevel"/>
    <w:tmpl w:val="B0B2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2D5D18"/>
    <w:multiLevelType w:val="multilevel"/>
    <w:tmpl w:val="786C22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A445872"/>
    <w:multiLevelType w:val="multilevel"/>
    <w:tmpl w:val="AD8C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7230713">
    <w:abstractNumId w:val="6"/>
  </w:num>
  <w:num w:numId="2" w16cid:durableId="1318876221">
    <w:abstractNumId w:val="4"/>
  </w:num>
  <w:num w:numId="3" w16cid:durableId="1725105855">
    <w:abstractNumId w:val="3"/>
  </w:num>
  <w:num w:numId="4" w16cid:durableId="1624650769">
    <w:abstractNumId w:val="1"/>
  </w:num>
  <w:num w:numId="5" w16cid:durableId="1280988798">
    <w:abstractNumId w:val="2"/>
  </w:num>
  <w:num w:numId="6" w16cid:durableId="1540976342">
    <w:abstractNumId w:val="7"/>
  </w:num>
  <w:num w:numId="7" w16cid:durableId="1499735992">
    <w:abstractNumId w:val="5"/>
  </w:num>
  <w:num w:numId="8" w16cid:durableId="362484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5A5"/>
    <w:rsid w:val="00152EE8"/>
    <w:rsid w:val="00475AF1"/>
    <w:rsid w:val="006B7349"/>
    <w:rsid w:val="008C45A5"/>
    <w:rsid w:val="00AC2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E3883"/>
  <w15:docId w15:val="{5F6645A0-296B-4959-8C4F-E50D8575D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40" w:line="240" w:lineRule="auto"/>
      <w:outlineLvl w:val="0"/>
    </w:pPr>
    <w:rPr>
      <w:rFonts w:ascii="Calibri" w:eastAsia="Calibri" w:hAnsi="Calibri" w:cs="Calibri"/>
      <w:smallCaps/>
      <w:sz w:val="36"/>
      <w:szCs w:val="36"/>
    </w:rPr>
  </w:style>
  <w:style w:type="paragraph" w:styleId="Heading2">
    <w:name w:val="heading 2"/>
    <w:basedOn w:val="Normal"/>
    <w:next w:val="Normal"/>
    <w:uiPriority w:val="9"/>
    <w:unhideWhenUsed/>
    <w:qFormat/>
    <w:pPr>
      <w:keepNext/>
      <w:keepLines/>
      <w:spacing w:before="120" w:after="0" w:line="240" w:lineRule="auto"/>
      <w:outlineLvl w:val="1"/>
    </w:pPr>
    <w:rPr>
      <w:rFonts w:ascii="Calibri" w:eastAsia="Calibri" w:hAnsi="Calibri" w:cs="Calibri"/>
      <w:smallCaps/>
      <w:sz w:val="28"/>
      <w:szCs w:val="28"/>
    </w:rPr>
  </w:style>
  <w:style w:type="paragraph" w:styleId="Heading3">
    <w:name w:val="heading 3"/>
    <w:basedOn w:val="Normal"/>
    <w:next w:val="Normal"/>
    <w:uiPriority w:val="9"/>
    <w:semiHidden/>
    <w:unhideWhenUsed/>
    <w:qFormat/>
    <w:pPr>
      <w:keepNext/>
      <w:keepLines/>
      <w:spacing w:before="120" w:after="0" w:line="240" w:lineRule="auto"/>
      <w:outlineLvl w:val="2"/>
    </w:pPr>
    <w:rPr>
      <w:rFonts w:ascii="Calibri" w:eastAsia="Calibri" w:hAnsi="Calibri" w:cs="Calibri"/>
      <w:smallCaps/>
      <w:sz w:val="28"/>
      <w:szCs w:val="28"/>
    </w:rPr>
  </w:style>
  <w:style w:type="paragraph" w:styleId="Heading4">
    <w:name w:val="heading 4"/>
    <w:basedOn w:val="Normal"/>
    <w:next w:val="Normal"/>
    <w:uiPriority w:val="9"/>
    <w:semiHidden/>
    <w:unhideWhenUsed/>
    <w:qFormat/>
    <w:pPr>
      <w:keepNext/>
      <w:keepLines/>
      <w:spacing w:before="120" w:after="0"/>
      <w:outlineLvl w:val="3"/>
    </w:pPr>
    <w:rPr>
      <w:rFonts w:ascii="Calibri" w:eastAsia="Calibri" w:hAnsi="Calibri" w:cs="Calibri"/>
      <w:smallCaps/>
    </w:rPr>
  </w:style>
  <w:style w:type="paragraph" w:styleId="Heading5">
    <w:name w:val="heading 5"/>
    <w:basedOn w:val="Normal"/>
    <w:next w:val="Normal"/>
    <w:uiPriority w:val="9"/>
    <w:semiHidden/>
    <w:unhideWhenUsed/>
    <w:qFormat/>
    <w:pPr>
      <w:keepNext/>
      <w:keepLines/>
      <w:spacing w:before="120" w:after="0"/>
      <w:outlineLvl w:val="4"/>
    </w:pPr>
    <w:rPr>
      <w:rFonts w:ascii="Calibri" w:eastAsia="Calibri" w:hAnsi="Calibri" w:cs="Calibri"/>
      <w:i/>
      <w:smallCaps/>
    </w:rPr>
  </w:style>
  <w:style w:type="paragraph" w:styleId="Heading6">
    <w:name w:val="heading 6"/>
    <w:basedOn w:val="Normal"/>
    <w:next w:val="Normal"/>
    <w:uiPriority w:val="9"/>
    <w:semiHidden/>
    <w:unhideWhenUsed/>
    <w:qFormat/>
    <w:pPr>
      <w:keepNext/>
      <w:keepLines/>
      <w:spacing w:before="120" w:after="0"/>
      <w:outlineLvl w:val="5"/>
    </w:pPr>
    <w:rPr>
      <w:rFonts w:ascii="Calibri" w:eastAsia="Calibri" w:hAnsi="Calibri" w:cs="Calibri"/>
      <w:b/>
      <w:smallCaps/>
      <w:color w:val="26262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libri" w:eastAsia="Calibri" w:hAnsi="Calibri" w:cs="Calibri"/>
      <w:smallCaps/>
      <w:color w:val="404040"/>
      <w:sz w:val="72"/>
      <w:szCs w:val="72"/>
    </w:rPr>
  </w:style>
  <w:style w:type="paragraph" w:styleId="Subtitle">
    <w:name w:val="Subtitle"/>
    <w:basedOn w:val="Normal"/>
    <w:next w:val="Normal"/>
    <w:uiPriority w:val="11"/>
    <w:qFormat/>
    <w:rPr>
      <w:rFonts w:ascii="Calibri" w:eastAsia="Calibri" w:hAnsi="Calibri" w:cs="Calibri"/>
      <w:smallCaps/>
      <w:color w:val="595959"/>
      <w:sz w:val="28"/>
      <w:szCs w:val="2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108555">
      <w:bodyDiv w:val="1"/>
      <w:marLeft w:val="0"/>
      <w:marRight w:val="0"/>
      <w:marTop w:val="0"/>
      <w:marBottom w:val="0"/>
      <w:divBdr>
        <w:top w:val="none" w:sz="0" w:space="0" w:color="auto"/>
        <w:left w:val="none" w:sz="0" w:space="0" w:color="auto"/>
        <w:bottom w:val="none" w:sz="0" w:space="0" w:color="auto"/>
        <w:right w:val="none" w:sz="0" w:space="0" w:color="auto"/>
      </w:divBdr>
    </w:div>
    <w:div w:id="1649632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F69A6-1135-43A8-B027-E9AB1A25C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ANISH KUMAR</cp:lastModifiedBy>
  <cp:revision>2</cp:revision>
  <dcterms:created xsi:type="dcterms:W3CDTF">2024-07-28T05:28:00Z</dcterms:created>
  <dcterms:modified xsi:type="dcterms:W3CDTF">2024-07-28T05:41:00Z</dcterms:modified>
</cp:coreProperties>
</file>