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Policy</w:t>
      </w:r>
    </w:p>
    <w:p>
      <w:r>
        <w:t>Employees are reimbursed for reasonable business expenses submitted within 30 days of being incurred, with itemised receipts.</w:t>
      </w:r>
    </w:p>
    <w:p>
      <w:pPr>
        <w:pStyle w:val="Heading1"/>
      </w:pPr>
      <w:r>
        <w:t>Travel</w:t>
      </w:r>
    </w:p>
    <w:p>
      <w:r>
        <w:t>Domestic flights must be booked in economy class through the travel portal at least 14 days in advance. International travel requires VP approval.</w:t>
      </w:r>
    </w:p>
    <w:p>
      <w:r>
        <w:t>The daily meal allowance while travelling is INR 2,500 in metro cities and INR 1,800 elsewhere.</w:t>
      </w:r>
    </w:p>
    <w:p>
      <w:pPr>
        <w:pStyle w:val="Heading1"/>
      </w:pPr>
      <w:r>
        <w:t>Equipment</w:t>
      </w:r>
    </w:p>
    <w:p>
      <w:r>
        <w:t>Laptops are refreshed every 36 months. Monitors and headsets up to INR 15,000 can be expensed once per year without prior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