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3A1038"/>
          <w:sz w:val="36"/>
          <w:szCs w:val="36"/>
        </w:rPr>
        <w:t xml:space="preserve">ASSIGNMENT 07</w:t>
      </w:r>
    </w:p>
    <w:p>
      <w:pPr>
        <w:pBdr>
          <w:bottom w:val="single" w:color="3A1038" w:sz="12" w:space="8"/>
        </w:pBdr>
        <w:spacing w:after="400"/>
        <w:jc w:val="center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Colour Blind Mode for the HMT Watches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Assignment No.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Anish Bandal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PRN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1032240033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Group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Assignment 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Added Colorblind option to optimize website for colorblind people</w:t>
            </w:r>
          </w:p>
        </w:tc>
      </w:tr>
    </w:tbl>
    <w:p>
      <w:pPr>
        <w:spacing w:after="120" w:before="500"/>
      </w:pPr>
      <w:r>
        <w:rPr>
          <w:rFonts w:ascii="Calibri" w:cs="Calibri" w:eastAsia="Calibri" w:hAnsi="Calibri"/>
          <w:b/>
          <w:bCs/>
          <w:color w:val="3A1038"/>
          <w:sz w:val="28"/>
          <w:szCs w:val="28"/>
        </w:rPr>
        <w:t xml:space="preserve">Objective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optimize the HMT Watches website for colour-blind users by adding a Colour Blind Mode option in the header and ensuring that important information (stock status, ratings, verification, actions) is conveyed through text, icons and contrast rather than colour alone.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3A1038"/>
          <w:sz w:val="32"/>
          <w:szCs w:val="32"/>
        </w:rPr>
        <w:t xml:space="preserve">Website Screenshots</w:t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Figure 1: Home page – Colour Blind Mode selector in the header</w:t>
      </w:r>
    </w:p>
    <w:p>
      <w:pPr>
        <w:keepNext/>
        <w:spacing w:after="80"/>
        <w:jc w:val="center"/>
      </w:pPr>
      <w:r>
        <w:drawing>
          <wp:inline distT="0" distB="0" distL="0" distR="0">
            <wp:extent cx="4286250" cy="3171825"/>
            <wp:effectExtent t="0" r="0" b="0" l="0"/>
            <wp:docPr id="1" name="fig1" descr="Home page – Colour Blind Mode selector in the header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The “Color Blind Mode” control sits in the top navigation bar, always visible and keyboard-focusable, with a clear teal outline.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Figure 2: Product listing – stock badges with icons and text</w:t>
      </w:r>
    </w:p>
    <w:p>
      <w:pPr>
        <w:keepNext/>
        <w:spacing w:after="80"/>
        <w:jc w:val="center"/>
      </w:pPr>
      <w:r>
        <w:drawing>
          <wp:inline distT="0" distB="0" distL="0" distR="0">
            <wp:extent cx="4286250" cy="3171825"/>
            <wp:effectExtent t="0" r="0" b="0" l="0"/>
            <wp:docPr id="1" name="fig2" descr="Product listing – stock badges with icons and text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Stock status (“Low Stock”, “In Stock”) is shown with an icon plus a text label, so it does not depend on colour alone.</w:t>
      </w:r>
    </w:p>
    <w:p>
      <w:r>
        <w:br w:type="page"/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Figure 3: Mechanical collection banner</w:t>
      </w:r>
    </w:p>
    <w:p>
      <w:pPr>
        <w:keepNext/>
        <w:spacing w:after="80"/>
        <w:jc w:val="center"/>
      </w:pPr>
      <w:r>
        <w:drawing>
          <wp:inline distT="0" distB="0" distL="0" distR="0">
            <wp:extent cx="4286250" cy="3171825"/>
            <wp:effectExtent t="0" r="0" b="0" l="0"/>
            <wp:docPr id="1" name="fig3" descr="Mechanical collection banner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High-contrast white text on a dark background, with large readable headings and a clearly outlined call-to-action button.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Figure 4: New Arrivals – Out of stock / Coming soon / In stock</w:t>
      </w:r>
    </w:p>
    <w:p>
      <w:pPr>
        <w:keepNext/>
        <w:spacing w:after="80"/>
        <w:jc w:val="center"/>
      </w:pPr>
      <w:r>
        <w:drawing>
          <wp:inline distT="0" distB="0" distL="0" distR="0">
            <wp:extent cx="4286250" cy="3181350"/>
            <wp:effectExtent t="0" r="0" b="0" l="0"/>
            <wp:docPr id="1" name="fig4" descr="New Arrivals – Out of stock / Coming soon / In stock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Each state uses a distinct symbol (×, clock, ✓), border style (solid vs. dashed) and label, making them distinguishable for colour-blind users.</w:t>
      </w:r>
    </w:p>
    <w:p>
      <w:r>
        <w:br w:type="page"/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Figure 5: Heritage section</w:t>
      </w:r>
    </w:p>
    <w:p>
      <w:pPr>
        <w:keepNext/>
        <w:spacing w:after="80"/>
        <w:jc w:val="center"/>
      </w:pPr>
      <w:r>
        <w:drawing>
          <wp:inline distT="0" distB="0" distL="0" distR="0">
            <wp:extent cx="4286250" cy="2705100"/>
            <wp:effectExtent t="0" r="0" b="0" l="0"/>
            <wp:docPr id="1" name="fig5" descr="Heritage section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Light text on a dark image overlay and a high-contrast teal button keep content legible.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Figure 6: Showroom finder and footer</w:t>
      </w:r>
    </w:p>
    <w:p>
      <w:pPr>
        <w:keepNext/>
        <w:spacing w:after="80"/>
        <w:jc w:val="center"/>
      </w:pPr>
      <w:r>
        <w:drawing>
          <wp:inline distT="0" distB="0" distL="0" distR="0">
            <wp:extent cx="4286250" cy="3162300"/>
            <wp:effectExtent t="0" r="0" b="0" l="0"/>
            <wp:docPr id="1" name="fig6" descr="Showroom finder and footer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Form label, input and button are clearly separated with strong contrast; map pins carry text labels rather than colour coding.</w:t>
      </w:r>
    </w:p>
    <w:p>
      <w:r>
        <w:br w:type="page"/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Figure 7: Customer reviews</w:t>
      </w:r>
    </w:p>
    <w:p>
      <w:pPr>
        <w:keepNext/>
        <w:spacing w:after="80"/>
        <w:jc w:val="center"/>
      </w:pPr>
      <w:r>
        <w:drawing>
          <wp:inline distT="0" distB="0" distL="0" distR="0">
            <wp:extent cx="4286250" cy="2533650"/>
            <wp:effectExtent t="0" r="0" b="0" l="0"/>
            <wp:docPr id="1" name="fig7" descr="Customer reviews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Star ratings are accompanied by a numeric score, and “Verified Purchase” uses a ✓ icon along with text.</w:t>
      </w:r>
    </w:p>
    <w:sectPr>
      <w:footerReference w:type="default" r:id="rId7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Anish Bandal | PRN 1032240033 | Group 02 |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61d8956b2af00f5237ed4a73e9dd03750f28769.png"/><Relationship Id="rId9" Type="http://schemas.openxmlformats.org/officeDocument/2006/relationships/image" Target="media/4ec5ce46b816688dd96a48bf44f91855650bc0e5.png"/><Relationship Id="rId10" Type="http://schemas.openxmlformats.org/officeDocument/2006/relationships/image" Target="media/66d3c6c38aae97879a49a81a5917eef21be286f0.png"/><Relationship Id="rId11" Type="http://schemas.openxmlformats.org/officeDocument/2006/relationships/image" Target="media/490861bf24a4321199b5a97a965f468cacaaf589.png"/><Relationship Id="rId12" Type="http://schemas.openxmlformats.org/officeDocument/2006/relationships/image" Target="media/74cd943eca841c63675bec77a8590797b5ba67e6.png"/><Relationship Id="rId13" Type="http://schemas.openxmlformats.org/officeDocument/2006/relationships/image" Target="media/49de8603b7fdf46e0c10d79262e0079a7fa5efd0.png"/><Relationship Id="rId14" Type="http://schemas.openxmlformats.org/officeDocument/2006/relationships/image" Target="media/074276daf7ad6e0b04a60fd9216fd6aa14ccac4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2026-10-23T09:30:56.919Z</dcterms:created>
  <dcterms:modified xsi:type="dcterms:W3CDTF">2026-10-23T09:30:56.919Z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