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InfraGuardian</w:t>
      </w:r>
    </w:p>
    <w:p>
      <w:pPr>
        <w:jc w:val="center"/>
      </w:pPr>
      <w:r>
        <w:rPr>
          <w:b/>
          <w:sz w:val="32"/>
        </w:rPr>
        <w:t>Product Requirements Document</w:t>
      </w:r>
    </w:p>
    <w:p>
      <w:pPr>
        <w:jc w:val="center"/>
      </w:pPr>
      <w:r>
        <w:rPr>
          <w:i/>
        </w:rPr>
        <w:t>AI Incident Response &amp; Autonomous Remediation Platform</w:t>
        <w:br/>
      </w:r>
      <w:r>
        <w:t>Version 1.0  |  MVP / Portfolio Build  |  October 2026</w:t>
      </w:r>
    </w:p>
    <w:p>
      <w:pPr>
        <w:pStyle w:val="Heading1"/>
      </w:pPr>
      <w:r>
        <w:t>1. Executive Summary</w:t>
      </w:r>
    </w:p>
    <w:p>
      <w:r>
        <w:t>InfraGuardian is an agentic infrastructure observability and incident-response system. It monitors database, CPU/memory, and GPU domains; detects anomalies using deterministic rules; invokes specialist LLM agents only when anomalies are present; correlates findings through a LangGraph orchestrator; predicts likely degradation; and routes incidents to bounded remediation, human recommendation, or escalation based on confidence, severity, and action safety.</w:t>
      </w:r>
    </w:p>
    <w:p>
      <w:r>
        <w:t>The MVP is designed to demonstrate production-oriented AI engineering rather than a generic chatbot. Development uses deterministic scenario simulators; production collectors can be substituted without changing the downstream pipeline.</w:t>
      </w:r>
    </w:p>
    <w:p>
      <w:pPr>
        <w:pStyle w:val="Heading1"/>
      </w:pPr>
      <w:r>
        <w:t>2. Problem Statement</w:t>
      </w:r>
    </w:p>
    <w:p>
      <w:r>
        <w:t>Infrastructure incidents frequently span multiple systems. An individual signal—such as high CPU, slow database queries, or GPU thermal pressure—may not identify the actual failure mechanism. Traditional monitoring surfaces symptoms and alerts, leaving an operator to correlate signals, determine root cause, choose a remediation, and decide whether automation is safe.</w:t>
      </w:r>
    </w:p>
    <w:p>
      <w:r>
        <w:t>InfraGuardian aims to compress that workflow into a controlled system that combines deterministic detection with LLM-based reasoning while preserving explicit safety gates and human escalation.</w:t>
      </w:r>
    </w:p>
    <w:p>
      <w:pPr>
        <w:pStyle w:val="Heading1"/>
      </w:pPr>
      <w:r>
        <w:t>3. Goals</w:t>
      </w:r>
    </w:p>
    <w:p>
      <w:pPr>
        <w:pStyle w:val="ListBullet"/>
      </w:pPr>
      <w:r>
        <w:t>Detect infrastructure anomalies across DB, CPU/memory, and GPU domains.</w:t>
      </w:r>
    </w:p>
    <w:p>
      <w:pPr>
        <w:pStyle w:val="ListBullet"/>
      </w:pPr>
      <w:r>
        <w:t>Run specialist diagnosis in parallel and produce structured RCA hypotheses.</w:t>
      </w:r>
    </w:p>
    <w:p>
      <w:pPr>
        <w:pStyle w:val="ListBullet"/>
      </w:pPr>
      <w:r>
        <w:t>Correlate cross-domain findings rather than treating every alert independently.</w:t>
      </w:r>
    </w:p>
    <w:p>
      <w:pPr>
        <w:pStyle w:val="ListBullet"/>
      </w:pPr>
      <w:r>
        <w:t>Predict likely next-step degradation when an incident is not addressed.</w:t>
      </w:r>
    </w:p>
    <w:p>
      <w:pPr>
        <w:pStyle w:val="ListBullet"/>
      </w:pPr>
      <w:r>
        <w:t>Route incidents using explicit confidence, severity, and remediation-safety rules.</w:t>
      </w:r>
    </w:p>
    <w:p>
      <w:pPr>
        <w:pStyle w:val="ListBullet"/>
      </w:pPr>
      <w:r>
        <w:t>Support safe, allowlisted automated runbooks for high-confidence non-critical incidents.</w:t>
      </w:r>
    </w:p>
    <w:p>
      <w:pPr>
        <w:pStyle w:val="ListBullet"/>
      </w:pPr>
      <w:r>
        <w:t>Provide a reproducible scenario simulator and evaluation harness.</w:t>
      </w:r>
    </w:p>
    <w:p>
      <w:pPr>
        <w:pStyle w:val="ListBullet"/>
      </w:pPr>
      <w:r>
        <w:t>Expose the pipeline through a FastAPI interface and CLI.</w:t>
      </w:r>
    </w:p>
    <w:p>
      <w:pPr>
        <w:pStyle w:val="ListBullet"/>
      </w:pPr>
      <w:r>
        <w:t>Make metric collection replaceable: simulators in development, real collectors in production.</w:t>
      </w:r>
    </w:p>
    <w:p>
      <w:pPr>
        <w:pStyle w:val="Heading1"/>
      </w:pPr>
      <w:r>
        <w:t>4. Non-Goals</w:t>
      </w:r>
    </w:p>
    <w:p>
      <w:pPr>
        <w:pStyle w:val="ListBullet"/>
      </w:pPr>
      <w:r>
        <w:t>Replacing a full enterprise observability platform such as Datadog, Grafana, or Prometheus.</w:t>
      </w:r>
    </w:p>
    <w:p>
      <w:pPr>
        <w:pStyle w:val="ListBullet"/>
      </w:pPr>
      <w:r>
        <w:t>Arbitrary shell-command execution by an LLM.</w:t>
      </w:r>
    </w:p>
    <w:p>
      <w:pPr>
        <w:pStyle w:val="ListBullet"/>
      </w:pPr>
      <w:r>
        <w:t>Fully autonomous remediation of critical incidents.</w:t>
      </w:r>
    </w:p>
    <w:p>
      <w:pPr>
        <w:pStyle w:val="ListBullet"/>
      </w:pPr>
      <w:r>
        <w:t>Training or fine-tuning a foundation model.</w:t>
      </w:r>
    </w:p>
    <w:p>
      <w:pPr>
        <w:pStyle w:val="ListBullet"/>
      </w:pPr>
      <w:r>
        <w:t>Building a production-grade PagerDuty/Slack integration in the first MVP.</w:t>
      </w:r>
    </w:p>
    <w:p>
      <w:pPr>
        <w:pStyle w:val="ListBullet"/>
      </w:pPr>
      <w:r>
        <w:t>Guaranteeing causal relationships from correlation alone.</w:t>
      </w:r>
    </w:p>
    <w:p>
      <w:pPr>
        <w:pStyle w:val="Heading1"/>
      </w:pPr>
      <w:r>
        <w:t>5. Target Users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E8F0"/>
          </w:tcPr>
          <w:p>
            <w:r>
              <w:rPr>
                <w:b/>
              </w:rPr>
              <w:t>User</w:t>
            </w:r>
          </w:p>
        </w:tc>
        <w:tc>
          <w:tcPr>
            <w:tcW w:type="dxa" w:w="3312"/>
            <w:shd w:fill="E2E8F0"/>
          </w:tcPr>
          <w:p>
            <w:r>
              <w:rPr>
                <w:b/>
              </w:rPr>
              <w:t>Need</w:t>
            </w:r>
          </w:p>
        </w:tc>
        <w:tc>
          <w:tcPr>
            <w:tcW w:type="dxa" w:w="3312"/>
            <w:shd w:fill="E2E8F0"/>
          </w:tcPr>
          <w:p>
            <w:r>
              <w:rPr>
                <w:b/>
              </w:rPr>
              <w:t>InfraGuardian value</w:t>
            </w:r>
          </w:p>
        </w:tc>
      </w:tr>
      <w:tr>
        <w:tc>
          <w:tcPr>
            <w:tcW w:type="dxa" w:w="3312"/>
            <w:vAlign w:val="top"/>
          </w:tcPr>
          <w:p>
            <w:r>
              <w:t>SRE / Platform Engineer</w:t>
            </w:r>
          </w:p>
        </w:tc>
        <w:tc>
          <w:tcPr>
            <w:tcW w:type="dxa" w:w="3312"/>
            <w:vAlign w:val="top"/>
          </w:tcPr>
          <w:p>
            <w:r>
              <w:t>Rapid diagnosis and safe response</w:t>
            </w:r>
          </w:p>
        </w:tc>
        <w:tc>
          <w:tcPr>
            <w:tcW w:type="dxa" w:w="3312"/>
            <w:vAlign w:val="top"/>
          </w:tcPr>
          <w:p>
            <w:r>
              <w:t>Cross-domain RCA and bounded remediation</w:t>
            </w:r>
          </w:p>
        </w:tc>
      </w:tr>
      <w:tr>
        <w:tc>
          <w:tcPr>
            <w:tcW w:type="dxa" w:w="3312"/>
            <w:vAlign w:val="top"/>
          </w:tcPr>
          <w:p>
            <w:r>
              <w:t>On-call Engineer</w:t>
            </w:r>
          </w:p>
        </w:tc>
        <w:tc>
          <w:tcPr>
            <w:tcW w:type="dxa" w:w="3312"/>
            <w:vAlign w:val="top"/>
          </w:tcPr>
          <w:p>
            <w:r>
              <w:t>Actionable incident context</w:t>
            </w:r>
          </w:p>
        </w:tc>
        <w:tc>
          <w:tcPr>
            <w:tcW w:type="dxa" w:w="3312"/>
            <w:vAlign w:val="top"/>
          </w:tcPr>
          <w:p>
            <w:r>
              <w:t>Prioritized action plan and escalation context</w:t>
            </w:r>
          </w:p>
        </w:tc>
      </w:tr>
      <w:tr>
        <w:tc>
          <w:tcPr>
            <w:tcW w:type="dxa" w:w="3312"/>
            <w:vAlign w:val="top"/>
          </w:tcPr>
          <w:p>
            <w:r>
              <w:t>Engineering Manager</w:t>
            </w:r>
          </w:p>
        </w:tc>
        <w:tc>
          <w:tcPr>
            <w:tcW w:type="dxa" w:w="3312"/>
            <w:vAlign w:val="top"/>
          </w:tcPr>
          <w:p>
            <w:r>
              <w:t>Reliability visibility</w:t>
            </w:r>
          </w:p>
        </w:tc>
        <w:tc>
          <w:tcPr>
            <w:tcW w:type="dxa" w:w="3312"/>
            <w:vAlign w:val="top"/>
          </w:tcPr>
          <w:p>
            <w:r>
              <w:t>Incident summaries, severity, and recurring failure patterns</w:t>
            </w:r>
          </w:p>
        </w:tc>
      </w:tr>
      <w:tr>
        <w:tc>
          <w:tcPr>
            <w:tcW w:type="dxa" w:w="3312"/>
            <w:vAlign w:val="top"/>
          </w:tcPr>
          <w:p>
            <w:r>
              <w:t>AI / FDE Engineer</w:t>
            </w:r>
          </w:p>
        </w:tc>
        <w:tc>
          <w:tcPr>
            <w:tcW w:type="dxa" w:w="3312"/>
            <w:vAlign w:val="top"/>
          </w:tcPr>
          <w:p>
            <w:r>
              <w:t>Demonstrable production AI architecture</w:t>
            </w:r>
          </w:p>
        </w:tc>
        <w:tc>
          <w:tcPr>
            <w:tcW w:type="dxa" w:w="3312"/>
            <w:vAlign w:val="top"/>
          </w:tcPr>
          <w:p>
            <w:r>
              <w:t>End-to-end agentic system with evaluation and safety controls</w:t>
            </w:r>
          </w:p>
        </w:tc>
      </w:tr>
    </w:tbl>
    <w:p/>
    <w:p>
      <w:pPr>
        <w:pStyle w:val="Heading1"/>
      </w:pPr>
      <w:r>
        <w:t>6. Core User Journey</w:t>
      </w:r>
    </w:p>
    <w:p>
      <w:r>
        <w:t>1. Metrics are ingested from simulated or real collectors.</w:t>
      </w:r>
    </w:p>
    <w:p>
      <w:r>
        <w:t>2. Each specialist applies deterministic anomaly thresholds.</w:t>
      </w:r>
    </w:p>
    <w:p>
      <w:r>
        <w:t>3. Only flagged domains invoke an LLM specialist.</w:t>
      </w:r>
    </w:p>
    <w:p>
      <w:r>
        <w:t>4. Specialists return structured findings: anomaly, root-cause hypothesis, severity, predictive risk, evidence, and remediation-safety assessment.</w:t>
      </w:r>
    </w:p>
    <w:p>
      <w:r>
        <w:t>5. LangGraph orchestrator aggregates findings and analyzes cross-domain relationships.</w:t>
      </w:r>
    </w:p>
    <w:p>
      <w:r>
        <w:t>6. Final synthesis produces unified root cause, correlation/evidence, priority-ordered actions, confidence, and routing.</w:t>
      </w:r>
    </w:p>
    <w:p>
      <w:r>
        <w:t>7. Routing sends the incident to auto-remediation, recommendation, or escalation.</w:t>
      </w:r>
    </w:p>
    <w:p>
      <w:r>
        <w:t>8. The system records the incident and all decisions for evaluation and audit.</w:t>
      </w:r>
    </w:p>
    <w:p>
      <w:pPr>
        <w:pStyle w:val="Heading1"/>
      </w:pPr>
      <w:r>
        <w:t>7. Functional Requirements</w:t>
      </w:r>
    </w:p>
    <w:p>
      <w:pPr>
        <w:pStyle w:val="Heading2"/>
      </w:pPr>
      <w:r>
        <w:t>7.1 Metric Ingestion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E8F0"/>
          </w:tcPr>
          <w:p>
            <w:r>
              <w:rPr>
                <w:b/>
              </w:rPr>
              <w:t>ID</w:t>
            </w:r>
          </w:p>
        </w:tc>
        <w:tc>
          <w:tcPr>
            <w:tcW w:type="dxa" w:w="3312"/>
            <w:shd w:fill="E2E8F0"/>
          </w:tcPr>
          <w:p>
            <w:r>
              <w:rPr>
                <w:b/>
              </w:rPr>
              <w:t>Requirement</w:t>
            </w:r>
          </w:p>
        </w:tc>
        <w:tc>
          <w:tcPr>
            <w:tcW w:type="dxa" w:w="3312"/>
            <w:shd w:fill="E2E8F0"/>
          </w:tcPr>
          <w:p>
            <w:r>
              <w:rPr>
                <w:b/>
              </w:rPr>
              <w:t>Acceptance criterion</w:t>
            </w:r>
          </w:p>
        </w:tc>
      </w:tr>
      <w:tr>
        <w:tc>
          <w:tcPr>
            <w:tcW w:type="dxa" w:w="3312"/>
            <w:vAlign w:val="top"/>
          </w:tcPr>
          <w:p>
            <w:r>
              <w:t>FR-01</w:t>
            </w:r>
          </w:p>
        </w:tc>
        <w:tc>
          <w:tcPr>
            <w:tcW w:type="dxa" w:w="3312"/>
            <w:vAlign w:val="top"/>
          </w:tcPr>
          <w:p>
            <w:r>
              <w:t>Typed metric contracts</w:t>
            </w:r>
          </w:p>
        </w:tc>
        <w:tc>
          <w:tcPr>
            <w:tcW w:type="dxa" w:w="3312"/>
            <w:vAlign w:val="top"/>
          </w:tcPr>
          <w:p>
            <w:r>
              <w:t>DBMetrics, CPUMemMetrics, and GPUMetrics validate incoming data.</w:t>
            </w:r>
          </w:p>
        </w:tc>
      </w:tr>
      <w:tr>
        <w:tc>
          <w:tcPr>
            <w:tcW w:type="dxa" w:w="3312"/>
            <w:vAlign w:val="top"/>
          </w:tcPr>
          <w:p>
            <w:r>
              <w:t>FR-02</w:t>
            </w:r>
          </w:p>
        </w:tc>
        <w:tc>
          <w:tcPr>
            <w:tcW w:type="dxa" w:w="3312"/>
            <w:vAlign w:val="top"/>
          </w:tcPr>
          <w:p>
            <w:r>
              <w:t>Scenario simulation</w:t>
            </w:r>
          </w:p>
        </w:tc>
        <w:tc>
          <w:tcPr>
            <w:tcW w:type="dxa" w:w="3312"/>
            <w:vAlign w:val="top"/>
          </w:tcPr>
          <w:p>
            <w:r>
              <w:t>Simulator produces deterministic, realistic degradation scenarios.</w:t>
            </w:r>
          </w:p>
        </w:tc>
      </w:tr>
      <w:tr>
        <w:tc>
          <w:tcPr>
            <w:tcW w:type="dxa" w:w="3312"/>
            <w:vAlign w:val="top"/>
          </w:tcPr>
          <w:p>
            <w:r>
              <w:t>FR-03</w:t>
            </w:r>
          </w:p>
        </w:tc>
        <w:tc>
          <w:tcPr>
            <w:tcW w:type="dxa" w:w="3312"/>
            <w:vAlign w:val="top"/>
          </w:tcPr>
          <w:p>
            <w:r>
              <w:t>Collector abstraction</w:t>
            </w:r>
          </w:p>
        </w:tc>
        <w:tc>
          <w:tcPr>
            <w:tcW w:type="dxa" w:w="3312"/>
            <w:vAlign w:val="top"/>
          </w:tcPr>
          <w:p>
            <w:r>
              <w:t>Real collectors can replace simulators without downstream changes.</w:t>
            </w:r>
          </w:p>
        </w:tc>
      </w:tr>
      <w:tr>
        <w:tc>
          <w:tcPr>
            <w:tcW w:type="dxa" w:w="3312"/>
            <w:vAlign w:val="top"/>
          </w:tcPr>
          <w:p>
            <w:r>
              <w:t>FR-04</w:t>
            </w:r>
          </w:p>
        </w:tc>
        <w:tc>
          <w:tcPr>
            <w:tcW w:type="dxa" w:w="3312"/>
            <w:vAlign w:val="top"/>
          </w:tcPr>
          <w:p>
            <w:r>
              <w:t>Timestamping</w:t>
            </w:r>
          </w:p>
        </w:tc>
        <w:tc>
          <w:tcPr>
            <w:tcW w:type="dxa" w:w="3312"/>
            <w:vAlign w:val="top"/>
          </w:tcPr>
          <w:p>
            <w:r>
              <w:t>Every metric sample contains timestamp and source/domain metadata.</w:t>
            </w:r>
          </w:p>
        </w:tc>
      </w:tr>
    </w:tbl>
    <w:p/>
    <w:p>
      <w:pPr>
        <w:pStyle w:val="Heading2"/>
      </w:pPr>
      <w:r>
        <w:t>7.2 Detection &amp; Specialist Agents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E8F0"/>
          </w:tcPr>
          <w:p>
            <w:r>
              <w:rPr>
                <w:b/>
              </w:rPr>
              <w:t>ID</w:t>
            </w:r>
          </w:p>
        </w:tc>
        <w:tc>
          <w:tcPr>
            <w:tcW w:type="dxa" w:w="3312"/>
            <w:shd w:fill="E2E8F0"/>
          </w:tcPr>
          <w:p>
            <w:r>
              <w:rPr>
                <w:b/>
              </w:rPr>
              <w:t>Requirement</w:t>
            </w:r>
          </w:p>
        </w:tc>
        <w:tc>
          <w:tcPr>
            <w:tcW w:type="dxa" w:w="3312"/>
            <w:shd w:fill="E2E8F0"/>
          </w:tcPr>
          <w:p>
            <w:r>
              <w:rPr>
                <w:b/>
              </w:rPr>
              <w:t>Acceptance criterion</w:t>
            </w:r>
          </w:p>
        </w:tc>
      </w:tr>
      <w:tr>
        <w:tc>
          <w:tcPr>
            <w:tcW w:type="dxa" w:w="3312"/>
            <w:vAlign w:val="top"/>
          </w:tcPr>
          <w:p>
            <w:r>
              <w:t>FR-05</w:t>
            </w:r>
          </w:p>
        </w:tc>
        <w:tc>
          <w:tcPr>
            <w:tcW w:type="dxa" w:w="3312"/>
            <w:vAlign w:val="top"/>
          </w:tcPr>
          <w:p>
            <w:r>
              <w:t>Rule pre-screen</w:t>
            </w:r>
          </w:p>
        </w:tc>
        <w:tc>
          <w:tcPr>
            <w:tcW w:type="dxa" w:w="3312"/>
            <w:vAlign w:val="top"/>
          </w:tcPr>
          <w:p>
            <w:r>
              <w:t>Threshold checks run before any LLM call.</w:t>
            </w:r>
          </w:p>
        </w:tc>
      </w:tr>
      <w:tr>
        <w:tc>
          <w:tcPr>
            <w:tcW w:type="dxa" w:w="3312"/>
            <w:vAlign w:val="top"/>
          </w:tcPr>
          <w:p>
            <w:r>
              <w:t>FR-06</w:t>
            </w:r>
          </w:p>
        </w:tc>
        <w:tc>
          <w:tcPr>
            <w:tcW w:type="dxa" w:w="3312"/>
            <w:vAlign w:val="top"/>
          </w:tcPr>
          <w:p>
            <w:r>
              <w:t>Conditional LLM invocation</w:t>
            </w:r>
          </w:p>
        </w:tc>
        <w:tc>
          <w:tcPr>
            <w:tcW w:type="dxa" w:w="3312"/>
            <w:vAlign w:val="top"/>
          </w:tcPr>
          <w:p>
            <w:r>
              <w:t>Healthy domains do not invoke the LLM.</w:t>
            </w:r>
          </w:p>
        </w:tc>
      </w:tr>
      <w:tr>
        <w:tc>
          <w:tcPr>
            <w:tcW w:type="dxa" w:w="3312"/>
            <w:vAlign w:val="top"/>
          </w:tcPr>
          <w:p>
            <w:r>
              <w:t>FR-07</w:t>
            </w:r>
          </w:p>
        </w:tc>
        <w:tc>
          <w:tcPr>
            <w:tcW w:type="dxa" w:w="3312"/>
            <w:vAlign w:val="top"/>
          </w:tcPr>
          <w:p>
            <w:r>
              <w:t>Structured RCA</w:t>
            </w:r>
          </w:p>
        </w:tc>
        <w:tc>
          <w:tcPr>
            <w:tcW w:type="dxa" w:w="3312"/>
            <w:vAlign w:val="top"/>
          </w:tcPr>
          <w:p>
            <w:r>
              <w:t>Specialists return schema-valid root cause, severity, predictive risk, evidence, and automation safety.</w:t>
            </w:r>
          </w:p>
        </w:tc>
      </w:tr>
      <w:tr>
        <w:tc>
          <w:tcPr>
            <w:tcW w:type="dxa" w:w="3312"/>
            <w:vAlign w:val="top"/>
          </w:tcPr>
          <w:p>
            <w:r>
              <w:t>FR-08</w:t>
            </w:r>
          </w:p>
        </w:tc>
        <w:tc>
          <w:tcPr>
            <w:tcW w:type="dxa" w:w="3312"/>
            <w:vAlign w:val="top"/>
          </w:tcPr>
          <w:p>
            <w:r>
              <w:t>Parallelism</w:t>
            </w:r>
          </w:p>
        </w:tc>
        <w:tc>
          <w:tcPr>
            <w:tcW w:type="dxa" w:w="3312"/>
            <w:vAlign w:val="top"/>
          </w:tcPr>
          <w:p>
            <w:r>
              <w:t>Independent specialists can execute concurrently.</w:t>
            </w:r>
          </w:p>
        </w:tc>
      </w:tr>
    </w:tbl>
    <w:p/>
    <w:p>
      <w:pPr>
        <w:pStyle w:val="Heading2"/>
      </w:pPr>
      <w:r>
        <w:t>7.3 Orchestration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E8F0"/>
          </w:tcPr>
          <w:p>
            <w:r>
              <w:rPr>
                <w:b/>
              </w:rPr>
              <w:t>ID</w:t>
            </w:r>
          </w:p>
        </w:tc>
        <w:tc>
          <w:tcPr>
            <w:tcW w:type="dxa" w:w="3312"/>
            <w:shd w:fill="E2E8F0"/>
          </w:tcPr>
          <w:p>
            <w:r>
              <w:rPr>
                <w:b/>
              </w:rPr>
              <w:t>Requirement</w:t>
            </w:r>
          </w:p>
        </w:tc>
        <w:tc>
          <w:tcPr>
            <w:tcW w:type="dxa" w:w="3312"/>
            <w:shd w:fill="E2E8F0"/>
          </w:tcPr>
          <w:p>
            <w:r>
              <w:rPr>
                <w:b/>
              </w:rPr>
              <w:t>Acceptance criterion</w:t>
            </w:r>
          </w:p>
        </w:tc>
      </w:tr>
      <w:tr>
        <w:tc>
          <w:tcPr>
            <w:tcW w:type="dxa" w:w="3312"/>
            <w:vAlign w:val="top"/>
          </w:tcPr>
          <w:p>
            <w:r>
              <w:t>FR-09</w:t>
            </w:r>
          </w:p>
        </w:tc>
        <w:tc>
          <w:tcPr>
            <w:tcW w:type="dxa" w:w="3312"/>
            <w:vAlign w:val="top"/>
          </w:tcPr>
          <w:p>
            <w:r>
              <w:t>Stateful graph</w:t>
            </w:r>
          </w:p>
        </w:tc>
        <w:tc>
          <w:tcPr>
            <w:tcW w:type="dxa" w:w="3312"/>
            <w:vAlign w:val="top"/>
          </w:tcPr>
          <w:p>
            <w:r>
              <w:t>LangGraph represents specialist execution, synthesis, and routing.</w:t>
            </w:r>
          </w:p>
        </w:tc>
      </w:tr>
      <w:tr>
        <w:tc>
          <w:tcPr>
            <w:tcW w:type="dxa" w:w="3312"/>
            <w:vAlign w:val="top"/>
          </w:tcPr>
          <w:p>
            <w:r>
              <w:t>FR-10</w:t>
            </w:r>
          </w:p>
        </w:tc>
        <w:tc>
          <w:tcPr>
            <w:tcW w:type="dxa" w:w="3312"/>
            <w:vAlign w:val="top"/>
          </w:tcPr>
          <w:p>
            <w:r>
              <w:t>Cross-domain correlation</w:t>
            </w:r>
          </w:p>
        </w:tc>
        <w:tc>
          <w:tcPr>
            <w:tcW w:type="dxa" w:w="3312"/>
            <w:vAlign w:val="top"/>
          </w:tcPr>
          <w:p>
            <w:r>
              <w:t>Synthesis explicitly identifies supporting evidence and relationships between findings.</w:t>
            </w:r>
          </w:p>
        </w:tc>
      </w:tr>
      <w:tr>
        <w:tc>
          <w:tcPr>
            <w:tcW w:type="dxa" w:w="3312"/>
            <w:vAlign w:val="top"/>
          </w:tcPr>
          <w:p>
            <w:r>
              <w:t>FR-11</w:t>
            </w:r>
          </w:p>
        </w:tc>
        <w:tc>
          <w:tcPr>
            <w:tcW w:type="dxa" w:w="3312"/>
            <w:vAlign w:val="top"/>
          </w:tcPr>
          <w:p>
            <w:r>
              <w:t>Unified incident report</w:t>
            </w:r>
          </w:p>
        </w:tc>
        <w:tc>
          <w:tcPr>
            <w:tcW w:type="dxa" w:w="3312"/>
            <w:vAlign w:val="top"/>
          </w:tcPr>
          <w:p>
            <w:r>
              <w:t>Report includes root cause, confidence, severity, duration, evidence, and action plan.</w:t>
            </w:r>
          </w:p>
        </w:tc>
      </w:tr>
    </w:tbl>
    <w:p/>
    <w:p>
      <w:pPr>
        <w:pStyle w:val="Heading2"/>
      </w:pPr>
      <w:r>
        <w:t>7.4 Action Routing &amp; Safety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E8F0"/>
          </w:tcPr>
          <w:p>
            <w:r>
              <w:rPr>
                <w:b/>
              </w:rPr>
              <w:t>ID</w:t>
            </w:r>
          </w:p>
        </w:tc>
        <w:tc>
          <w:tcPr>
            <w:tcW w:type="dxa" w:w="3312"/>
            <w:shd w:fill="E2E8F0"/>
          </w:tcPr>
          <w:p>
            <w:r>
              <w:rPr>
                <w:b/>
              </w:rPr>
              <w:t>Requirement</w:t>
            </w:r>
          </w:p>
        </w:tc>
        <w:tc>
          <w:tcPr>
            <w:tcW w:type="dxa" w:w="3312"/>
            <w:shd w:fill="E2E8F0"/>
          </w:tcPr>
          <w:p>
            <w:r>
              <w:rPr>
                <w:b/>
              </w:rPr>
              <w:t>Acceptance criterion</w:t>
            </w:r>
          </w:p>
        </w:tc>
      </w:tr>
      <w:tr>
        <w:tc>
          <w:tcPr>
            <w:tcW w:type="dxa" w:w="3312"/>
            <w:vAlign w:val="top"/>
          </w:tcPr>
          <w:p>
            <w:r>
              <w:t>FR-12</w:t>
            </w:r>
          </w:p>
        </w:tc>
        <w:tc>
          <w:tcPr>
            <w:tcW w:type="dxa" w:w="3312"/>
            <w:vAlign w:val="top"/>
          </w:tcPr>
          <w:p>
            <w:r>
              <w:t>Auto-remediation gate</w:t>
            </w:r>
          </w:p>
        </w:tc>
        <w:tc>
          <w:tcPr>
            <w:tcW w:type="dxa" w:w="3312"/>
            <w:vAlign w:val="top"/>
          </w:tcPr>
          <w:p>
            <w:r>
              <w:t>Auto-remediation requires confidence ≥ 0.8, safe action, and severity below critical.</w:t>
            </w:r>
          </w:p>
        </w:tc>
      </w:tr>
      <w:tr>
        <w:tc>
          <w:tcPr>
            <w:tcW w:type="dxa" w:w="3312"/>
            <w:vAlign w:val="top"/>
          </w:tcPr>
          <w:p>
            <w:r>
              <w:t>FR-13</w:t>
            </w:r>
          </w:p>
        </w:tc>
        <w:tc>
          <w:tcPr>
            <w:tcW w:type="dxa" w:w="3312"/>
            <w:vAlign w:val="top"/>
          </w:tcPr>
          <w:p>
            <w:r>
              <w:t>Recommendation gate</w:t>
            </w:r>
          </w:p>
        </w:tc>
        <w:tc>
          <w:tcPr>
            <w:tcW w:type="dxa" w:w="3312"/>
            <w:vAlign w:val="top"/>
          </w:tcPr>
          <w:p>
            <w:r>
              <w:t>Medium-confidence incidents produce prioritized human-review actions.</w:t>
            </w:r>
          </w:p>
        </w:tc>
      </w:tr>
      <w:tr>
        <w:tc>
          <w:tcPr>
            <w:tcW w:type="dxa" w:w="3312"/>
            <w:vAlign w:val="top"/>
          </w:tcPr>
          <w:p>
            <w:r>
              <w:t>FR-14</w:t>
            </w:r>
          </w:p>
        </w:tc>
        <w:tc>
          <w:tcPr>
            <w:tcW w:type="dxa" w:w="3312"/>
            <w:vAlign w:val="top"/>
          </w:tcPr>
          <w:p>
            <w:r>
              <w:t>Escalation gate</w:t>
            </w:r>
          </w:p>
        </w:tc>
        <w:tc>
          <w:tcPr>
            <w:tcW w:type="dxa" w:w="3312"/>
            <w:vAlign w:val="top"/>
          </w:tcPr>
          <w:p>
            <w:r>
              <w:t>Low-confidence or critical incidents escalate with full context.</w:t>
            </w:r>
          </w:p>
        </w:tc>
      </w:tr>
      <w:tr>
        <w:tc>
          <w:tcPr>
            <w:tcW w:type="dxa" w:w="3312"/>
            <w:vAlign w:val="top"/>
          </w:tcPr>
          <w:p>
            <w:r>
              <w:t>FR-15</w:t>
            </w:r>
          </w:p>
        </w:tc>
        <w:tc>
          <w:tcPr>
            <w:tcW w:type="dxa" w:w="3312"/>
            <w:vAlign w:val="top"/>
          </w:tcPr>
          <w:p>
            <w:r>
              <w:t>Allowlisted actions</w:t>
            </w:r>
          </w:p>
        </w:tc>
        <w:tc>
          <w:tcPr>
            <w:tcW w:type="dxa" w:w="3312"/>
            <w:vAlign w:val="top"/>
          </w:tcPr>
          <w:p>
            <w:r>
              <w:t>LLM cannot invent arbitrary executable actions.</w:t>
            </w:r>
          </w:p>
        </w:tc>
      </w:tr>
      <w:tr>
        <w:tc>
          <w:tcPr>
            <w:tcW w:type="dxa" w:w="3312"/>
            <w:vAlign w:val="top"/>
          </w:tcPr>
          <w:p>
            <w:r>
              <w:t>FR-16</w:t>
            </w:r>
          </w:p>
        </w:tc>
        <w:tc>
          <w:tcPr>
            <w:tcW w:type="dxa" w:w="3312"/>
            <w:vAlign w:val="top"/>
          </w:tcPr>
          <w:p>
            <w:r>
              <w:t>Auditability</w:t>
            </w:r>
          </w:p>
        </w:tc>
        <w:tc>
          <w:tcPr>
            <w:tcW w:type="dxa" w:w="3312"/>
            <w:vAlign w:val="top"/>
          </w:tcPr>
          <w:p>
            <w:r>
              <w:t>Every automated action records rationale, confidence, target, timestamp, and result.</w:t>
            </w:r>
          </w:p>
        </w:tc>
      </w:tr>
    </w:tbl>
    <w:p/>
    <w:p>
      <w:pPr>
        <w:pStyle w:val="Heading2"/>
      </w:pPr>
      <w:r>
        <w:t>7.5 API &amp; CLI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E8F0"/>
          </w:tcPr>
          <w:p>
            <w:r>
              <w:rPr>
                <w:b/>
              </w:rPr>
              <w:t>ID</w:t>
            </w:r>
          </w:p>
        </w:tc>
        <w:tc>
          <w:tcPr>
            <w:tcW w:type="dxa" w:w="3312"/>
            <w:shd w:fill="E2E8F0"/>
          </w:tcPr>
          <w:p>
            <w:r>
              <w:rPr>
                <w:b/>
              </w:rPr>
              <w:t>Requirement</w:t>
            </w:r>
          </w:p>
        </w:tc>
        <w:tc>
          <w:tcPr>
            <w:tcW w:type="dxa" w:w="3312"/>
            <w:shd w:fill="E2E8F0"/>
          </w:tcPr>
          <w:p>
            <w:r>
              <w:rPr>
                <w:b/>
              </w:rPr>
              <w:t>Acceptance criterion</w:t>
            </w:r>
          </w:p>
        </w:tc>
      </w:tr>
      <w:tr>
        <w:tc>
          <w:tcPr>
            <w:tcW w:type="dxa" w:w="3312"/>
            <w:vAlign w:val="top"/>
          </w:tcPr>
          <w:p>
            <w:r>
              <w:t>FR-17</w:t>
            </w:r>
          </w:p>
        </w:tc>
        <w:tc>
          <w:tcPr>
            <w:tcW w:type="dxa" w:w="3312"/>
            <w:vAlign w:val="top"/>
          </w:tcPr>
          <w:p>
            <w:r>
              <w:t>CLI</w:t>
            </w:r>
          </w:p>
        </w:tc>
        <w:tc>
          <w:tcPr>
            <w:tcW w:type="dxa" w:w="3312"/>
            <w:vAlign w:val="top"/>
          </w:tcPr>
          <w:p>
            <w:r>
              <w:t>User can run predefined scenarios and inspect structured output.</w:t>
            </w:r>
          </w:p>
        </w:tc>
      </w:tr>
      <w:tr>
        <w:tc>
          <w:tcPr>
            <w:tcW w:type="dxa" w:w="3312"/>
            <w:vAlign w:val="top"/>
          </w:tcPr>
          <w:p>
            <w:r>
              <w:t>FR-18</w:t>
            </w:r>
          </w:p>
        </w:tc>
        <w:tc>
          <w:tcPr>
            <w:tcW w:type="dxa" w:w="3312"/>
            <w:vAlign w:val="top"/>
          </w:tcPr>
          <w:p>
            <w:r>
              <w:t>REST API</w:t>
            </w:r>
          </w:p>
        </w:tc>
        <w:tc>
          <w:tcPr>
            <w:tcW w:type="dxa" w:w="3312"/>
            <w:vAlign w:val="top"/>
          </w:tcPr>
          <w:p>
            <w:r>
              <w:t>POST /analyze accepts scenario or metric inputs and returns an incident report.</w:t>
            </w:r>
          </w:p>
        </w:tc>
      </w:tr>
      <w:tr>
        <w:tc>
          <w:tcPr>
            <w:tcW w:type="dxa" w:w="3312"/>
            <w:vAlign w:val="top"/>
          </w:tcPr>
          <w:p>
            <w:r>
              <w:t>FR-19</w:t>
            </w:r>
          </w:p>
        </w:tc>
        <w:tc>
          <w:tcPr>
            <w:tcW w:type="dxa" w:w="3312"/>
            <w:vAlign w:val="top"/>
          </w:tcPr>
          <w:p>
            <w:r>
              <w:t>Validation</w:t>
            </w:r>
          </w:p>
        </w:tc>
        <w:tc>
          <w:tcPr>
            <w:tcW w:type="dxa" w:w="3312"/>
            <w:vAlign w:val="top"/>
          </w:tcPr>
          <w:p>
            <w:r>
              <w:t>Pydantic validates requests and model outputs.</w:t>
            </w:r>
          </w:p>
        </w:tc>
      </w:tr>
    </w:tbl>
    <w:p/>
    <w:p>
      <w:pPr>
        <w:pStyle w:val="Heading1"/>
      </w:pPr>
      <w:r>
        <w:t>8. Incident Output Contract</w:t>
      </w:r>
    </w:p>
    <w:p>
      <w:r>
        <w:t>The canonical incident report should contain at minimum:</w:t>
      </w:r>
    </w:p>
    <w:p>
      <w:pPr>
        <w:pStyle w:val="ListBullet"/>
      </w:pPr>
      <w:r>
        <w:t>incident_id</w:t>
      </w:r>
    </w:p>
    <w:p>
      <w:pPr>
        <w:pStyle w:val="ListBullet"/>
      </w:pPr>
      <w:r>
        <w:t>timestamp / duration</w:t>
      </w:r>
    </w:p>
    <w:p>
      <w:pPr>
        <w:pStyle w:val="ListBullet"/>
      </w:pPr>
      <w:r>
        <w:t>affected_domains</w:t>
      </w:r>
    </w:p>
    <w:p>
      <w:pPr>
        <w:pStyle w:val="ListBullet"/>
      </w:pPr>
      <w:r>
        <w:t>observed_anomalies</w:t>
      </w:r>
    </w:p>
    <w:p>
      <w:pPr>
        <w:pStyle w:val="ListBullet"/>
      </w:pPr>
      <w:r>
        <w:t>evidence</w:t>
      </w:r>
    </w:p>
    <w:p>
      <w:pPr>
        <w:pStyle w:val="ListBullet"/>
      </w:pPr>
      <w:r>
        <w:t>unified_root_cause</w:t>
      </w:r>
    </w:p>
    <w:p>
      <w:pPr>
        <w:pStyle w:val="ListBullet"/>
      </w:pPr>
      <w:r>
        <w:t>correlations</w:t>
      </w:r>
    </w:p>
    <w:p>
      <w:pPr>
        <w:pStyle w:val="ListBullet"/>
      </w:pPr>
      <w:r>
        <w:t>severity</w:t>
      </w:r>
    </w:p>
    <w:p>
      <w:pPr>
        <w:pStyle w:val="ListBullet"/>
      </w:pPr>
      <w:r>
        <w:t>confidence</w:t>
      </w:r>
    </w:p>
    <w:p>
      <w:pPr>
        <w:pStyle w:val="ListBullet"/>
      </w:pPr>
      <w:r>
        <w:t>predictive_risk</w:t>
      </w:r>
    </w:p>
    <w:p>
      <w:pPr>
        <w:pStyle w:val="ListBullet"/>
      </w:pPr>
      <w:r>
        <w:t>priority_ordered_actions</w:t>
      </w:r>
    </w:p>
    <w:p>
      <w:pPr>
        <w:pStyle w:val="ListBullet"/>
      </w:pPr>
      <w:r>
        <w:t>recommended_or_executed_runbook</w:t>
      </w:r>
    </w:p>
    <w:p>
      <w:pPr>
        <w:pStyle w:val="ListBullet"/>
      </w:pPr>
      <w:r>
        <w:t>routing_decision</w:t>
      </w:r>
    </w:p>
    <w:p>
      <w:pPr>
        <w:pStyle w:val="ListBullet"/>
      </w:pPr>
      <w:r>
        <w:t>automation_safety_reason</w:t>
      </w:r>
    </w:p>
    <w:p>
      <w:pPr>
        <w:pStyle w:val="Heading1"/>
      </w:pPr>
      <w:r>
        <w:t>9. Safety &amp; Reliability Requirements</w:t>
      </w:r>
    </w:p>
    <w:p>
      <w:pPr>
        <w:pStyle w:val="ListBullet"/>
      </w:pPr>
      <w:r>
        <w:t>No arbitrary code or shell execution from model output.</w:t>
      </w:r>
    </w:p>
    <w:p>
      <w:pPr>
        <w:pStyle w:val="ListBullet"/>
      </w:pPr>
      <w:r>
        <w:t>All executable remediation actions must map to a predefined allowlist.</w:t>
      </w:r>
    </w:p>
    <w:p>
      <w:pPr>
        <w:pStyle w:val="ListBullet"/>
      </w:pPr>
      <w:r>
        <w:t>Critical incidents must never auto-remediate in MVP.</w:t>
      </w:r>
    </w:p>
    <w:p>
      <w:pPr>
        <w:pStyle w:val="ListBullet"/>
      </w:pPr>
      <w:r>
        <w:t>Low-confidence findings must escalate.</w:t>
      </w:r>
    </w:p>
    <w:p>
      <w:pPr>
        <w:pStyle w:val="ListBullet"/>
      </w:pPr>
      <w:r>
        <w:t>Malformed or ambiguous LLM output must fail closed to recommendation/escalation.</w:t>
      </w:r>
    </w:p>
    <w:p>
      <w:pPr>
        <w:pStyle w:val="ListBullet"/>
      </w:pPr>
      <w:r>
        <w:t>Tool/API failures must be represented explicitly rather than hidden from the final report.</w:t>
      </w:r>
    </w:p>
    <w:p>
      <w:pPr>
        <w:pStyle w:val="ListBullet"/>
      </w:pPr>
      <w:r>
        <w:t>Causal claims must be labeled as hypotheses unless supported by measured evidence.</w:t>
      </w:r>
    </w:p>
    <w:p>
      <w:pPr>
        <w:pStyle w:val="ListBullet"/>
      </w:pPr>
      <w:r>
        <w:t>Every remediation must be idempotent or protected against duplicate execution where feasible.</w:t>
      </w:r>
    </w:p>
    <w:p>
      <w:pPr>
        <w:pStyle w:val="Heading1"/>
      </w:pPr>
      <w:r>
        <w:t>10. Evaluation Strategy</w:t>
      </w:r>
    </w:p>
    <w:p>
      <w:r>
        <w:t>The evaluation harness is a first-class MVP component. Scenario fixtures should define expected anomaly, root-cause class, severity, routing, and safe action.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E8F0"/>
          </w:tcPr>
          <w:p>
            <w:r>
              <w:rPr>
                <w:b/>
              </w:rPr>
              <w:t>Metric</w:t>
            </w:r>
          </w:p>
        </w:tc>
        <w:tc>
          <w:tcPr>
            <w:tcW w:type="dxa" w:w="3312"/>
            <w:shd w:fill="E2E8F0"/>
          </w:tcPr>
          <w:p>
            <w:r>
              <w:rPr>
                <w:b/>
              </w:rPr>
              <w:t>Definition</w:t>
            </w:r>
          </w:p>
        </w:tc>
        <w:tc>
          <w:tcPr>
            <w:tcW w:type="dxa" w:w="3312"/>
            <w:shd w:fill="E2E8F0"/>
          </w:tcPr>
          <w:p>
            <w:r>
              <w:rPr>
                <w:b/>
              </w:rPr>
              <w:t>Target for MVP</w:t>
            </w:r>
          </w:p>
        </w:tc>
      </w:tr>
      <w:tr>
        <w:tc>
          <w:tcPr>
            <w:tcW w:type="dxa" w:w="3312"/>
            <w:vAlign w:val="top"/>
          </w:tcPr>
          <w:p>
            <w:r>
              <w:t>Detection accuracy</w:t>
            </w:r>
          </w:p>
        </w:tc>
        <w:tc>
          <w:tcPr>
            <w:tcW w:type="dxa" w:w="3312"/>
            <w:vAlign w:val="top"/>
          </w:tcPr>
          <w:p>
            <w:r>
              <w:t>Correct anomaly classification / test cases</w:t>
            </w:r>
          </w:p>
        </w:tc>
        <w:tc>
          <w:tcPr>
            <w:tcW w:type="dxa" w:w="3312"/>
            <w:vAlign w:val="top"/>
          </w:tcPr>
          <w:p>
            <w:r>
              <w:t>≥ 95%</w:t>
            </w:r>
          </w:p>
        </w:tc>
      </w:tr>
      <w:tr>
        <w:tc>
          <w:tcPr>
            <w:tcW w:type="dxa" w:w="3312"/>
            <w:vAlign w:val="top"/>
          </w:tcPr>
          <w:p>
            <w:r>
              <w:t>RCA accuracy</w:t>
            </w:r>
          </w:p>
        </w:tc>
        <w:tc>
          <w:tcPr>
            <w:tcW w:type="dxa" w:w="3312"/>
            <w:vAlign w:val="top"/>
          </w:tcPr>
          <w:p>
            <w:r>
              <w:t>Correct root-cause class / anomalous cases</w:t>
            </w:r>
          </w:p>
        </w:tc>
        <w:tc>
          <w:tcPr>
            <w:tcW w:type="dxa" w:w="3312"/>
            <w:vAlign w:val="top"/>
          </w:tcPr>
          <w:p>
            <w:r>
              <w:t>≥ 85%</w:t>
            </w:r>
          </w:p>
        </w:tc>
      </w:tr>
      <w:tr>
        <w:tc>
          <w:tcPr>
            <w:tcW w:type="dxa" w:w="3312"/>
            <w:vAlign w:val="top"/>
          </w:tcPr>
          <w:p>
            <w:r>
              <w:t>Routing accuracy</w:t>
            </w:r>
          </w:p>
        </w:tc>
        <w:tc>
          <w:tcPr>
            <w:tcW w:type="dxa" w:w="3312"/>
            <w:vAlign w:val="top"/>
          </w:tcPr>
          <w:p>
            <w:r>
              <w:t>Correct auto/recommend/escalate decision</w:t>
            </w:r>
          </w:p>
        </w:tc>
        <w:tc>
          <w:tcPr>
            <w:tcW w:type="dxa" w:w="3312"/>
            <w:vAlign w:val="top"/>
          </w:tcPr>
          <w:p>
            <w:r>
              <w:t>≥ 95%</w:t>
            </w:r>
          </w:p>
        </w:tc>
      </w:tr>
      <w:tr>
        <w:tc>
          <w:tcPr>
            <w:tcW w:type="dxa" w:w="3312"/>
            <w:vAlign w:val="top"/>
          </w:tcPr>
          <w:p>
            <w:r>
              <w:t>False auto-remediation</w:t>
            </w:r>
          </w:p>
        </w:tc>
        <w:tc>
          <w:tcPr>
            <w:tcW w:type="dxa" w:w="3312"/>
            <w:vAlign w:val="top"/>
          </w:tcPr>
          <w:p>
            <w:r>
              <w:t>Unsafe/incorrect automatic actions</w:t>
            </w:r>
          </w:p>
        </w:tc>
        <w:tc>
          <w:tcPr>
            <w:tcW w:type="dxa" w:w="3312"/>
            <w:vAlign w:val="top"/>
          </w:tcPr>
          <w:p>
            <w:r>
              <w:t>0 in evaluation suite</w:t>
            </w:r>
          </w:p>
        </w:tc>
      </w:tr>
      <w:tr>
        <w:tc>
          <w:tcPr>
            <w:tcW w:type="dxa" w:w="3312"/>
            <w:vAlign w:val="top"/>
          </w:tcPr>
          <w:p>
            <w:r>
              <w:t>Schema validity</w:t>
            </w:r>
          </w:p>
        </w:tc>
        <w:tc>
          <w:tcPr>
            <w:tcW w:type="dxa" w:w="3312"/>
            <w:vAlign w:val="top"/>
          </w:tcPr>
          <w:p>
            <w:r>
              <w:t>Structured model outputs passing validation</w:t>
            </w:r>
          </w:p>
        </w:tc>
        <w:tc>
          <w:tcPr>
            <w:tcW w:type="dxa" w:w="3312"/>
            <w:vAlign w:val="top"/>
          </w:tcPr>
          <w:p>
            <w:r>
              <w:t>≥ 99%</w:t>
            </w:r>
          </w:p>
        </w:tc>
      </w:tr>
      <w:tr>
        <w:tc>
          <w:tcPr>
            <w:tcW w:type="dxa" w:w="3312"/>
            <w:vAlign w:val="top"/>
          </w:tcPr>
          <w:p>
            <w:r>
              <w:t>Rule filtering</w:t>
            </w:r>
          </w:p>
        </w:tc>
        <w:tc>
          <w:tcPr>
            <w:tcW w:type="dxa" w:w="3312"/>
            <w:vAlign w:val="top"/>
          </w:tcPr>
          <w:p>
            <w:r>
              <w:t>Incidents resolved without LLM call</w:t>
            </w:r>
          </w:p>
        </w:tc>
        <w:tc>
          <w:tcPr>
            <w:tcW w:type="dxa" w:w="3312"/>
            <w:vAlign w:val="top"/>
          </w:tcPr>
          <w:p>
            <w:r>
              <w:t>Measure; optimize for cost/latency</w:t>
            </w:r>
          </w:p>
        </w:tc>
      </w:tr>
      <w:tr>
        <w:tc>
          <w:tcPr>
            <w:tcW w:type="dxa" w:w="3312"/>
            <w:vAlign w:val="top"/>
          </w:tcPr>
          <w:p>
            <w:r>
              <w:t>LLM cost / incident</w:t>
            </w:r>
          </w:p>
        </w:tc>
        <w:tc>
          <w:tcPr>
            <w:tcW w:type="dxa" w:w="3312"/>
            <w:vAlign w:val="top"/>
          </w:tcPr>
          <w:p>
            <w:r>
              <w:t>Total model spend per analyzed incident</w:t>
            </w:r>
          </w:p>
        </w:tc>
        <w:tc>
          <w:tcPr>
            <w:tcW w:type="dxa" w:w="3312"/>
            <w:vAlign w:val="top"/>
          </w:tcPr>
          <w:p>
            <w:r>
              <w:t>Track and report</w:t>
            </w:r>
          </w:p>
        </w:tc>
      </w:tr>
      <w:tr>
        <w:tc>
          <w:tcPr>
            <w:tcW w:type="dxa" w:w="3312"/>
            <w:vAlign w:val="top"/>
          </w:tcPr>
          <w:p>
            <w:r>
              <w:t>Latency</w:t>
            </w:r>
          </w:p>
        </w:tc>
        <w:tc>
          <w:tcPr>
            <w:tcW w:type="dxa" w:w="3312"/>
            <w:vAlign w:val="top"/>
          </w:tcPr>
          <w:p>
            <w:r>
              <w:t>End-to-end analysis time</w:t>
            </w:r>
          </w:p>
        </w:tc>
        <w:tc>
          <w:tcPr>
            <w:tcW w:type="dxa" w:w="3312"/>
            <w:vAlign w:val="top"/>
          </w:tcPr>
          <w:p>
            <w:r>
              <w:t>Track p50/p95</w:t>
            </w:r>
          </w:p>
        </w:tc>
      </w:tr>
    </w:tbl>
    <w:p/>
    <w:p>
      <w:r>
        <w:t>These targets are product goals, not claims about current performance.</w:t>
      </w:r>
    </w:p>
    <w:p>
      <w:pPr>
        <w:pStyle w:val="Heading1"/>
      </w:pPr>
      <w:r>
        <w:t>11. Observability of InfraGuardian</w:t>
      </w:r>
    </w:p>
    <w:p>
      <w:pPr>
        <w:pStyle w:val="ListBullet"/>
      </w:pPr>
      <w:r>
        <w:t>LLM invocation count and token usage</w:t>
      </w:r>
    </w:p>
    <w:p>
      <w:pPr>
        <w:pStyle w:val="ListBullet"/>
      </w:pPr>
      <w:r>
        <w:t>Per-agent latency and failure rate</w:t>
      </w:r>
    </w:p>
    <w:p>
      <w:pPr>
        <w:pStyle w:val="ListBullet"/>
      </w:pPr>
      <w:r>
        <w:t>End-to-end latency</w:t>
      </w:r>
    </w:p>
    <w:p>
      <w:pPr>
        <w:pStyle w:val="ListBullet"/>
      </w:pPr>
      <w:r>
        <w:t>Estimated cost per incident</w:t>
      </w:r>
    </w:p>
    <w:p>
      <w:pPr>
        <w:pStyle w:val="ListBullet"/>
      </w:pPr>
      <w:r>
        <w:t>Routing distribution: auto-remediate / recommend / escalate</w:t>
      </w:r>
    </w:p>
    <w:p>
      <w:pPr>
        <w:pStyle w:val="ListBullet"/>
      </w:pPr>
      <w:r>
        <w:t>Confidence distribution</w:t>
      </w:r>
    </w:p>
    <w:p>
      <w:pPr>
        <w:pStyle w:val="ListBullet"/>
      </w:pPr>
      <w:r>
        <w:t>Tool/collector failures</w:t>
      </w:r>
    </w:p>
    <w:p>
      <w:pPr>
        <w:pStyle w:val="ListBullet"/>
      </w:pPr>
      <w:r>
        <w:t>Evaluation regression results</w:t>
      </w:r>
    </w:p>
    <w:p>
      <w:pPr>
        <w:pStyle w:val="Heading1"/>
      </w:pPr>
      <w:r>
        <w:t>12. Architecture</w:t>
      </w:r>
    </w:p>
    <w:p>
      <w:r>
        <w:t>Metric Sources → Ingestion → Parallel Specialist Agents → LangGraph Orchestrator → Auto-Remediate / Recommend / Escalate → Incident Report</w:t>
      </w:r>
    </w:p>
    <w:p>
      <w:r>
        <w:t>Current planned stack: LangGraph, LangChain Anthropic / Claude Sonnet, FastAPI, Pydantic, psutil, pynvml, and database queries. The README specifies simulator-to-real collector substitution without changing the downstream pipeline.</w:t>
      </w:r>
    </w:p>
    <w:p>
      <w:pPr>
        <w:pStyle w:val="Heading1"/>
      </w:pPr>
      <w:r>
        <w:t>13. MVP Scope</w:t>
      </w:r>
    </w:p>
    <w:p>
      <w:pPr>
        <w:pStyle w:val="ListBullet"/>
      </w:pPr>
      <w:r>
        <w:t>DB, CPU/memory, and GPU metric models.</w:t>
      </w:r>
    </w:p>
    <w:p>
      <w:pPr>
        <w:pStyle w:val="ListBullet"/>
      </w:pPr>
      <w:r>
        <w:t>At least 3 scenarios per domain, including healthy and degraded cases.</w:t>
      </w:r>
    </w:p>
    <w:p>
      <w:pPr>
        <w:pStyle w:val="ListBullet"/>
      </w:pPr>
      <w:r>
        <w:t>Deterministic threshold pre-screening.</w:t>
      </w:r>
    </w:p>
    <w:p>
      <w:pPr>
        <w:pStyle w:val="ListBullet"/>
      </w:pPr>
      <w:r>
        <w:t>Three specialist agents.</w:t>
      </w:r>
    </w:p>
    <w:p>
      <w:pPr>
        <w:pStyle w:val="ListBullet"/>
      </w:pPr>
      <w:r>
        <w:t>Parallel specialist execution.</w:t>
      </w:r>
    </w:p>
    <w:p>
      <w:pPr>
        <w:pStyle w:val="ListBullet"/>
      </w:pPr>
      <w:r>
        <w:t>LangGraph synthesis and routing.</w:t>
      </w:r>
    </w:p>
    <w:p>
      <w:pPr>
        <w:pStyle w:val="ListBullet"/>
      </w:pPr>
      <w:r>
        <w:t>Three routing paths.</w:t>
      </w:r>
    </w:p>
    <w:p>
      <w:pPr>
        <w:pStyle w:val="ListBullet"/>
      </w:pPr>
      <w:r>
        <w:t>At least 3 concrete, allowlisted remediation runbooks.</w:t>
      </w:r>
    </w:p>
    <w:p>
      <w:pPr>
        <w:pStyle w:val="ListBullet"/>
      </w:pPr>
      <w:r>
        <w:t>FastAPI endpoint and CLI.</w:t>
      </w:r>
    </w:p>
    <w:p>
      <w:pPr>
        <w:pStyle w:val="ListBullet"/>
      </w:pPr>
      <w:r>
        <w:t>Persistent incident log using SQLite.</w:t>
      </w:r>
    </w:p>
    <w:p>
      <w:pPr>
        <w:pStyle w:val="ListBullet"/>
      </w:pPr>
      <w:r>
        <w:t>Evaluation harness with 100+ scenario cases.</w:t>
      </w:r>
    </w:p>
    <w:p>
      <w:pPr>
        <w:pStyle w:val="ListBullet"/>
      </w:pPr>
      <w:r>
        <w:t>AI/system observability metrics.</w:t>
      </w:r>
    </w:p>
    <w:p>
      <w:pPr>
        <w:pStyle w:val="ListBullet"/>
      </w:pPr>
      <w:r>
        <w:t>Automated tests for scenarios, schemas, routing, and safety gates.</w:t>
      </w:r>
    </w:p>
    <w:p>
      <w:pPr>
        <w:pStyle w:val="Heading1"/>
      </w:pPr>
      <w:r>
        <w:t>14. Post-MVP Roadmap</w:t>
      </w:r>
    </w:p>
    <w:p>
      <w:r>
        <w:t>1. Prometheus metrics exporter</w:t>
      </w:r>
    </w:p>
    <w:p>
      <w:r>
        <w:t>2. PagerDuty and Slack integrations</w:t>
      </w:r>
    </w:p>
    <w:p>
      <w:r>
        <w:t>3. Postgres incident store</w:t>
      </w:r>
    </w:p>
    <w:p>
      <w:r>
        <w:t>4. Real production collectors</w:t>
      </w:r>
    </w:p>
    <w:p>
      <w:r>
        <w:t>5. Sliding-window anomaly detection using Z-score / IQR</w:t>
      </w:r>
    </w:p>
    <w:p>
      <w:r>
        <w:t>6. Baseline drift detection</w:t>
      </w:r>
    </w:p>
    <w:p>
      <w:r>
        <w:t>7. Async specialist execution optimization</w:t>
      </w:r>
    </w:p>
    <w:p>
      <w:r>
        <w:t>8. Historical incident retrieval for RCA</w:t>
      </w:r>
    </w:p>
    <w:p>
      <w:r>
        <w:t>9. Expanded network and disk-I/O specialists</w:t>
      </w:r>
    </w:p>
    <w:p>
      <w:pPr>
        <w:pStyle w:val="Heading1"/>
      </w:pPr>
      <w:r>
        <w:t>15. Technical Structure</w:t>
      </w:r>
    </w:p>
    <w:p>
      <w:r>
        <w:t>infra-guardian/</w:t>
        <w:br/>
        <w:t>├── orchestrator.py</w:t>
        <w:br/>
        <w:t>├── agents/</w:t>
        <w:br/>
        <w:t>│   ├── db_agent.py</w:t>
        <w:br/>
        <w:t>│   ├── cpu_mem_agent.py</w:t>
        <w:br/>
        <w:t>│   └── gpu_agent.py</w:t>
        <w:br/>
        <w:t>├── tools/</w:t>
        <w:br/>
        <w:t>│   ├── metrics.py</w:t>
        <w:br/>
        <w:t>│   └── remediation.py</w:t>
        <w:br/>
        <w:t>├── api/</w:t>
        <w:br/>
        <w:t>│   └── server.py</w:t>
        <w:br/>
        <w:t>├── evaluation/</w:t>
        <w:br/>
        <w:t>│   ├── fixtures/</w:t>
        <w:br/>
        <w:t>│   ├── evaluator.py</w:t>
        <w:br/>
        <w:t>│   └── reports/</w:t>
        <w:br/>
        <w:t>├── storage/</w:t>
        <w:br/>
        <w:t>│   └── incident_store.py</w:t>
        <w:br/>
        <w:t>├── tests/</w:t>
        <w:br/>
        <w:t>├── requirements.txt</w:t>
        <w:br/>
        <w:t>└── README.md</w:t>
      </w:r>
    </w:p>
    <w:p>
      <w:pPr>
        <w:pStyle w:val="Heading1"/>
      </w:pPr>
      <w:r>
        <w:t>16. Definition of Done</w:t>
      </w:r>
    </w:p>
    <w:p>
      <w:pPr>
        <w:pStyle w:val="ListBullet"/>
      </w:pPr>
      <w:r>
        <w:t>A user can run a scenario locally and receive a complete incident report.</w:t>
      </w:r>
    </w:p>
    <w:p>
      <w:pPr>
        <w:pStyle w:val="ListBullet"/>
      </w:pPr>
      <w:r>
        <w:t>Healthy scenarios do not unnecessarily call the LLM.</w:t>
      </w:r>
    </w:p>
    <w:p>
      <w:pPr>
        <w:pStyle w:val="ListBullet"/>
      </w:pPr>
      <w:r>
        <w:t>Anomalous scenarios invoke the appropriate specialist agents.</w:t>
      </w:r>
    </w:p>
    <w:p>
      <w:pPr>
        <w:pStyle w:val="ListBullet"/>
      </w:pPr>
      <w:r>
        <w:t>The orchestrator can distinguish isolated versus cross-domain incidents.</w:t>
      </w:r>
    </w:p>
    <w:p>
      <w:pPr>
        <w:pStyle w:val="ListBullet"/>
      </w:pPr>
      <w:r>
        <w:t>Routing follows the documented safety thresholds.</w:t>
      </w:r>
    </w:p>
    <w:p>
      <w:pPr>
        <w:pStyle w:val="ListBullet"/>
      </w:pPr>
      <w:r>
        <w:t>Automatic remediation can execute only predefined safe runbooks.</w:t>
      </w:r>
    </w:p>
    <w:p>
      <w:pPr>
        <w:pStyle w:val="ListBullet"/>
      </w:pPr>
      <w:r>
        <w:t>Critical/low-confidence cases cannot auto-remediate.</w:t>
      </w:r>
    </w:p>
    <w:p>
      <w:pPr>
        <w:pStyle w:val="ListBullet"/>
      </w:pPr>
      <w:r>
        <w:t>All decisions and actions are auditable.</w:t>
      </w:r>
    </w:p>
    <w:p>
      <w:pPr>
        <w:pStyle w:val="ListBullet"/>
      </w:pPr>
      <w:r>
        <w:t>The evaluation suite produces reproducible accuracy, safety, latency, and cost metrics.</w:t>
      </w:r>
    </w:p>
    <w:p>
      <w:pPr>
        <w:pStyle w:val="ListBullet"/>
      </w:pPr>
      <w:r>
        <w:t>The API and CLI have automated tests.</w:t>
      </w:r>
    </w:p>
    <w:p>
      <w:pPr>
        <w:pStyle w:val="ListBullet"/>
      </w:pPr>
      <w:r>
        <w:t>The README includes architecture, setup, demo scenarios, evaluation results, limitations, and production migration path.</w:t>
      </w:r>
    </w:p>
    <w:p>
      <w:pPr>
        <w:pStyle w:val="Heading1"/>
      </w:pPr>
      <w:r>
        <w:t>17. Portfolio / FDE Narrative</w:t>
      </w:r>
    </w:p>
    <w:p>
      <w:r>
        <w:t>InfraGuardian should be presented as a production-oriented AI systems project, not primarily as a LangGraph demo. The portfolio narrative is: an ambiguous infrastructure operations problem was decomposed into deterministic detection, specialist reasoning, cross-system evidence synthesis, bounded autonomy, and human escalation. The strongest proof points are evaluation results, remediation safety, cost/latency measurements, failure handling, and the simulator-to-production collector boundary.</w:t>
      </w:r>
    </w:p>
    <w:p>
      <w:pPr>
        <w:pStyle w:val="Heading1"/>
      </w:pPr>
      <w:r>
        <w:t>18. Open Questions</w:t>
      </w:r>
    </w:p>
    <w:p>
      <w:pPr>
        <w:pStyle w:val="ListBullet"/>
      </w:pPr>
      <w:r>
        <w:t>Which concrete remediation runbooks are safe enough for the MVP?</w:t>
      </w:r>
    </w:p>
    <w:p>
      <w:pPr>
        <w:pStyle w:val="ListBullet"/>
      </w:pPr>
      <w:r>
        <w:t>What evidence standard is required before calling a relationship causal versus correlational?</w:t>
      </w:r>
    </w:p>
    <w:p>
      <w:pPr>
        <w:pStyle w:val="ListBullet"/>
      </w:pPr>
      <w:r>
        <w:t>Should confidence be entirely model-generated, rule-derived, or a calibrated combination?</w:t>
      </w:r>
    </w:p>
    <w:p>
      <w:pPr>
        <w:pStyle w:val="ListBullet"/>
      </w:pPr>
      <w:r>
        <w:t>What incident history should be persisted for future RCA?</w:t>
      </w:r>
    </w:p>
    <w:p>
      <w:pPr>
        <w:pStyle w:val="ListBullet"/>
      </w:pPr>
      <w:r>
        <w:t>Which cloud/container environment should be the first real deployment target?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