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Sales Intelligence Copilot</w:t>
      </w:r>
    </w:p>
    <w:p>
      <w:pPr>
        <w:spacing w:before="0" w:after="120"/>
        <w:jc w:val="center"/>
      </w:pPr>
      <w:r>
        <w:rPr>
          <w:rFonts w:ascii="Arial" w:cs="Arial" w:eastAsia="Arial" w:hAnsi="Arial"/>
          <w:color w:val="2E75B6"/>
          <w:sz w:val="30"/>
          <w:szCs w:val="30"/>
        </w:rPr>
        <w:t xml:space="preserve">Project Overview &amp; Technical Architecture</w:t>
      </w:r>
    </w:p>
    <w:p>
      <w:pPr>
        <w:spacing w:before="80" w:after="600"/>
        <w:jc w:val="center"/>
      </w:pPr>
      <w:r>
        <w:rPr>
          <w:rFonts w:ascii="Arial" w:cs="Arial" w:eastAsia="Arial" w:hAnsi="Arial"/>
          <w:i/>
          <w:iCs/>
          <w:color w:val="555555"/>
          <w:sz w:val="22"/>
          <w:szCs w:val="22"/>
        </w:rPr>
        <w:t xml:space="preserve">AI-Powered Automation for Sales Forecasting &amp; Customer Churn Insights</w:t>
      </w:r>
    </w:p>
    <w:p>
      <w:pPr>
        <w:pBdr>
          <w:bottom w:val="single" w:color="2E75B6" w:sz="4" w:space="1"/>
        </w:pBdr>
        <w:spacing w:before="160" w:after="160"/>
      </w:pPr>
      <w:r>
        <w:t xml:space="preserve"/>
      </w:r>
    </w:p>
    <w:p>
      <w:pPr>
        <w:spacing w:before="400" w:after="0"/>
      </w:pPr>
      <w:r>
        <w:t xml:space="preserve"/>
      </w:r>
    </w:p>
    <w:p>
      <w:pPr>
        <w:pStyle w:val="Heading1"/>
        <w:spacing w:before="360" w:after="120"/>
      </w:pPr>
      <w:r>
        <w:rPr>
          <w:rFonts w:ascii="Arial" w:cs="Arial" w:eastAsia="Arial" w:hAnsi="Arial"/>
          <w:b/>
          <w:bCs/>
          <w:color w:val="1F4E79"/>
          <w:sz w:val="32"/>
          <w:szCs w:val="32"/>
        </w:rPr>
        <w:t xml:space="preserve">1. What Is the Sales Intelligence Copilot?</w:t>
      </w:r>
    </w:p>
    <w:p>
      <w:pPr>
        <w:spacing w:before="80" w:after="80"/>
      </w:pPr>
      <w:r>
        <w:rPr>
          <w:rFonts w:ascii="Arial" w:cs="Arial" w:eastAsia="Arial" w:hAnsi="Arial"/>
          <w:sz w:val="22"/>
          <w:szCs w:val="22"/>
        </w:rPr>
        <w:t xml:space="preserve">The Sales Intelligence Copilot is an end-to-end Python application that automates the entire journey from raw SaaS subscription data to boardroom-ready insights. Instead of analysts spending 5–6 hours each week wrangling spreadsheets, this system completes the same job in under 2 minutes.</w:t>
      </w:r>
    </w:p>
    <w:p>
      <w:pPr>
        <w:spacing w:before="80" w:after="0"/>
      </w:pPr>
      <w:r>
        <w:t xml:space="preserve"/>
      </w:r>
    </w:p>
    <w:p>
      <w:pPr>
        <w:spacing w:before="80" w:after="80"/>
      </w:pPr>
      <w:r>
        <w:rPr>
          <w:rFonts w:ascii="Arial" w:cs="Arial" w:eastAsia="Arial" w:hAnsi="Arial"/>
          <w:b/>
          <w:bCs/>
          <w:sz w:val="22"/>
          <w:szCs w:val="22"/>
        </w:rPr>
        <w:t xml:space="preserve">The platform handles three interconnected workflows:</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① </w:t>
      </w:r>
      <w:r>
        <w:rPr>
          <w:rFonts w:ascii="Arial" w:cs="Arial" w:eastAsia="Arial" w:hAnsi="Arial"/>
          <w:sz w:val="22"/>
          <w:szCs w:val="22"/>
        </w:rPr>
        <w:t xml:space="preserve">Data ingestion &amp; cleaning — accepts raw CSV/XLSX files, validates schemas, removes duplicates, imputes missing values, and merges customer and subscription tables into a single analytical dataset.</w:t>
      </w:r>
    </w:p>
    <w:p>
      <w:pPr>
        <w:pStyle w:val="ListParagraph"/>
        <w:numPr>
          <w:ilvl w:val="0"/>
          <w:numId w:val="2"/>
        </w:numPr>
        <w:spacing w:before="60" w:after="60"/>
      </w:pPr>
      <w:r>
        <w:rPr>
          <w:rFonts w:ascii="Arial" w:cs="Arial" w:eastAsia="Arial" w:hAnsi="Arial"/>
          <w:b/>
          <w:bCs/>
          <w:sz w:val="22"/>
          <w:szCs w:val="22"/>
        </w:rPr>
        <w:t xml:space="preserve">② </w:t>
      </w:r>
      <w:r>
        <w:rPr>
          <w:rFonts w:ascii="Arial" w:cs="Arial" w:eastAsia="Arial" w:hAnsi="Arial"/>
          <w:sz w:val="22"/>
          <w:szCs w:val="22"/>
        </w:rPr>
        <w:t xml:space="preserve">Machine learning models — trains a Prophet time-series model for 90-day MRR forecasting and a Logistic Regression / Random Forest model for customer churn prediction, identifying the top at-risk accounts by revenue-weighted risk score.</w:t>
      </w:r>
    </w:p>
    <w:p>
      <w:pPr>
        <w:pStyle w:val="ListParagraph"/>
        <w:numPr>
          <w:ilvl w:val="0"/>
          <w:numId w:val="2"/>
        </w:numPr>
        <w:spacing w:before="60" w:after="60"/>
      </w:pPr>
      <w:r>
        <w:rPr>
          <w:rFonts w:ascii="Arial" w:cs="Arial" w:eastAsia="Arial" w:hAnsi="Arial"/>
          <w:b/>
          <w:bCs/>
          <w:sz w:val="22"/>
          <w:szCs w:val="22"/>
        </w:rPr>
        <w:t xml:space="preserve">③ </w:t>
      </w:r>
      <w:r>
        <w:rPr>
          <w:rFonts w:ascii="Arial" w:cs="Arial" w:eastAsia="Arial" w:hAnsi="Arial"/>
          <w:sz w:val="22"/>
          <w:szCs w:val="22"/>
        </w:rPr>
        <w:t xml:space="preserve">AI-generated reporting — calls the OpenAI API to convert numeric KPIs into executive prose, then packages everything (charts, tables, and written summaries) into a downloadable PowerPoint report.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EEAF1"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Key Business Value</w:t>
            </w:r>
          </w:p>
          <w:p>
            <w:pPr>
              <w:spacing w:before="40" w:after="40"/>
            </w:pPr>
            <w:r>
              <w:rPr>
                <w:rFonts w:ascii="Arial" w:cs="Arial" w:eastAsia="Arial" w:hAnsi="Arial"/>
                <w:sz w:val="20"/>
                <w:szCs w:val="20"/>
              </w:rPr>
              <w:t xml:space="preserve">→  Reduces weekly reporting time from ~6 hours to under 2 minutes</w:t>
            </w:r>
          </w:p>
          <w:p>
            <w:pPr>
              <w:spacing w:before="40" w:after="40"/>
            </w:pPr>
            <w:r>
              <w:rPr>
                <w:rFonts w:ascii="Arial" w:cs="Arial" w:eastAsia="Arial" w:hAnsi="Arial"/>
                <w:sz w:val="20"/>
                <w:szCs w:val="20"/>
              </w:rPr>
              <w:t xml:space="preserve">→  Surfaces high-risk customers before they churn, enabling proactive retention</w:t>
            </w:r>
          </w:p>
          <w:p>
            <w:pPr>
              <w:spacing w:before="40" w:after="40"/>
            </w:pPr>
            <w:r>
              <w:rPr>
                <w:rFonts w:ascii="Arial" w:cs="Arial" w:eastAsia="Arial" w:hAnsi="Arial"/>
                <w:sz w:val="20"/>
                <w:szCs w:val="20"/>
              </w:rPr>
              <w:t xml:space="preserve">→  Delivers forecast confidence intervals so revenue planning is data-driven, not gut-feel</w:t>
            </w:r>
          </w:p>
          <w:p>
            <w:pPr>
              <w:spacing w:before="40" w:after="40"/>
            </w:pPr>
            <w:r>
              <w:rPr>
                <w:rFonts w:ascii="Arial" w:cs="Arial" w:eastAsia="Arial" w:hAnsi="Arial"/>
                <w:sz w:val="20"/>
                <w:szCs w:val="20"/>
              </w:rPr>
              <w:t xml:space="preserve">→  Produces stakeholder-ready PowerPoint with zero manual formatting</w:t>
            </w:r>
          </w:p>
        </w:tc>
      </w:tr>
    </w:tbl>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2. System Architecture &amp; Data Flow</w:t>
      </w:r>
    </w:p>
    <w:p>
      <w:pPr>
        <w:spacing w:before="80" w:after="80"/>
      </w:pPr>
      <w:r>
        <w:rPr>
          <w:rFonts w:ascii="Arial" w:cs="Arial" w:eastAsia="Arial" w:hAnsi="Arial"/>
          <w:sz w:val="22"/>
          <w:szCs w:val="22"/>
        </w:rPr>
        <w:t xml:space="preserve">The application is built as a modular Python stack with a Streamlit front-end. Each module has a single responsibility, making the system easy to test and extend.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Module / File</w:t>
            </w:r>
          </w:p>
        </w:tc>
        <w:tc>
          <w:tcPr>
            <w:tcW w:type="dxa" w:w="636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Responsibility</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app.py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Streamlit UI — upload, run, preview, and export flows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src/data_processing.py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Schema validation, type coercion, deduplication, merging</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src/metrics.py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Calculates MRR, ARR, ARPU, CLV, churn rate, retention</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src/forecasting.py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Prophet model training, 90-day MRR prediction, accuracy metrics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src/churn_model.py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Feature engineering, Logistic Regression / Random Forest, risk scoring</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src/insights_generator.py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OpenAI SDK calls to generate executive summary &amp; recommendations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src/report_builder.py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python-pptx report assembly — embeds charts and LLM text into slides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config/settings.py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Central config — thresholds, model params, prompt templates, paths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data/generate_data.py</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Generates 10,000-customer synthetic dataset for testing &amp; demos</w:t>
            </w:r>
          </w:p>
        </w:tc>
      </w:tr>
    </w:tbl>
    <w:p>
      <w:pPr>
        <w:spacing w:before="160" w:after="0"/>
      </w:pPr>
      <w:r>
        <w:t xml:space="preserve"/>
      </w:r>
    </w:p>
    <w:p>
      <w:pPr>
        <w:spacing w:before="80" w:after="80"/>
      </w:pPr>
      <w:r>
        <w:rPr>
          <w:rFonts w:ascii="Arial" w:cs="Arial" w:eastAsia="Arial" w:hAnsi="Arial"/>
          <w:b/>
          <w:bCs/>
          <w:sz w:val="22"/>
          <w:szCs w:val="22"/>
        </w:rPr>
        <w:t xml:space="preserve">The end-to-end data flow follows a straight pipeline:</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User uploads customers.csv and subscriptions.csv (optionally transactions.csv) via the Streamlit sidebar.</w:t>
      </w:r>
    </w:p>
    <w:p>
      <w:pPr>
        <w:pStyle w:val="ListParagraph"/>
        <w:numPr>
          <w:ilvl w:val="0"/>
          <w:numId w:val="2"/>
        </w:numPr>
        <w:spacing w:before="60" w:after="60"/>
      </w:pPr>
      <w:r>
        <w:rPr>
          <w:rFonts w:ascii="Arial" w:cs="Arial" w:eastAsia="Arial" w:hAnsi="Arial"/>
          <w:sz w:val="22"/>
          <w:szCs w:val="22"/>
        </w:rPr>
        <w:t xml:space="preserve">DataProcessor validates columns against the expected schema, cleans types, removes duplicates, and merges all files on customer_id.</w:t>
      </w:r>
    </w:p>
    <w:p>
      <w:pPr>
        <w:pStyle w:val="ListParagraph"/>
        <w:numPr>
          <w:ilvl w:val="0"/>
          <w:numId w:val="2"/>
        </w:numPr>
        <w:spacing w:before="60" w:after="60"/>
      </w:pPr>
      <w:r>
        <w:rPr>
          <w:rFonts w:ascii="Arial" w:cs="Arial" w:eastAsia="Arial" w:hAnsi="Arial"/>
          <w:sz w:val="22"/>
          <w:szCs w:val="22"/>
        </w:rPr>
        <w:t xml:space="preserve">MetricsCalculator derives MRR, ARR, churn rate, ARPU, and CLV from the merged dataset.</w:t>
      </w:r>
    </w:p>
    <w:p>
      <w:pPr>
        <w:pStyle w:val="ListParagraph"/>
        <w:numPr>
          <w:ilvl w:val="0"/>
          <w:numId w:val="2"/>
        </w:numPr>
        <w:spacing w:before="60" w:after="60"/>
      </w:pPr>
      <w:r>
        <w:rPr>
          <w:rFonts w:ascii="Arial" w:cs="Arial" w:eastAsia="Arial" w:hAnsi="Arial"/>
          <w:sz w:val="22"/>
          <w:szCs w:val="22"/>
        </w:rPr>
        <w:t xml:space="preserve">MRRForecaster (Prophet) trains on the historical MRR time series and projects the next 90 days with confidence bands.</w:t>
      </w:r>
    </w:p>
    <w:p>
      <w:pPr>
        <w:pStyle w:val="ListParagraph"/>
        <w:numPr>
          <w:ilvl w:val="0"/>
          <w:numId w:val="2"/>
        </w:numPr>
        <w:spacing w:before="60" w:after="60"/>
      </w:pPr>
      <w:r>
        <w:rPr>
          <w:rFonts w:ascii="Arial" w:cs="Arial" w:eastAsia="Arial" w:hAnsi="Arial"/>
          <w:sz w:val="22"/>
          <w:szCs w:val="22"/>
        </w:rPr>
        <w:t xml:space="preserve">ChurnPredictor engineers 20+ behavioral features, trains the classification model, scores every customer, and returns a risk-ranked list.</w:t>
      </w:r>
    </w:p>
    <w:p>
      <w:pPr>
        <w:pStyle w:val="ListParagraph"/>
        <w:numPr>
          <w:ilvl w:val="0"/>
          <w:numId w:val="2"/>
        </w:numPr>
        <w:spacing w:before="60" w:after="60"/>
      </w:pPr>
      <w:r>
        <w:rPr>
          <w:rFonts w:ascii="Arial" w:cs="Arial" w:eastAsia="Arial" w:hAnsi="Arial"/>
          <w:sz w:val="22"/>
          <w:szCs w:val="22"/>
        </w:rPr>
        <w:t xml:space="preserve">InsightsGenerator sends a compact prompt with the KPIs to the OpenAI API and returns polished executive copy.</w:t>
      </w:r>
    </w:p>
    <w:p>
      <w:pPr>
        <w:pStyle w:val="ListParagraph"/>
        <w:numPr>
          <w:ilvl w:val="0"/>
          <w:numId w:val="2"/>
        </w:numPr>
        <w:spacing w:before="60" w:after="60"/>
      </w:pPr>
      <w:r>
        <w:rPr>
          <w:rFonts w:ascii="Arial" w:cs="Arial" w:eastAsia="Arial" w:hAnsi="Arial"/>
          <w:sz w:val="22"/>
          <w:szCs w:val="22"/>
        </w:rPr>
        <w:t xml:space="preserve">ReportBuilder stitches Plotly charts (exported as PNG) and LLM text into a six-slide PowerPoint, available for one-click download.</w:t>
      </w:r>
    </w:p>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3. Revenue Forecasting with Prophet</w:t>
      </w:r>
    </w:p>
    <w:p>
      <w:pPr>
        <w:pStyle w:val="Heading2"/>
        <w:spacing w:before="240" w:after="80"/>
      </w:pPr>
      <w:r>
        <w:rPr>
          <w:rFonts w:ascii="Arial" w:cs="Arial" w:eastAsia="Arial" w:hAnsi="Arial"/>
          <w:b/>
          <w:bCs/>
          <w:color w:val="2E75B6"/>
          <w:sz w:val="26"/>
          <w:szCs w:val="26"/>
        </w:rPr>
        <w:t xml:space="preserve">3.1 Why Prophet?</w:t>
      </w:r>
    </w:p>
    <w:p>
      <w:pPr>
        <w:spacing w:before="80" w:after="80"/>
      </w:pPr>
      <w:r>
        <w:rPr>
          <w:rFonts w:ascii="Arial" w:cs="Arial" w:eastAsia="Arial" w:hAnsi="Arial"/>
          <w:sz w:val="22"/>
          <w:szCs w:val="22"/>
        </w:rPr>
        <w:t xml:space="preserve">Facebook Prophet is a decomposable time-series model designed specifically for business metrics that exhibit strong seasonal patterns, trend shifts, and occasional irregularities — precisely the kind of data a SaaS MRR series produces. Unlike ARIMA, Prophet requires no manual parameter tuning and handles missing data and outliers gracefully out of the box.</w:t>
      </w:r>
    </w:p>
    <w:p>
      <w:pPr>
        <w:spacing w:before="80" w:after="0"/>
      </w:pPr>
      <w:r>
        <w:t xml:space="preserve"/>
      </w:r>
    </w:p>
    <w:p>
      <w:pPr>
        <w:spacing w:before="80" w:after="80"/>
      </w:pPr>
      <w:r>
        <w:rPr>
          <w:rFonts w:ascii="Arial" w:cs="Arial" w:eastAsia="Arial" w:hAnsi="Arial"/>
          <w:sz w:val="22"/>
          <w:szCs w:val="22"/>
        </w:rPr>
        <w:t xml:space="preserve">Prophet decomposes the time series into three additive (or multiplicative) components: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Trend — models long-term non-linear growth using a piecewise linear or logistic curve with automatically detected changepoints.</w:t>
      </w:r>
    </w:p>
    <w:p>
      <w:pPr>
        <w:pStyle w:val="ListParagraph"/>
        <w:numPr>
          <w:ilvl w:val="0"/>
          <w:numId w:val="2"/>
        </w:numPr>
        <w:spacing w:before="60" w:after="60"/>
      </w:pPr>
      <w:r>
        <w:rPr>
          <w:rFonts w:ascii="Arial" w:cs="Arial" w:eastAsia="Arial" w:hAnsi="Arial"/>
          <w:sz w:val="22"/>
          <w:szCs w:val="22"/>
        </w:rPr>
        <w:t xml:space="preserve">Seasonality — captures yearly and weekly cycles using Fourier series terms. In this project, yearly seasonality is enabled (monthly MRR often peaks around quarter-end) and weekly is disabled because the data is aggregated monthly.</w:t>
      </w:r>
    </w:p>
    <w:p>
      <w:pPr>
        <w:pStyle w:val="ListParagraph"/>
        <w:numPr>
          <w:ilvl w:val="0"/>
          <w:numId w:val="2"/>
        </w:numPr>
        <w:spacing w:before="60" w:after="60"/>
      </w:pPr>
      <w:r>
        <w:rPr>
          <w:rFonts w:ascii="Arial" w:cs="Arial" w:eastAsia="Arial" w:hAnsi="Arial"/>
          <w:sz w:val="22"/>
          <w:szCs w:val="22"/>
        </w:rPr>
        <w:t xml:space="preserve">Holidays / special events — can be injected optionally; not used in the current configuration but easy to add.</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3.2 Implementation Details</w:t>
      </w:r>
    </w:p>
    <w:p>
      <w:pPr>
        <w:spacing w:before="80" w:after="80"/>
      </w:pPr>
      <w:r>
        <w:rPr>
          <w:rFonts w:ascii="Arial" w:cs="Arial" w:eastAsia="Arial" w:hAnsi="Arial"/>
          <w:sz w:val="22"/>
          <w:szCs w:val="22"/>
        </w:rPr>
        <w:t xml:space="preserve">The MRRForecaster class in src/forecasting.py wraps Prophet with a clean API. Here is how each step works:</w:t>
      </w:r>
    </w:p>
    <w:p>
      <w:pPr>
        <w:spacing w:before="80" w:after="0"/>
      </w:pPr>
      <w:r>
        <w:t xml:space="preserve"/>
      </w:r>
    </w:p>
    <w:p>
      <w:pPr>
        <w:pStyle w:val="Heading3"/>
        <w:spacing w:before="200" w:after="60"/>
      </w:pPr>
      <w:r>
        <w:rPr>
          <w:rFonts w:ascii="Arial" w:cs="Arial" w:eastAsia="Arial" w:hAnsi="Arial"/>
          <w:b/>
          <w:bCs/>
          <w:color w:val="2E4057"/>
          <w:sz w:val="22"/>
          <w:szCs w:val="22"/>
        </w:rPr>
        <w:t xml:space="preserve">Data Preparation</w:t>
      </w:r>
    </w:p>
    <w:p>
      <w:pPr>
        <w:spacing w:before="80" w:after="80"/>
      </w:pPr>
      <w:r>
        <w:rPr>
          <w:rFonts w:ascii="Arial" w:cs="Arial" w:eastAsia="Arial" w:hAnsi="Arial"/>
          <w:sz w:val="22"/>
          <w:szCs w:val="22"/>
        </w:rPr>
        <w:t xml:space="preserve">Prophet requires exactly two columns: ds (datestamp) and y (target value). The prepare_data() method renames the MRR series accordingly and sorts by date. The MRR series itself is computed upstream by MetricsCalculator, which groups active subscription records by month and sums revenue.</w:t>
      </w:r>
    </w:p>
    <w:p>
      <w:pPr>
        <w:spacing w:before="80" w:after="0"/>
      </w:pPr>
      <w:r>
        <w:t xml:space="preserve"/>
      </w:r>
    </w:p>
    <w:p>
      <w:pPr>
        <w:pStyle w:val="Heading3"/>
        <w:spacing w:before="200" w:after="60"/>
      </w:pPr>
      <w:r>
        <w:rPr>
          <w:rFonts w:ascii="Arial" w:cs="Arial" w:eastAsia="Arial" w:hAnsi="Arial"/>
          <w:b/>
          <w:bCs/>
          <w:color w:val="2E4057"/>
          <w:sz w:val="22"/>
          <w:szCs w:val="22"/>
        </w:rPr>
        <w:t xml:space="preserve">Model Configuration</w:t>
      </w:r>
    </w:p>
    <w:p>
      <w:pPr>
        <w:spacing w:before="80" w:after="80"/>
      </w:pPr>
      <w:r>
        <w:rPr>
          <w:rFonts w:ascii="Arial" w:cs="Arial" w:eastAsia="Arial" w:hAnsi="Arial"/>
          <w:sz w:val="22"/>
          <w:szCs w:val="22"/>
        </w:rPr>
        <w:t xml:space="preserve">The Prophet model is initialised with the following settings from config/settings.py:</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seasonality_mode   = 'multiplicative'   # Seasonal swings scale with MRR level</w:t>
      </w:r>
    </w:p>
    <w:p>
      <w:pPr>
        <w:spacing w:before="40" w:after="40"/>
        <w:ind w:left="720"/>
      </w:pPr>
      <w:r>
        <w:rPr>
          <w:rFonts w:ascii="Courier New" w:cs="Courier New" w:eastAsia="Courier New" w:hAnsi="Courier New"/>
          <w:color w:val="2F5496"/>
          <w:sz w:val="18"/>
          <w:szCs w:val="18"/>
        </w:rPr>
        <w:t xml:space="preserve">changepoint_prior_scale = 0.05          # Moderate flexibility for trend shifts</w:t>
      </w:r>
    </w:p>
    <w:p>
      <w:pPr>
        <w:spacing w:before="40" w:after="40"/>
        <w:ind w:left="720"/>
      </w:pPr>
      <w:r>
        <w:rPr>
          <w:rFonts w:ascii="Courier New" w:cs="Courier New" w:eastAsia="Courier New" w:hAnsi="Courier New"/>
          <w:color w:val="2F5496"/>
          <w:sz w:val="18"/>
          <w:szCs w:val="18"/>
        </w:rPr>
        <w:t xml:space="preserve">yearly_seasonality  = True              # Captures Q4 spikes, summer dips, etc.</w:t>
      </w:r>
    </w:p>
    <w:p>
      <w:pPr>
        <w:spacing w:before="40" w:after="40"/>
        <w:ind w:left="720"/>
      </w:pPr>
      <w:r>
        <w:rPr>
          <w:rFonts w:ascii="Courier New" w:cs="Courier New" w:eastAsia="Courier New" w:hAnsi="Courier New"/>
          <w:color w:val="2F5496"/>
          <w:sz w:val="18"/>
          <w:szCs w:val="18"/>
        </w:rPr>
        <w:t xml:space="preserve">weekly_seasonality  = False             # Monthly data — no weekly signal</w:t>
      </w:r>
    </w:p>
    <w:p>
      <w:pPr>
        <w:spacing w:before="80" w:after="0"/>
      </w:pPr>
      <w:r>
        <w:t xml:space="preserve"/>
      </w:r>
    </w:p>
    <w:p>
      <w:pPr>
        <w:spacing w:before="80" w:after="80"/>
      </w:pPr>
      <w:r>
        <w:rPr>
          <w:rFonts w:ascii="Arial" w:cs="Arial" w:eastAsia="Arial" w:hAnsi="Arial"/>
          <w:sz w:val="22"/>
          <w:szCs w:val="22"/>
        </w:rPr>
        <w:t xml:space="preserve">Multiplicative seasonality is chosen because as MRR grows, the absolute magnitude of seasonal swings also grows — a percentage-based model fits better than a fixed-amplitude additive one.</w:t>
      </w:r>
    </w:p>
    <w:p>
      <w:pPr>
        <w:spacing w:before="80" w:after="0"/>
      </w:pPr>
      <w:r>
        <w:t xml:space="preserve"/>
      </w:r>
    </w:p>
    <w:p>
      <w:pPr>
        <w:pStyle w:val="Heading3"/>
        <w:spacing w:before="200" w:after="60"/>
      </w:pPr>
      <w:r>
        <w:rPr>
          <w:rFonts w:ascii="Arial" w:cs="Arial" w:eastAsia="Arial" w:hAnsi="Arial"/>
          <w:b/>
          <w:bCs/>
          <w:color w:val="2E4057"/>
          <w:sz w:val="22"/>
          <w:szCs w:val="22"/>
        </w:rPr>
        <w:t xml:space="preserve">Forecasting Horizon</w:t>
      </w:r>
    </w:p>
    <w:p>
      <w:pPr>
        <w:spacing w:before="80" w:after="80"/>
      </w:pPr>
      <w:r>
        <w:rPr>
          <w:rFonts w:ascii="Arial" w:cs="Arial" w:eastAsia="Arial" w:hAnsi="Arial"/>
          <w:sz w:val="22"/>
          <w:szCs w:val="22"/>
        </w:rPr>
        <w:t xml:space="preserve">The predict() method calls model.make_future_dataframe(periods=3, freq='MS') to create three future Month-Start dates. Prophet then produces yhat (point forecast), yhat_lower, and yhat_upper (80% confidence interval by default) for both historical and future dates.</w:t>
      </w:r>
    </w:p>
    <w:p>
      <w:pPr>
        <w:spacing w:before="80" w:after="0"/>
      </w:pPr>
      <w:r>
        <w:t xml:space="preserve"/>
      </w:r>
    </w:p>
    <w:p>
      <w:pPr>
        <w:pStyle w:val="Heading3"/>
        <w:spacing w:before="200" w:after="60"/>
      </w:pPr>
      <w:r>
        <w:rPr>
          <w:rFonts w:ascii="Arial" w:cs="Arial" w:eastAsia="Arial" w:hAnsi="Arial"/>
          <w:b/>
          <w:bCs/>
          <w:color w:val="2E4057"/>
          <w:sz w:val="22"/>
          <w:szCs w:val="22"/>
        </w:rPr>
        <w:t xml:space="preserve">Accuracy Evaluation</w:t>
      </w:r>
    </w:p>
    <w:p>
      <w:pPr>
        <w:spacing w:before="80" w:after="80"/>
      </w:pPr>
      <w:r>
        <w:rPr>
          <w:rFonts w:ascii="Arial" w:cs="Arial" w:eastAsia="Arial" w:hAnsi="Arial"/>
          <w:sz w:val="22"/>
          <w:szCs w:val="22"/>
        </w:rPr>
        <w:t xml:space="preserve">After training, calculate_metrics() compares Prophet's fitted values against actuals on the historical portion of the dataset and reports three standard regression metrics: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MAPE — Mean Absolute Percentage Error. The primary KPI; the project targets MAPE &lt; 20%.</w:t>
      </w:r>
    </w:p>
    <w:p>
      <w:pPr>
        <w:pStyle w:val="ListParagraph"/>
        <w:numPr>
          <w:ilvl w:val="0"/>
          <w:numId w:val="2"/>
        </w:numPr>
        <w:spacing w:before="60" w:after="60"/>
      </w:pPr>
      <w:r>
        <w:rPr>
          <w:rFonts w:ascii="Arial" w:cs="Arial" w:eastAsia="Arial" w:hAnsi="Arial"/>
          <w:sz w:val="22"/>
          <w:szCs w:val="22"/>
        </w:rPr>
        <w:t xml:space="preserve">MAE — Mean Absolute Error in dollars. Useful for communicating forecast precision in business terms.</w:t>
      </w:r>
    </w:p>
    <w:p>
      <w:pPr>
        <w:pStyle w:val="ListParagraph"/>
        <w:numPr>
          <w:ilvl w:val="0"/>
          <w:numId w:val="2"/>
        </w:numPr>
        <w:spacing w:before="60" w:after="60"/>
      </w:pPr>
      <w:r>
        <w:rPr>
          <w:rFonts w:ascii="Arial" w:cs="Arial" w:eastAsia="Arial" w:hAnsi="Arial"/>
          <w:sz w:val="22"/>
          <w:szCs w:val="22"/>
        </w:rPr>
        <w:t xml:space="preserve">RMSE — Root Mean Square Error. Penalises large individual errors more heavily.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EEAF1"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Prophet at a Glance</w:t>
            </w:r>
          </w:p>
          <w:p>
            <w:pPr>
              <w:spacing w:before="40" w:after="40"/>
            </w:pPr>
            <w:r>
              <w:rPr>
                <w:rFonts w:ascii="Arial" w:cs="Arial" w:eastAsia="Arial" w:hAnsi="Arial"/>
                <w:sz w:val="20"/>
                <w:szCs w:val="20"/>
              </w:rPr>
              <w:t xml:space="preserve">Library:  facebook/prophet  (open-source, pip-installable)</w:t>
            </w:r>
          </w:p>
          <w:p>
            <w:pPr>
              <w:spacing w:before="40" w:after="40"/>
            </w:pPr>
            <w:r>
              <w:rPr>
                <w:rFonts w:ascii="Arial" w:cs="Arial" w:eastAsia="Arial" w:hAnsi="Arial"/>
                <w:sz w:val="20"/>
                <w:szCs w:val="20"/>
              </w:rPr>
              <w:t xml:space="preserve">Input:    Monthly MRR time series (ds, y columns)</w:t>
            </w:r>
          </w:p>
          <w:p>
            <w:pPr>
              <w:spacing w:before="40" w:after="40"/>
            </w:pPr>
            <w:r>
              <w:rPr>
                <w:rFonts w:ascii="Arial" w:cs="Arial" w:eastAsia="Arial" w:hAnsi="Arial"/>
                <w:sz w:val="20"/>
                <w:szCs w:val="20"/>
              </w:rPr>
              <w:t xml:space="preserve">Output:   3-month forward forecast with lower/upper confidence bounds</w:t>
            </w:r>
          </w:p>
          <w:p>
            <w:pPr>
              <w:spacing w:before="40" w:after="40"/>
            </w:pPr>
            <w:r>
              <w:rPr>
                <w:rFonts w:ascii="Arial" w:cs="Arial" w:eastAsia="Arial" w:hAnsi="Arial"/>
                <w:sz w:val="20"/>
                <w:szCs w:val="20"/>
              </w:rPr>
              <w:t xml:space="preserve">Key params: seasonality_mode='multiplicative', changepoint_prior_scale=0.05</w:t>
            </w:r>
          </w:p>
          <w:p>
            <w:pPr>
              <w:spacing w:before="40" w:after="40"/>
            </w:pPr>
            <w:r>
              <w:rPr>
                <w:rFonts w:ascii="Arial" w:cs="Arial" w:eastAsia="Arial" w:hAnsi="Arial"/>
                <w:sz w:val="20"/>
                <w:szCs w:val="20"/>
              </w:rPr>
              <w:t xml:space="preserve">Evaluation: MAPE, MAE, RMSE on held-out historical months</w:t>
            </w:r>
          </w:p>
          <w:p>
            <w:pPr>
              <w:spacing w:before="40" w:after="40"/>
            </w:pPr>
            <w:r>
              <w:rPr>
                <w:rFonts w:ascii="Arial" w:cs="Arial" w:eastAsia="Arial" w:hAnsi="Arial"/>
                <w:sz w:val="20"/>
                <w:szCs w:val="20"/>
              </w:rPr>
              <w:t xml:space="preserve">Artefact: forecast_model.pkl saved under models/ for reuse</w:t>
            </w:r>
          </w:p>
        </w:tc>
      </w:tr>
    </w:tbl>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4. Churn Prediction with Scikit-learn</w:t>
      </w:r>
    </w:p>
    <w:p>
      <w:pPr>
        <w:pStyle w:val="Heading2"/>
        <w:spacing w:before="240" w:after="80"/>
      </w:pPr>
      <w:r>
        <w:rPr>
          <w:rFonts w:ascii="Arial" w:cs="Arial" w:eastAsia="Arial" w:hAnsi="Arial"/>
          <w:b/>
          <w:bCs/>
          <w:color w:val="2E75B6"/>
          <w:sz w:val="26"/>
          <w:szCs w:val="26"/>
        </w:rPr>
        <w:t xml:space="preserve">4.1 Problem Framing</w:t>
      </w:r>
    </w:p>
    <w:p>
      <w:pPr>
        <w:spacing w:before="80" w:after="80"/>
      </w:pPr>
      <w:r>
        <w:rPr>
          <w:rFonts w:ascii="Arial" w:cs="Arial" w:eastAsia="Arial" w:hAnsi="Arial"/>
          <w:sz w:val="22"/>
          <w:szCs w:val="22"/>
        </w:rPr>
        <w:t xml:space="preserve">Churn prediction is framed as a supervised binary classification task. The label (churned = 1) is derived directly from the churn_flag column in subscriptions.csv, which records whether a customer cancelled during each billing period. Every customer is represented by a single feature vector built from their full subscription history.</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4.2 Framework: Scikit-learn</w:t>
      </w:r>
    </w:p>
    <w:p>
      <w:pPr>
        <w:spacing w:before="80" w:after="80"/>
      </w:pPr>
      <w:r>
        <w:rPr>
          <w:rFonts w:ascii="Arial" w:cs="Arial" w:eastAsia="Arial" w:hAnsi="Arial"/>
          <w:sz w:val="22"/>
          <w:szCs w:val="22"/>
        </w:rPr>
        <w:t xml:space="preserve">The entire churn pipeline — from feature scaling to model training to probability calibration — is built using scikit-learn, the industry-standard Python ML library. The key design decision is to wrap everything in a scikit-learn Pipeline object, which chains a StandardScaler (for feature normalisation) with the classifier. This prevents data leakage and makes the artefact trivially serialisable with joblib.</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4.3 Feature Engineering</w:t>
      </w:r>
    </w:p>
    <w:p>
      <w:pPr>
        <w:spacing w:before="80" w:after="80"/>
      </w:pPr>
      <w:r>
        <w:rPr>
          <w:rFonts w:ascii="Arial" w:cs="Arial" w:eastAsia="Arial" w:hAnsi="Arial"/>
          <w:sz w:val="22"/>
          <w:szCs w:val="22"/>
        </w:rPr>
        <w:t xml:space="preserve">The engineer_features() method in ChurnPredictor transforms raw subscription records into a rich per-customer feature matrix. Features fall into six categories: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Feature Category</w:t>
            </w:r>
          </w:p>
        </w:tc>
        <w:tc>
          <w:tcPr>
            <w:tcW w:type="dxa" w:w="576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Features Generated</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Recency</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days_since_last_activity — how recently the customer was seen</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Tenure</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tenure_days, tenure_months — how long the customer has been active</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Frequency</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subscription_count — total number of billing periods</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Monetary</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total_revenue, avg_revenue, revenue_std, min_revenue, max_revenue, revenue_per_month</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Usage</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total_logins, avg_logins, max_logins, avg_feature_usage, max_feature_usage</w:t>
            </w:r>
          </w:p>
        </w:tc>
      </w:tr>
      <w:tr>
        <w:tc>
          <w:tcPr>
            <w:tcW w:type="dxa" w:w="36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Categorical</w:t>
            </w:r>
          </w:p>
        </w:tc>
        <w:tc>
          <w:tcPr>
            <w:tcW w:type="dxa" w:w="57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One-hot encoded plan (basic/pro/enterprise) and segment (SMB/Mid/Enterprise)</w:t>
            </w:r>
          </w:p>
        </w:tc>
      </w:tr>
    </w:tbl>
    <w:p>
      <w:pPr>
        <w:spacing w:before="120" w:after="0"/>
      </w:pPr>
      <w:r>
        <w:t xml:space="preserve"/>
      </w:r>
    </w:p>
    <w:p>
      <w:pPr>
        <w:spacing w:before="80" w:after="80"/>
      </w:pPr>
      <w:r>
        <w:rPr>
          <w:rFonts w:ascii="Arial" w:cs="Arial" w:eastAsia="Arial" w:hAnsi="Arial"/>
          <w:sz w:val="22"/>
          <w:szCs w:val="22"/>
        </w:rPr>
        <w:t xml:space="preserve">Usage features (logins and feature_x_usage) are particularly powerful churn signals: customers who stop using the product almost always churn shortly afterwards. Missing usage values are filled with zero rather than dropped, preserving all customers in the training set.</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4.4 Model Options</w:t>
      </w:r>
    </w:p>
    <w:p>
      <w:pPr>
        <w:spacing w:before="80" w:after="80"/>
      </w:pPr>
      <w:r>
        <w:rPr>
          <w:rFonts w:ascii="Arial" w:cs="Arial" w:eastAsia="Arial" w:hAnsi="Arial"/>
          <w:sz w:val="22"/>
          <w:szCs w:val="22"/>
        </w:rPr>
        <w:t xml:space="preserve">Two classifiers are available and selectable via the model_type parameter:</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Option A: </w:t>
      </w:r>
      <w:r>
        <w:rPr>
          <w:rFonts w:ascii="Arial" w:cs="Arial" w:eastAsia="Arial" w:hAnsi="Arial"/>
          <w:sz w:val="22"/>
          <w:szCs w:val="22"/>
        </w:rPr>
        <w:t xml:space="preserve">Logistic Regression (default) — fast, interpretable, and robust for imbalanced classes when class_weight='balanced' is set. Coefficients directly reveal which features drive churn risk.</w:t>
      </w:r>
    </w:p>
    <w:p>
      <w:pPr>
        <w:pStyle w:val="ListParagraph"/>
        <w:numPr>
          <w:ilvl w:val="0"/>
          <w:numId w:val="2"/>
        </w:numPr>
        <w:spacing w:before="60" w:after="60"/>
      </w:pPr>
      <w:r>
        <w:rPr>
          <w:rFonts w:ascii="Arial" w:cs="Arial" w:eastAsia="Arial" w:hAnsi="Arial"/>
          <w:b/>
          <w:bCs/>
          <w:sz w:val="22"/>
          <w:szCs w:val="22"/>
        </w:rPr>
        <w:t xml:space="preserve">Option B: </w:t>
      </w:r>
      <w:r>
        <w:rPr>
          <w:rFonts w:ascii="Arial" w:cs="Arial" w:eastAsia="Arial" w:hAnsi="Arial"/>
          <w:sz w:val="22"/>
          <w:szCs w:val="22"/>
        </w:rPr>
        <w:t xml:space="preserve">Random Forest — 100 decision trees with max_depth=10, also with balanced class weights. Better at capturing non-linear interactions (e.g., low usage AND enterprise plan = extreme risk) and provides native feature_importances_ for explainability.</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4.5 Training &amp; Evaluation</w:t>
      </w:r>
    </w:p>
    <w:p>
      <w:pPr>
        <w:spacing w:before="80" w:after="80"/>
      </w:pPr>
      <w:r>
        <w:rPr>
          <w:rFonts w:ascii="Arial" w:cs="Arial" w:eastAsia="Arial" w:hAnsi="Arial"/>
          <w:sz w:val="22"/>
          <w:szCs w:val="22"/>
        </w:rPr>
        <w:t xml:space="preserve">The train() method performs a stratified train/test split (80/20) to preserve the churn rate in both splits, then fits the Pipeline and evaluates on the held-out test set:</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Split:      80% train / 20% test  (stratified on churn label)</w:t>
      </w:r>
    </w:p>
    <w:p>
      <w:pPr>
        <w:spacing w:before="40" w:after="40"/>
        <w:ind w:left="720"/>
      </w:pPr>
      <w:r>
        <w:rPr>
          <w:rFonts w:ascii="Courier New" w:cs="Courier New" w:eastAsia="Courier New" w:hAnsi="Courier New"/>
          <w:color w:val="2F5496"/>
          <w:sz w:val="18"/>
          <w:szCs w:val="18"/>
        </w:rPr>
        <w:t xml:space="preserve">Random seed: 42  (reproducible results)</w:t>
      </w:r>
    </w:p>
    <w:p>
      <w:pPr>
        <w:spacing w:before="40" w:after="40"/>
        <w:ind w:left="720"/>
      </w:pPr>
      <w:r>
        <w:rPr>
          <w:rFonts w:ascii="Courier New" w:cs="Courier New" w:eastAsia="Courier New" w:hAnsi="Courier New"/>
          <w:color w:val="2F5496"/>
          <w:sz w:val="18"/>
          <w:szCs w:val="18"/>
        </w:rPr>
        <w:t xml:space="preserve">Metrics:    AUC-ROC, Precision, Recall, F1-Score</w:t>
      </w:r>
    </w:p>
    <w:p>
      <w:pPr>
        <w:spacing w:before="40" w:after="40"/>
        <w:ind w:left="720"/>
      </w:pPr>
      <w:r>
        <w:rPr>
          <w:rFonts w:ascii="Courier New" w:cs="Courier New" w:eastAsia="Courier New" w:hAnsi="Courier New"/>
          <w:color w:val="2F5496"/>
          <w:sz w:val="18"/>
          <w:szCs w:val="18"/>
        </w:rPr>
        <w:t xml:space="preserve">Target:     AUC &gt; 0.75  (configured in MIN_AUC_THRESHOLD)</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4.6 Risk Scoring &amp; At-Risk Customer List</w:t>
      </w:r>
    </w:p>
    <w:p>
      <w:pPr>
        <w:spacing w:before="80" w:after="80"/>
      </w:pPr>
      <w:r>
        <w:rPr>
          <w:rFonts w:ascii="Arial" w:cs="Arial" w:eastAsia="Arial" w:hAnsi="Arial"/>
          <w:sz w:val="22"/>
          <w:szCs w:val="22"/>
        </w:rPr>
        <w:t xml:space="preserve">After training, predict_churn_probability() scores every customer and constructs a risk_score as the product of churn probability and monthly revenue. This prioritises high-value customers who are also likely to leave — the accounts where intervention has the highest ROI. The top 20 customers by risk score (configurable via TOP_N_AT_RISK) are surfaced in both the dashboard table and the PowerPoint report.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EEAF1"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Churn Model at a Glance</w:t>
            </w:r>
          </w:p>
          <w:p>
            <w:pPr>
              <w:spacing w:before="40" w:after="40"/>
            </w:pPr>
            <w:r>
              <w:rPr>
                <w:rFonts w:ascii="Arial" w:cs="Arial" w:eastAsia="Arial" w:hAnsi="Arial"/>
                <w:sz w:val="20"/>
                <w:szCs w:val="20"/>
              </w:rPr>
              <w:t xml:space="preserve">Framework:  scikit-learn Pipeline (StandardScaler + Classifier)</w:t>
            </w:r>
          </w:p>
          <w:p>
            <w:pPr>
              <w:spacing w:before="40" w:after="40"/>
            </w:pPr>
            <w:r>
              <w:rPr>
                <w:rFonts w:ascii="Arial" w:cs="Arial" w:eastAsia="Arial" w:hAnsi="Arial"/>
                <w:sz w:val="20"/>
                <w:szCs w:val="20"/>
              </w:rPr>
              <w:t xml:space="preserve">Default model: Logistic Regression  |  Alternative: Random Forest</w:t>
            </w:r>
          </w:p>
          <w:p>
            <w:pPr>
              <w:spacing w:before="40" w:after="40"/>
            </w:pPr>
            <w:r>
              <w:rPr>
                <w:rFonts w:ascii="Arial" w:cs="Arial" w:eastAsia="Arial" w:hAnsi="Arial"/>
                <w:sz w:val="20"/>
                <w:szCs w:val="20"/>
              </w:rPr>
              <w:t xml:space="preserve">Class imbalance: class_weight='balanced' on both models</w:t>
            </w:r>
          </w:p>
          <w:p>
            <w:pPr>
              <w:spacing w:before="40" w:after="40"/>
            </w:pPr>
            <w:r>
              <w:rPr>
                <w:rFonts w:ascii="Arial" w:cs="Arial" w:eastAsia="Arial" w:hAnsi="Arial"/>
                <w:sz w:val="20"/>
                <w:szCs w:val="20"/>
              </w:rPr>
              <w:t xml:space="preserve">Features: 20+ engineered from recency, frequency, monetary, usage, tenure, plan/segment</w:t>
            </w:r>
          </w:p>
          <w:p>
            <w:pPr>
              <w:spacing w:before="40" w:after="40"/>
            </w:pPr>
            <w:r>
              <w:rPr>
                <w:rFonts w:ascii="Arial" w:cs="Arial" w:eastAsia="Arial" w:hAnsi="Arial"/>
                <w:sz w:val="20"/>
                <w:szCs w:val="20"/>
              </w:rPr>
              <w:t xml:space="preserve">Risk score: churn_probability × monthly_revenue  (revenue-weighted prioritisation)</w:t>
            </w:r>
          </w:p>
          <w:p>
            <w:pPr>
              <w:spacing w:before="40" w:after="40"/>
            </w:pPr>
            <w:r>
              <w:rPr>
                <w:rFonts w:ascii="Arial" w:cs="Arial" w:eastAsia="Arial" w:hAnsi="Arial"/>
                <w:sz w:val="20"/>
                <w:szCs w:val="20"/>
              </w:rPr>
              <w:t xml:space="preserve">Artefact: churn_model.pkl saved under models/ for reuse</w:t>
            </w:r>
          </w:p>
        </w:tc>
      </w:tr>
    </w:tbl>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5. AI Insights with the OpenAI SDK</w:t>
      </w:r>
    </w:p>
    <w:p>
      <w:pPr>
        <w:pStyle w:val="Heading2"/>
        <w:spacing w:before="240" w:after="80"/>
      </w:pPr>
      <w:r>
        <w:rPr>
          <w:rFonts w:ascii="Arial" w:cs="Arial" w:eastAsia="Arial" w:hAnsi="Arial"/>
          <w:b/>
          <w:bCs/>
          <w:color w:val="2E75B6"/>
          <w:sz w:val="26"/>
          <w:szCs w:val="26"/>
        </w:rPr>
        <w:t xml:space="preserve">5.1 Role of the LLM</w:t>
      </w:r>
    </w:p>
    <w:p>
      <w:pPr>
        <w:spacing w:before="80" w:after="80"/>
      </w:pPr>
      <w:r>
        <w:rPr>
          <w:rFonts w:ascii="Arial" w:cs="Arial" w:eastAsia="Arial" w:hAnsi="Arial"/>
          <w:sz w:val="22"/>
          <w:szCs w:val="22"/>
        </w:rPr>
        <w:t xml:space="preserve">The OpenAI integration solves a specific last-mile problem: converting a dashboard full of numbers into concise, decision-ready business language. Executives do not want to read tables; they want three bullets telling them what is happening and what to do. The LLM bridges that gap.</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5.2 SDK and Model Choice</w:t>
      </w:r>
    </w:p>
    <w:p>
      <w:pPr>
        <w:spacing w:before="80" w:after="80"/>
      </w:pPr>
      <w:r>
        <w:rPr>
          <w:rFonts w:ascii="Arial" w:cs="Arial" w:eastAsia="Arial" w:hAnsi="Arial"/>
          <w:sz w:val="22"/>
          <w:szCs w:val="22"/>
        </w:rPr>
        <w:t xml:space="preserve">The application uses the official openai Python SDK (from openai import OpenAI). The chosen model is gpt-4o-mini, a cost-efficient OpenAI model that is fast and well-suited to structured summarisation tasks. Each full report costs approximately $0.02, making it practical to regenerate on demand.</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pip install openai python-dotenv</w:t>
      </w:r>
    </w:p>
    <w:p>
      <w:pPr>
        <w:spacing w:before="40" w:after="40"/>
        <w:ind w:left="720"/>
      </w:pPr>
      <w:r>
        <w:rPr>
          <w:rFonts w:ascii="Courier New" w:cs="Courier New" w:eastAsia="Courier New" w:hAnsi="Courier New"/>
          <w:color w:val="2F5496"/>
          <w:sz w:val="18"/>
          <w:szCs w:val="18"/>
        </w:rPr>
        <w:t xml:space="preserve">OPENAI_API_KEY=&lt;your-key&gt;   # stored in .env, never committed to Git</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5.3 Two Prompt Workflows</w:t>
      </w:r>
    </w:p>
    <w:p>
      <w:pPr>
        <w:spacing w:before="80" w:after="80"/>
      </w:pPr>
      <w:r>
        <w:rPr>
          <w:rFonts w:ascii="Arial" w:cs="Arial" w:eastAsia="Arial" w:hAnsi="Arial"/>
          <w:sz w:val="22"/>
          <w:szCs w:val="22"/>
        </w:rPr>
        <w:t xml:space="preserve">The InsightsGenerator class in src/insights_generator.py exposes two methods, each backed by a carefully crafted prompt template stored in config/settings.py:</w:t>
      </w:r>
    </w:p>
    <w:p>
      <w:pPr>
        <w:spacing w:before="80" w:after="0"/>
      </w:pPr>
      <w:r>
        <w:t xml:space="preserve"/>
      </w:r>
    </w:p>
    <w:p>
      <w:pPr>
        <w:pStyle w:val="Heading3"/>
        <w:spacing w:before="200" w:after="60"/>
      </w:pPr>
      <w:r>
        <w:rPr>
          <w:rFonts w:ascii="Arial" w:cs="Arial" w:eastAsia="Arial" w:hAnsi="Arial"/>
          <w:b/>
          <w:bCs/>
          <w:color w:val="2E4057"/>
          <w:sz w:val="22"/>
          <w:szCs w:val="22"/>
        </w:rPr>
        <w:t xml:space="preserve">Executive Summary Prompt</w:t>
      </w:r>
    </w:p>
    <w:p>
      <w:pPr>
        <w:spacing w:before="80" w:after="80"/>
      </w:pPr>
      <w:r>
        <w:rPr>
          <w:rFonts w:ascii="Arial" w:cs="Arial" w:eastAsia="Arial" w:hAnsi="Arial"/>
          <w:sz w:val="22"/>
          <w:szCs w:val="22"/>
        </w:rPr>
        <w:t xml:space="preserve">generate_executive_summary() injects six numeric KPIs into the EXECUTIVE_SUMMARY_PROMPT template and asks the model to return three bullet points covering revenue trajectory, customer health, and business implications. The system message establishes the persona of a business analyst writing for a C-suite audience.</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Injected variables: current_mrr, mrr_growth, forecast_mrr,</w:t>
      </w:r>
    </w:p>
    <w:p>
      <w:pPr>
        <w:spacing w:before="40" w:after="40"/>
        <w:ind w:left="720"/>
      </w:pPr>
      <w:r>
        <w:rPr>
          <w:rFonts w:ascii="Courier New" w:cs="Courier New" w:eastAsia="Courier New" w:hAnsi="Courier New"/>
          <w:color w:val="2F5496"/>
          <w:sz w:val="18"/>
          <w:szCs w:val="18"/>
        </w:rPr>
        <w:t xml:space="preserve">                    churn_rate, active_customers, at_risk_count</w:t>
      </w:r>
    </w:p>
    <w:p>
      <w:pPr>
        <w:spacing w:before="40" w:after="40"/>
        <w:ind w:left="720"/>
      </w:pPr>
      <w:r>
        <w:rPr>
          <w:rFonts w:ascii="Courier New" w:cs="Courier New" w:eastAsia="Courier New" w:hAnsi="Courier New"/>
          <w:color w:val="2F5496"/>
          <w:sz w:val="18"/>
          <w:szCs w:val="18"/>
        </w:rPr>
        <w:t xml:space="preserve">Output:  3 structured bullets, 2–3 sentences each</w:t>
      </w:r>
    </w:p>
    <w:p>
      <w:pPr>
        <w:spacing w:before="80" w:after="0"/>
      </w:pPr>
      <w:r>
        <w:t xml:space="preserve"/>
      </w:r>
    </w:p>
    <w:p>
      <w:pPr>
        <w:pStyle w:val="Heading3"/>
        <w:spacing w:before="200" w:after="60"/>
      </w:pPr>
      <w:r>
        <w:rPr>
          <w:rFonts w:ascii="Arial" w:cs="Arial" w:eastAsia="Arial" w:hAnsi="Arial"/>
          <w:b/>
          <w:bCs/>
          <w:color w:val="2E4057"/>
          <w:sz w:val="22"/>
          <w:szCs w:val="22"/>
        </w:rPr>
        <w:t xml:space="preserve">Recommendations Prompt</w:t>
      </w:r>
    </w:p>
    <w:p>
      <w:pPr>
        <w:spacing w:before="80" w:after="80"/>
      </w:pPr>
      <w:r>
        <w:rPr>
          <w:rFonts w:ascii="Arial" w:cs="Arial" w:eastAsia="Arial" w:hAnsi="Arial"/>
          <w:sz w:val="22"/>
          <w:szCs w:val="22"/>
        </w:rPr>
        <w:t xml:space="preserve">generate_recommendations() provides the model with a plain-English summary of the top five at-risk customers (ID, monthly revenue, and churn probability) plus the current MRR trend label. The model is instructed to return three specific, actionable recommendations focused on churn reduction, revenue protection, and retention improvement.</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Injected variables: at_risk_summary (top-5 customers), churn_rate, mrr_trend</w:t>
      </w:r>
    </w:p>
    <w:p>
      <w:pPr>
        <w:spacing w:before="40" w:after="40"/>
        <w:ind w:left="720"/>
      </w:pPr>
      <w:r>
        <w:rPr>
          <w:rFonts w:ascii="Courier New" w:cs="Courier New" w:eastAsia="Courier New" w:hAnsi="Courier New"/>
          <w:color w:val="2F5496"/>
          <w:sz w:val="18"/>
          <w:szCs w:val="18"/>
        </w:rPr>
        <w:t xml:space="preserve">Output:  3 numbered recommendations, 2–3 sentences each with clear next steps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5.4 API Call Configuration</w:t>
      </w:r>
    </w:p>
    <w:p>
      <w:pPr>
        <w:spacing w:before="80" w:after="80"/>
      </w:pPr>
      <w:r>
        <w:rPr>
          <w:rFonts w:ascii="Arial" w:cs="Arial" w:eastAsia="Arial" w:hAnsi="Arial"/>
          <w:sz w:val="22"/>
          <w:szCs w:val="22"/>
        </w:rPr>
        <w:t xml:space="preserve">Both methods use the same call pattern via the OpenAI client:</w:t>
      </w:r>
    </w:p>
    <w:p>
      <w:pPr>
        <w:spacing w:before="60" w:after="0"/>
      </w:pPr>
      <w:r>
        <w:t xml:space="preserve"/>
      </w:r>
    </w:p>
    <w:p>
      <w:pPr>
        <w:spacing w:before="40" w:after="40"/>
        <w:ind w:left="720"/>
      </w:pPr>
      <w:r>
        <w:rPr>
          <w:rFonts w:ascii="Courier New" w:cs="Courier New" w:eastAsia="Courier New" w:hAnsi="Courier New"/>
          <w:color w:val="2F5496"/>
          <w:sz w:val="18"/>
          <w:szCs w:val="18"/>
        </w:rPr>
        <w:t xml:space="preserve">model       = 'gpt-4o-mini'</w:t>
      </w:r>
    </w:p>
    <w:p>
      <w:pPr>
        <w:spacing w:before="40" w:after="40"/>
        <w:ind w:left="720"/>
      </w:pPr>
      <w:r>
        <w:rPr>
          <w:rFonts w:ascii="Courier New" w:cs="Courier New" w:eastAsia="Courier New" w:hAnsi="Courier New"/>
          <w:color w:val="2F5496"/>
          <w:sz w:val="18"/>
          <w:szCs w:val="18"/>
        </w:rPr>
        <w:t xml:space="preserve">max_tokens  = 800     # cost control; enough for ~500-word output</w:t>
      </w:r>
    </w:p>
    <w:p>
      <w:pPr>
        <w:spacing w:before="40" w:after="40"/>
        <w:ind w:left="720"/>
      </w:pPr>
      <w:r>
        <w:rPr>
          <w:rFonts w:ascii="Courier New" w:cs="Courier New" w:eastAsia="Courier New" w:hAnsi="Courier New"/>
          <w:color w:val="2F5496"/>
          <w:sz w:val="18"/>
          <w:szCs w:val="18"/>
        </w:rPr>
        <w:t xml:space="preserve">temperature = 0.3     # low temperature for consistent, deterministic outputs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5.5 Fallback Mechanism</w:t>
      </w:r>
    </w:p>
    <w:p>
      <w:pPr>
        <w:spacing w:before="80" w:after="80"/>
      </w:pPr>
      <w:r>
        <w:rPr>
          <w:rFonts w:ascii="Arial" w:cs="Arial" w:eastAsia="Arial" w:hAnsi="Arial"/>
          <w:sz w:val="22"/>
          <w:szCs w:val="22"/>
        </w:rPr>
        <w:t xml:space="preserve">If the API call fails for any reason (network error, quota exceeded, missing key), both methods gracefully fall back to a _fallback_summary() or _fallback_recommendations() template that formats the same KPIs into readable bullet points using Python string formatting — no LLM required. This ensures the application always produces a complete report even in degraded conditions.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5.6 Security &amp; Cost Controls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The API key is stored in a .env file that is explicitly excluded from Git via .gitignore — it is never committed to the repository.</w:t>
      </w:r>
    </w:p>
    <w:p>
      <w:pPr>
        <w:pStyle w:val="ListParagraph"/>
        <w:numPr>
          <w:ilvl w:val="0"/>
          <w:numId w:val="2"/>
        </w:numPr>
        <w:spacing w:before="60" w:after="60"/>
      </w:pPr>
      <w:r>
        <w:rPr>
          <w:rFonts w:ascii="Arial" w:cs="Arial" w:eastAsia="Arial" w:hAnsi="Arial"/>
          <w:sz w:val="22"/>
          <w:szCs w:val="22"/>
        </w:rPr>
        <w:t xml:space="preserve">The max_tokens=800 ceiling ensures no single call can generate runaway costs.</w:t>
      </w:r>
    </w:p>
    <w:p>
      <w:pPr>
        <w:pStyle w:val="ListParagraph"/>
        <w:numPr>
          <w:ilvl w:val="0"/>
          <w:numId w:val="2"/>
        </w:numPr>
        <w:spacing w:before="60" w:after="60"/>
      </w:pPr>
      <w:r>
        <w:rPr>
          <w:rFonts w:ascii="Arial" w:cs="Arial" w:eastAsia="Arial" w:hAnsi="Arial"/>
          <w:sz w:val="22"/>
          <w:szCs w:val="22"/>
        </w:rPr>
        <w:t xml:space="preserve">Temperature is set to 0.3 (close to deterministic) so outputs are consistent across regenerations and suitable for automated report pipelines.</w:t>
      </w:r>
    </w:p>
    <w:p>
      <w:pPr>
        <w:pStyle w:val="ListParagraph"/>
        <w:numPr>
          <w:ilvl w:val="0"/>
          <w:numId w:val="2"/>
        </w:numPr>
        <w:spacing w:before="60" w:after="60"/>
      </w:pPr>
      <w:r>
        <w:rPr>
          <w:rFonts w:ascii="Arial" w:cs="Arial" w:eastAsia="Arial" w:hAnsi="Arial"/>
          <w:sz w:val="22"/>
          <w:szCs w:val="22"/>
        </w:rPr>
        <w:t xml:space="preserve">The .env.example file documents the variable names without exposing real credentials, making it safe to share publicly.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EEAF1"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OpenAI Integration at a Glance</w:t>
            </w:r>
          </w:p>
          <w:p>
            <w:pPr>
              <w:spacing w:before="40" w:after="40"/>
            </w:pPr>
            <w:r>
              <w:rPr>
                <w:rFonts w:ascii="Arial" w:cs="Arial" w:eastAsia="Arial" w:hAnsi="Arial"/>
                <w:sz w:val="20"/>
                <w:szCs w:val="20"/>
              </w:rPr>
              <w:t xml:space="preserve">SDK:        openai  (official Python client)</w:t>
            </w:r>
          </w:p>
          <w:p>
            <w:pPr>
              <w:spacing w:before="40" w:after="40"/>
            </w:pPr>
            <w:r>
              <w:rPr>
                <w:rFonts w:ascii="Arial" w:cs="Arial" w:eastAsia="Arial" w:hAnsi="Arial"/>
                <w:sz w:val="20"/>
                <w:szCs w:val="20"/>
              </w:rPr>
              <w:t xml:space="preserve">Model:      gpt-4o-mini  (~$0.02 per full report)</w:t>
            </w:r>
          </w:p>
          <w:p>
            <w:pPr>
              <w:spacing w:before="40" w:after="40"/>
            </w:pPr>
            <w:r>
              <w:rPr>
                <w:rFonts w:ascii="Arial" w:cs="Arial" w:eastAsia="Arial" w:hAnsi="Arial"/>
                <w:sz w:val="20"/>
                <w:szCs w:val="20"/>
              </w:rPr>
              <w:t xml:space="preserve">Outputs:    Executive Summary (3 bullets) + Recommendations (3 actions)</w:t>
            </w:r>
          </w:p>
          <w:p>
            <w:pPr>
              <w:spacing w:before="40" w:after="40"/>
            </w:pPr>
            <w:r>
              <w:rPr>
                <w:rFonts w:ascii="Arial" w:cs="Arial" w:eastAsia="Arial" w:hAnsi="Arial"/>
                <w:sz w:val="20"/>
                <w:szCs w:val="20"/>
              </w:rPr>
              <w:t xml:space="preserve">Parameters: max_tokens=800, temperature=0.3</w:t>
            </w:r>
          </w:p>
          <w:p>
            <w:pPr>
              <w:spacing w:before="40" w:after="40"/>
            </w:pPr>
            <w:r>
              <w:rPr>
                <w:rFonts w:ascii="Arial" w:cs="Arial" w:eastAsia="Arial" w:hAnsi="Arial"/>
                <w:sz w:val="20"/>
                <w:szCs w:val="20"/>
              </w:rPr>
              <w:t xml:space="preserve">Fallback:   Template-based text generation if API unavailable</w:t>
            </w:r>
          </w:p>
          <w:p>
            <w:pPr>
              <w:spacing w:before="40" w:after="40"/>
            </w:pPr>
            <w:r>
              <w:rPr>
                <w:rFonts w:ascii="Arial" w:cs="Arial" w:eastAsia="Arial" w:hAnsi="Arial"/>
                <w:sz w:val="20"/>
                <w:szCs w:val="20"/>
              </w:rPr>
              <w:t xml:space="preserve">Security:   API key in .env (gitignored), never hardcoded in source</w:t>
            </w:r>
          </w:p>
        </w:tc>
      </w:tr>
    </w:tbl>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6. Automated PowerPoint Report</w:t>
      </w:r>
    </w:p>
    <w:p>
      <w:pPr>
        <w:spacing w:before="80" w:after="80"/>
      </w:pPr>
      <w:r>
        <w:rPr>
          <w:rFonts w:ascii="Arial" w:cs="Arial" w:eastAsia="Arial" w:hAnsi="Arial"/>
          <w:sz w:val="22"/>
          <w:szCs w:val="22"/>
        </w:rPr>
        <w:t xml:space="preserve">The ReportBuilder class (src/report_builder.py) uses python-pptx to assemble a six-slide presentation entirely in code — no manual formatting required. Charts are generated with Plotly and exported as PNG bytes using fig.to_image(), then embedded directly into slides via slide.shapes.add_picture(). The six slides are:</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Title slide — project name and generation date.</w:t>
      </w:r>
    </w:p>
    <w:p>
      <w:pPr>
        <w:pStyle w:val="ListParagraph"/>
        <w:numPr>
          <w:ilvl w:val="0"/>
          <w:numId w:val="2"/>
        </w:numPr>
        <w:spacing w:before="60" w:after="60"/>
      </w:pPr>
      <w:r>
        <w:rPr>
          <w:rFonts w:ascii="Arial" w:cs="Arial" w:eastAsia="Arial" w:hAnsi="Arial"/>
          <w:sz w:val="22"/>
          <w:szCs w:val="22"/>
        </w:rPr>
        <w:t xml:space="preserve">Executive Summary — LLM-generated prose from InsightsGenerator.</w:t>
      </w:r>
    </w:p>
    <w:p>
      <w:pPr>
        <w:pStyle w:val="ListParagraph"/>
        <w:numPr>
          <w:ilvl w:val="0"/>
          <w:numId w:val="2"/>
        </w:numPr>
        <w:spacing w:before="60" w:after="60"/>
      </w:pPr>
      <w:r>
        <w:rPr>
          <w:rFonts w:ascii="Arial" w:cs="Arial" w:eastAsia="Arial" w:hAnsi="Arial"/>
          <w:sz w:val="22"/>
          <w:szCs w:val="22"/>
        </w:rPr>
        <w:t xml:space="preserve">Key Performance Indicators — MRR, ARR, active customers, churn rate, ARPU, CLV displayed in a two-column metric grid.</w:t>
      </w:r>
    </w:p>
    <w:p>
      <w:pPr>
        <w:pStyle w:val="ListParagraph"/>
        <w:numPr>
          <w:ilvl w:val="0"/>
          <w:numId w:val="2"/>
        </w:numPr>
        <w:spacing w:before="60" w:after="60"/>
      </w:pPr>
      <w:r>
        <w:rPr>
          <w:rFonts w:ascii="Arial" w:cs="Arial" w:eastAsia="Arial" w:hAnsi="Arial"/>
          <w:sz w:val="22"/>
          <w:szCs w:val="22"/>
        </w:rPr>
        <w:t xml:space="preserve">Revenue Forecast Chart — the Plotly MRR chart (actual + predicted + confidence band) embedded as a PNG.</w:t>
      </w:r>
    </w:p>
    <w:p>
      <w:pPr>
        <w:pStyle w:val="ListParagraph"/>
        <w:numPr>
          <w:ilvl w:val="0"/>
          <w:numId w:val="2"/>
        </w:numPr>
        <w:spacing w:before="60" w:after="60"/>
      </w:pPr>
      <w:r>
        <w:rPr>
          <w:rFonts w:ascii="Arial" w:cs="Arial" w:eastAsia="Arial" w:hAnsi="Arial"/>
          <w:sz w:val="22"/>
          <w:szCs w:val="22"/>
        </w:rPr>
        <w:t xml:space="preserve">Top At-Risk Customers — a formatted table of the top 10 customers by risk score.</w:t>
      </w:r>
    </w:p>
    <w:p>
      <w:pPr>
        <w:pStyle w:val="ListParagraph"/>
        <w:numPr>
          <w:ilvl w:val="0"/>
          <w:numId w:val="2"/>
        </w:numPr>
        <w:spacing w:before="60" w:after="60"/>
      </w:pPr>
      <w:r>
        <w:rPr>
          <w:rFonts w:ascii="Arial" w:cs="Arial" w:eastAsia="Arial" w:hAnsi="Arial"/>
          <w:sz w:val="22"/>
          <w:szCs w:val="22"/>
        </w:rPr>
        <w:t xml:space="preserve">Strategic Recommendations — LLM-generated action items from InsightsGenerator.</w:t>
      </w:r>
    </w:p>
    <w:p>
      <w:pPr>
        <w:spacing w:before="160" w:after="0"/>
      </w:pPr>
      <w:r>
        <w:t xml:space="preserve"/>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7. Full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Category</w:t>
            </w:r>
          </w:p>
        </w:tc>
        <w:tc>
          <w:tcPr>
            <w:tcW w:type="dxa" w:w="6360"/>
            <w:tcBorders>
              <w:top w:val="single" w:color="ADB9CA" w:sz="1"/>
              <w:left w:val="single" w:color="ADB9CA" w:sz="1"/>
              <w:bottom w:val="single" w:color="ADB9CA" w:sz="1"/>
              <w:right w:val="single" w:color="ADB9CA" w:sz="1"/>
            </w:tcBorders>
            <w:shd w:fill="BDD7EE" w:val="clear"/>
            <w:tcMar>
              <w:top w:type="dxa" w:w="80"/>
              <w:left w:type="dxa" w:w="160"/>
              <w:bottom w:type="dxa" w:w="80"/>
              <w:right w:type="dxa" w:w="160"/>
            </w:tcMar>
          </w:tcPr>
          <w:p>
            <w:r>
              <w:rPr>
                <w:rFonts w:ascii="Arial" w:cs="Arial" w:eastAsia="Arial" w:hAnsi="Arial"/>
                <w:b/>
                <w:bCs/>
                <w:sz w:val="22"/>
                <w:szCs w:val="22"/>
              </w:rPr>
              <w:t xml:space="preserve">Library / Tool</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UI Framework</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Streamlit — single-file web app with file upload and download</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Data Processing</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pandas, numpy — cleaning, merging, feature engineering</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ML — Forecasting</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Prophet (facebook/prophet) — time-series with seasonality</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ML — Classification</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scikit-learn — Pipeline, LogisticRegression, RandomForestClassifier</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Model Persistence</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joblib — serialise and reload trained pipelines</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LLM / AI</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openai SDK — gpt-4o-mini via chat.completions.create</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Visualisation</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Plotly — interactive charts in UI; PNG export for PPT</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Reporting</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python-pptx — programmatic PowerPoint generation</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Configuration</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python-dotenv — secure API key management via .env</w:t>
            </w:r>
          </w:p>
        </w:tc>
      </w:tr>
      <w:tr>
        <w:tc>
          <w:tcPr>
            <w:tcW w:type="dxa" w:w="3000"/>
            <w:tcBorders>
              <w:top w:val="single" w:color="ADB9CA" w:sz="1"/>
              <w:left w:val="single" w:color="ADB9CA" w:sz="1"/>
              <w:bottom w:val="single" w:color="ADB9CA" w:sz="1"/>
              <w:right w:val="single" w:color="ADB9CA" w:sz="1"/>
            </w:tcBorders>
            <w:shd w:fill="DEEAF1" w:val="clear"/>
            <w:tcMar>
              <w:top w:type="dxa" w:w="80"/>
              <w:left w:type="dxa" w:w="160"/>
              <w:bottom w:type="dxa" w:w="80"/>
              <w:right w:type="dxa" w:w="160"/>
            </w:tcMar>
          </w:tcPr>
          <w:p>
            <w:r>
              <w:rPr>
                <w:rFonts w:ascii="Arial" w:cs="Arial" w:eastAsia="Arial" w:hAnsi="Arial"/>
                <w:b/>
                <w:bCs/>
                <w:sz w:val="20"/>
                <w:szCs w:val="20"/>
              </w:rPr>
              <w:t xml:space="preserve">Environment</w:t>
            </w:r>
          </w:p>
        </w:tc>
        <w:tc>
          <w:tcPr>
            <w:tcW w:type="dxa" w:w="6360"/>
            <w:tcBorders>
              <w:top w:val="single" w:color="ADB9CA" w:sz="1"/>
              <w:left w:val="single" w:color="ADB9CA" w:sz="1"/>
              <w:bottom w:val="single" w:color="ADB9CA" w:sz="1"/>
              <w:right w:val="single" w:color="ADB9C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Python 3.9–3.12, virtualenv, GitHub for version control</w:t>
            </w:r>
          </w:p>
        </w:tc>
      </w:tr>
    </w:tbl>
    <w:p>
      <w:pPr>
        <w:spacing w:before="200" w:after="0"/>
      </w:pPr>
      <w:r>
        <w:t xml:space="preserve"/>
      </w:r>
    </w:p>
    <w:p>
      <w:pPr>
        <w:pBdr>
          <w:bottom w:val="single" w:color="2E75B6" w:sz="4" w:space="1"/>
        </w:pBdr>
        <w:spacing w:before="160" w:after="160"/>
      </w:pPr>
      <w:r>
        <w:t xml:space="preserve"/>
      </w:r>
    </w:p>
    <w:p>
      <w:pPr>
        <w:spacing w:before="240" w:after="0"/>
        <w:jc w:val="center"/>
      </w:pPr>
      <w:r>
        <w:rPr>
          <w:rFonts w:ascii="Arial" w:cs="Arial" w:eastAsia="Arial" w:hAnsi="Arial"/>
          <w:i/>
          <w:iCs/>
          <w:color w:val="888888"/>
          <w:sz w:val="18"/>
          <w:szCs w:val="18"/>
        </w:rPr>
        <w:t xml:space="preserve">Sales Intelligence Copilot  |  github.com/AnishAggarwal71/sales-intelligence-copilot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2026-03-04T18:21:18.520Z</dcterms:created>
  <dcterms:modified xsi:type="dcterms:W3CDTF">2026-03-04T18:21:18.520Z</dcterms:modified>
</cp:coreProperties>
</file>

<file path=docProps/custom.xml><?xml version="1.0" encoding="utf-8"?>
<Properties xmlns="http://schemas.openxmlformats.org/officeDocument/2006/custom-properties" xmlns:vt="http://schemas.openxmlformats.org/officeDocument/2006/docPropsVTypes"/>
</file>