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4BC972" w14:textId="5F706924" w:rsidR="0058588E" w:rsidRPr="00BA0E56" w:rsidRDefault="0058588E" w:rsidP="0058588E">
      <w:pPr>
        <w:jc w:val="center"/>
        <w:rPr>
          <w:b/>
          <w:bCs/>
        </w:rPr>
      </w:pPr>
      <w:r>
        <w:rPr>
          <w:noProof/>
        </w:rPr>
        <w:drawing>
          <wp:anchor distT="0" distB="0" distL="114300" distR="114300" simplePos="0" relativeHeight="251658240" behindDoc="0" locked="0" layoutInCell="1" allowOverlap="1" wp14:anchorId="5460B881" wp14:editId="6EBB25A7">
            <wp:simplePos x="0" y="0"/>
            <wp:positionH relativeFrom="margin">
              <wp:align>center</wp:align>
            </wp:positionH>
            <wp:positionV relativeFrom="paragraph">
              <wp:posOffset>0</wp:posOffset>
            </wp:positionV>
            <wp:extent cx="3352800" cy="1862667"/>
            <wp:effectExtent l="0" t="0" r="0" b="4445"/>
            <wp:wrapSquare wrapText="bothSides"/>
            <wp:docPr id="12" name="Picture 12" descr="Coventry University London Logo Vector - (.SVG + .PNG) - Tukuz.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ventry University London Logo Vector - (.SVG + .PNG) - Tukuz.Co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52800" cy="1862667"/>
                    </a:xfrm>
                    <a:prstGeom prst="rect">
                      <a:avLst/>
                    </a:prstGeom>
                    <a:noFill/>
                    <a:ln>
                      <a:noFill/>
                    </a:ln>
                  </pic:spPr>
                </pic:pic>
              </a:graphicData>
            </a:graphic>
          </wp:anchor>
        </w:drawing>
      </w:r>
      <w:r>
        <w:rPr>
          <w:b/>
          <w:bCs/>
        </w:rPr>
        <w:br w:type="textWrapping" w:clear="all"/>
      </w:r>
      <w:r>
        <w:rPr>
          <w:b/>
          <w:bCs/>
        </w:rPr>
        <w:br/>
      </w:r>
    </w:p>
    <w:p w14:paraId="23182D5F" w14:textId="77777777" w:rsidR="0058588E" w:rsidRPr="00BA0E56" w:rsidRDefault="0058588E" w:rsidP="0058588E">
      <w:pPr>
        <w:jc w:val="center"/>
        <w:rPr>
          <w:rFonts w:ascii="Times New Roman" w:eastAsia="Times New Roman" w:hAnsi="Times New Roman" w:cs="Times New Roman"/>
          <w:b/>
          <w:bCs/>
          <w:sz w:val="28"/>
          <w:szCs w:val="28"/>
        </w:rPr>
      </w:pPr>
      <w:r w:rsidRPr="00BA0E56">
        <w:rPr>
          <w:b/>
          <w:bCs/>
          <w:sz w:val="28"/>
          <w:szCs w:val="28"/>
        </w:rPr>
        <w:t>Analysing Corporate Performance: A Case of a Listed Company</w:t>
      </w:r>
    </w:p>
    <w:p w14:paraId="71916874" w14:textId="77777777" w:rsidR="0058588E" w:rsidRPr="00BA0E56" w:rsidRDefault="0058588E" w:rsidP="0058588E">
      <w:pPr>
        <w:jc w:val="center"/>
        <w:rPr>
          <w:rFonts w:ascii="Arial" w:eastAsia="Arial" w:hAnsi="Arial" w:cs="Arial"/>
          <w:sz w:val="28"/>
          <w:szCs w:val="28"/>
        </w:rPr>
      </w:pPr>
    </w:p>
    <w:p w14:paraId="72612D43" w14:textId="77777777" w:rsidR="0058588E" w:rsidRPr="00BA0E56" w:rsidRDefault="0058588E" w:rsidP="0058588E">
      <w:pPr>
        <w:jc w:val="center"/>
        <w:rPr>
          <w:b/>
          <w:sz w:val="28"/>
          <w:szCs w:val="28"/>
        </w:rPr>
      </w:pPr>
      <w:proofErr w:type="spellStart"/>
      <w:r w:rsidRPr="00BA0E56">
        <w:rPr>
          <w:b/>
          <w:sz w:val="28"/>
          <w:szCs w:val="28"/>
        </w:rPr>
        <w:t>Molude</w:t>
      </w:r>
      <w:proofErr w:type="spellEnd"/>
      <w:r w:rsidRPr="00BA0E56">
        <w:rPr>
          <w:b/>
          <w:sz w:val="28"/>
          <w:szCs w:val="28"/>
        </w:rPr>
        <w:t xml:space="preserve"> </w:t>
      </w:r>
      <w:proofErr w:type="gramStart"/>
      <w:r w:rsidRPr="00BA0E56">
        <w:rPr>
          <w:b/>
          <w:sz w:val="28"/>
          <w:szCs w:val="28"/>
        </w:rPr>
        <w:t>Name :</w:t>
      </w:r>
      <w:proofErr w:type="gramEnd"/>
      <w:r w:rsidRPr="00BA0E56">
        <w:rPr>
          <w:b/>
          <w:sz w:val="28"/>
          <w:szCs w:val="28"/>
        </w:rPr>
        <w:t xml:space="preserve"> Ethics and Financial Reporting</w:t>
      </w:r>
      <w:r w:rsidRPr="00BA0E56">
        <w:rPr>
          <w:b/>
          <w:sz w:val="28"/>
          <w:szCs w:val="28"/>
        </w:rPr>
        <w:br/>
        <w:t xml:space="preserve"> </w:t>
      </w:r>
      <w:proofErr w:type="spellStart"/>
      <w:r w:rsidRPr="00BA0E56">
        <w:rPr>
          <w:b/>
          <w:sz w:val="28"/>
          <w:szCs w:val="28"/>
        </w:rPr>
        <w:t>Moldule</w:t>
      </w:r>
      <w:proofErr w:type="spellEnd"/>
      <w:r w:rsidRPr="00BA0E56">
        <w:rPr>
          <w:b/>
          <w:sz w:val="28"/>
          <w:szCs w:val="28"/>
        </w:rPr>
        <w:t xml:space="preserve"> Code : 7015MECO</w:t>
      </w:r>
    </w:p>
    <w:p w14:paraId="15125EC0" w14:textId="77777777" w:rsidR="0058588E" w:rsidRPr="00BA0E56" w:rsidRDefault="0058588E" w:rsidP="0058588E">
      <w:pPr>
        <w:jc w:val="center"/>
        <w:rPr>
          <w:b/>
          <w:sz w:val="28"/>
          <w:szCs w:val="28"/>
        </w:rPr>
      </w:pPr>
      <w:r w:rsidRPr="00BA0E56">
        <w:rPr>
          <w:b/>
          <w:sz w:val="28"/>
          <w:szCs w:val="28"/>
        </w:rPr>
        <w:t>Individual Report</w:t>
      </w:r>
      <w:r>
        <w:rPr>
          <w:b/>
          <w:sz w:val="28"/>
          <w:szCs w:val="28"/>
        </w:rPr>
        <w:br/>
        <w:t xml:space="preserve">Student </w:t>
      </w:r>
      <w:proofErr w:type="gramStart"/>
      <w:r>
        <w:rPr>
          <w:b/>
          <w:sz w:val="28"/>
          <w:szCs w:val="28"/>
        </w:rPr>
        <w:t>Name :</w:t>
      </w:r>
      <w:proofErr w:type="gramEnd"/>
      <w:r>
        <w:rPr>
          <w:b/>
          <w:sz w:val="28"/>
          <w:szCs w:val="28"/>
        </w:rPr>
        <w:t xml:space="preserve"> Anish</w:t>
      </w:r>
    </w:p>
    <w:p w14:paraId="7CC9A584" w14:textId="77777777" w:rsidR="0058588E" w:rsidRPr="00BA0E56" w:rsidRDefault="0058588E" w:rsidP="0058588E">
      <w:pPr>
        <w:jc w:val="center"/>
        <w:rPr>
          <w:b/>
          <w:sz w:val="28"/>
          <w:szCs w:val="28"/>
        </w:rPr>
      </w:pPr>
      <w:r w:rsidRPr="00BA0E56">
        <w:rPr>
          <w:b/>
          <w:sz w:val="28"/>
          <w:szCs w:val="28"/>
        </w:rPr>
        <w:t>Student ID: 17000385</w:t>
      </w:r>
    </w:p>
    <w:p w14:paraId="5EDFBAE1" w14:textId="767E6962" w:rsidR="0058588E" w:rsidRPr="00BA0E56" w:rsidRDefault="0058588E" w:rsidP="0058588E">
      <w:pPr>
        <w:jc w:val="center"/>
        <w:rPr>
          <w:b/>
          <w:sz w:val="28"/>
          <w:szCs w:val="28"/>
        </w:rPr>
      </w:pPr>
      <w:r w:rsidRPr="00BA0E56">
        <w:rPr>
          <w:b/>
          <w:sz w:val="28"/>
          <w:szCs w:val="28"/>
        </w:rPr>
        <w:t>Coventry University London</w:t>
      </w:r>
      <w:r>
        <w:rPr>
          <w:b/>
          <w:sz w:val="28"/>
          <w:szCs w:val="28"/>
        </w:rPr>
        <w:br/>
        <w:t xml:space="preserve">Word </w:t>
      </w:r>
      <w:proofErr w:type="gramStart"/>
      <w:r>
        <w:rPr>
          <w:b/>
          <w:sz w:val="28"/>
          <w:szCs w:val="28"/>
        </w:rPr>
        <w:t>Count :</w:t>
      </w:r>
      <w:proofErr w:type="gramEnd"/>
    </w:p>
    <w:p w14:paraId="79E7E0AC" w14:textId="6A9DD69A" w:rsidR="00542C3D" w:rsidRDefault="0058588E" w:rsidP="0058588E">
      <w:pPr>
        <w:spacing w:line="360" w:lineRule="auto"/>
        <w:jc w:val="center"/>
        <w:rPr>
          <w:b/>
          <w:sz w:val="28"/>
          <w:szCs w:val="28"/>
        </w:rPr>
      </w:pPr>
      <w:r w:rsidRPr="00BA0E56">
        <w:rPr>
          <w:b/>
          <w:sz w:val="28"/>
          <w:szCs w:val="28"/>
        </w:rPr>
        <w:t>Submission: 20 August 2026</w:t>
      </w:r>
    </w:p>
    <w:p w14:paraId="443EB17B" w14:textId="342B85DD" w:rsidR="0058588E" w:rsidRDefault="0058588E" w:rsidP="0058588E">
      <w:pPr>
        <w:spacing w:line="360" w:lineRule="auto"/>
        <w:jc w:val="center"/>
        <w:rPr>
          <w:rFonts w:ascii="Times New Roman" w:eastAsia="Times New Roman" w:hAnsi="Times New Roman" w:cs="Times New Roman"/>
        </w:rPr>
      </w:pPr>
    </w:p>
    <w:p w14:paraId="04BB4262" w14:textId="1EEE6DF0" w:rsidR="0058588E" w:rsidRDefault="0058588E" w:rsidP="0058588E">
      <w:pPr>
        <w:spacing w:line="360" w:lineRule="auto"/>
        <w:jc w:val="center"/>
        <w:rPr>
          <w:rFonts w:ascii="Times New Roman" w:eastAsia="Times New Roman" w:hAnsi="Times New Roman" w:cs="Times New Roman"/>
        </w:rPr>
      </w:pPr>
    </w:p>
    <w:p w14:paraId="3BFC5CD7" w14:textId="5B8276FA" w:rsidR="0058588E" w:rsidRDefault="0058588E" w:rsidP="0058588E">
      <w:pPr>
        <w:spacing w:line="360" w:lineRule="auto"/>
        <w:jc w:val="center"/>
        <w:rPr>
          <w:rFonts w:ascii="Times New Roman" w:eastAsia="Times New Roman" w:hAnsi="Times New Roman" w:cs="Times New Roman"/>
        </w:rPr>
      </w:pPr>
    </w:p>
    <w:p w14:paraId="371B2A9D" w14:textId="283EA20D" w:rsidR="0058588E" w:rsidRDefault="0058588E" w:rsidP="0058588E">
      <w:pPr>
        <w:spacing w:line="360" w:lineRule="auto"/>
        <w:jc w:val="center"/>
        <w:rPr>
          <w:rFonts w:ascii="Times New Roman" w:eastAsia="Times New Roman" w:hAnsi="Times New Roman" w:cs="Times New Roman"/>
        </w:rPr>
      </w:pPr>
    </w:p>
    <w:p w14:paraId="05DB9E79" w14:textId="555B41F3" w:rsidR="0058588E" w:rsidRDefault="0058588E" w:rsidP="0058588E">
      <w:pPr>
        <w:spacing w:line="360" w:lineRule="auto"/>
        <w:jc w:val="center"/>
        <w:rPr>
          <w:rFonts w:ascii="Times New Roman" w:eastAsia="Times New Roman" w:hAnsi="Times New Roman" w:cs="Times New Roman"/>
        </w:rPr>
      </w:pPr>
    </w:p>
    <w:p w14:paraId="28FDF7BF" w14:textId="32162684" w:rsidR="0058588E" w:rsidRDefault="0058588E" w:rsidP="0058588E">
      <w:pPr>
        <w:spacing w:line="360" w:lineRule="auto"/>
        <w:jc w:val="center"/>
        <w:rPr>
          <w:rFonts w:ascii="Times New Roman" w:eastAsia="Times New Roman" w:hAnsi="Times New Roman" w:cs="Times New Roman"/>
        </w:rPr>
      </w:pPr>
    </w:p>
    <w:p w14:paraId="16D05E69" w14:textId="52C2AE6C" w:rsidR="0058588E" w:rsidRDefault="0058588E" w:rsidP="0058588E">
      <w:pPr>
        <w:spacing w:line="360" w:lineRule="auto"/>
        <w:jc w:val="center"/>
        <w:rPr>
          <w:rFonts w:ascii="Times New Roman" w:eastAsia="Times New Roman" w:hAnsi="Times New Roman" w:cs="Times New Roman"/>
        </w:rPr>
      </w:pPr>
    </w:p>
    <w:p w14:paraId="11AA3BA1" w14:textId="77777777" w:rsidR="0058588E" w:rsidRPr="003B5052" w:rsidRDefault="0058588E" w:rsidP="0058588E">
      <w:pPr>
        <w:spacing w:line="360" w:lineRule="auto"/>
        <w:jc w:val="center"/>
        <w:rPr>
          <w:rFonts w:ascii="Times New Roman" w:eastAsia="Times New Roman" w:hAnsi="Times New Roman" w:cs="Times New Roman"/>
        </w:rPr>
      </w:pPr>
    </w:p>
    <w:p w14:paraId="4FA310E2" w14:textId="77777777" w:rsidR="00542C3D" w:rsidRPr="003B5052" w:rsidRDefault="0058588E" w:rsidP="003B5052">
      <w:pPr>
        <w:pStyle w:val="Heading1"/>
        <w:spacing w:line="360" w:lineRule="auto"/>
        <w:jc w:val="both"/>
        <w:rPr>
          <w:rFonts w:ascii="Times New Roman" w:eastAsia="Times New Roman" w:hAnsi="Times New Roman" w:cs="Times New Roman"/>
          <w:b/>
          <w:bCs/>
          <w:color w:val="000000"/>
          <w:sz w:val="24"/>
          <w:szCs w:val="24"/>
        </w:rPr>
      </w:pPr>
      <w:bookmarkStart w:id="0" w:name="_3tq75kdc647x" w:colFirst="0" w:colLast="0"/>
      <w:bookmarkEnd w:id="0"/>
      <w:r w:rsidRPr="003B5052">
        <w:rPr>
          <w:rFonts w:ascii="Times New Roman" w:eastAsia="Times New Roman" w:hAnsi="Times New Roman" w:cs="Times New Roman"/>
          <w:b/>
          <w:bCs/>
          <w:color w:val="000000"/>
          <w:sz w:val="24"/>
          <w:szCs w:val="24"/>
        </w:rPr>
        <w:lastRenderedPageBreak/>
        <w:t>Executive Summary</w:t>
      </w:r>
    </w:p>
    <w:p w14:paraId="2E5AD41F" w14:textId="77777777" w:rsidR="003B5052" w:rsidRPr="003B5052" w:rsidRDefault="003B5052" w:rsidP="003B5052">
      <w:pPr>
        <w:spacing w:before="80" w:after="80" w:line="360" w:lineRule="auto"/>
        <w:jc w:val="both"/>
        <w:rPr>
          <w:rFonts w:ascii="Times New Roman" w:hAnsi="Times New Roman" w:cs="Times New Roman"/>
        </w:rPr>
      </w:pPr>
      <w:r w:rsidRPr="003B5052">
        <w:rPr>
          <w:rFonts w:ascii="Times New Roman" w:hAnsi="Times New Roman" w:cs="Times New Roman"/>
        </w:rPr>
        <w:t xml:space="preserve">One can state that the intended audience of the report is the address to the line manager of the financial consultancy company in terms of advising a prospective client who might be considering investing in the equity of the Lloyds Banking Group plc (LBG) -the biggest domestic retail and commercial bank and a part of the FTSE 100. A </w:t>
      </w:r>
    </w:p>
    <w:p w14:paraId="6D8886FF" w14:textId="77777777" w:rsidR="003B5052" w:rsidRPr="003B5052" w:rsidRDefault="003B5052" w:rsidP="003B5052">
      <w:pPr>
        <w:spacing w:before="80" w:after="80" w:line="360" w:lineRule="auto"/>
        <w:jc w:val="both"/>
        <w:rPr>
          <w:rFonts w:ascii="Times New Roman" w:hAnsi="Times New Roman" w:cs="Times New Roman"/>
        </w:rPr>
      </w:pPr>
      <w:r w:rsidRPr="003B5052">
        <w:rPr>
          <w:rFonts w:ascii="Times New Roman" w:hAnsi="Times New Roman" w:cs="Times New Roman"/>
        </w:rPr>
        <w:t xml:space="preserve">LBG is a BUY because income oriented investors but with a limit on the motor finance liability. Earnings have been shrinking in the short term, with unproven causes such as re-pricing deposits to reduce the net interest margin to 2.95% and remediation costs of £899 million and increased impairment charges of almost 1.29; both nearly twice as much as last year, awaiting assessment. These head winds have been </w:t>
      </w:r>
      <w:proofErr w:type="spellStart"/>
      <w:r w:rsidRPr="003B5052">
        <w:rPr>
          <w:rFonts w:ascii="Times New Roman" w:hAnsi="Times New Roman" w:cs="Times New Roman"/>
        </w:rPr>
        <w:t>roundabounded</w:t>
      </w:r>
      <w:proofErr w:type="spellEnd"/>
      <w:r w:rsidRPr="003B5052">
        <w:rPr>
          <w:rFonts w:ascii="Times New Roman" w:hAnsi="Times New Roman" w:cs="Times New Roman"/>
        </w:rPr>
        <w:t xml:space="preserve"> greatly. In 2025, NII trended to reinvestment of structural hedges, which caused NII to go back to 13,230 million, total income grew to 19,422 million, profit before tax grew by 12% to 6,661 million, and the return on tangible equity (ROTE) of 12.9%, which was higher than the 11.8% of peer banks. The capital strength is also high with CET1 ratio of 14.0 which is considerably higher than the SREP requirement by PRA of about 12. Its dividends per share growth has been 15 per cent over the last two years to 3.65 pence and in the share buyback programme continues to enhances the per-share figures. The single material risk, and the only unresolved motor liability in the books is unresolved motor finance liability (£1,950 million provided at year-end 2025) where the FCA scheme rules expected next May 2026 can potentially lead to additional charges. </w:t>
      </w:r>
    </w:p>
    <w:p w14:paraId="3DCB853E" w14:textId="40105152" w:rsidR="00542C3D" w:rsidRPr="003B5052" w:rsidRDefault="0058588E" w:rsidP="003B5052">
      <w:pPr>
        <w:spacing w:line="360" w:lineRule="auto"/>
        <w:jc w:val="both"/>
        <w:rPr>
          <w:rFonts w:ascii="Times New Roman" w:eastAsia="Times New Roman" w:hAnsi="Times New Roman" w:cs="Times New Roman"/>
        </w:rPr>
      </w:pPr>
      <w:r w:rsidRPr="003B5052">
        <w:rPr>
          <w:rFonts w:ascii="Times New Roman" w:eastAsia="Times New Roman" w:hAnsi="Times New Roman" w:cs="Times New Roman"/>
        </w:rPr>
        <w:t xml:space="preserve"> </w:t>
      </w:r>
    </w:p>
    <w:p w14:paraId="43C37EE1" w14:textId="77777777" w:rsidR="00542C3D" w:rsidRPr="003B5052" w:rsidRDefault="0058588E" w:rsidP="003B5052">
      <w:pPr>
        <w:spacing w:line="360" w:lineRule="auto"/>
        <w:jc w:val="both"/>
        <w:rPr>
          <w:rFonts w:ascii="Times New Roman" w:eastAsia="Times New Roman" w:hAnsi="Times New Roman" w:cs="Times New Roman"/>
        </w:rPr>
      </w:pPr>
      <w:r w:rsidRPr="003B5052">
        <w:rPr>
          <w:rFonts w:ascii="Times New Roman" w:hAnsi="Times New Roman" w:cs="Times New Roman"/>
        </w:rPr>
        <w:br w:type="page"/>
      </w:r>
    </w:p>
    <w:p w14:paraId="3DE75208" w14:textId="77777777" w:rsidR="00542C3D" w:rsidRPr="003B5052" w:rsidRDefault="0058588E" w:rsidP="003B5052">
      <w:pPr>
        <w:keepNext/>
        <w:keepLines/>
        <w:pBdr>
          <w:top w:val="nil"/>
          <w:left w:val="nil"/>
          <w:bottom w:val="nil"/>
          <w:right w:val="nil"/>
          <w:between w:val="nil"/>
        </w:pBdr>
        <w:spacing w:before="480" w:after="0" w:line="360" w:lineRule="auto"/>
        <w:jc w:val="both"/>
        <w:rPr>
          <w:rFonts w:ascii="Times New Roman" w:eastAsia="Times New Roman" w:hAnsi="Times New Roman" w:cs="Times New Roman"/>
          <w:b/>
          <w:bCs/>
          <w:color w:val="000000"/>
        </w:rPr>
      </w:pPr>
      <w:r w:rsidRPr="003B5052">
        <w:rPr>
          <w:rFonts w:ascii="Times New Roman" w:eastAsia="Times New Roman" w:hAnsi="Times New Roman" w:cs="Times New Roman"/>
          <w:b/>
          <w:bCs/>
          <w:color w:val="000000"/>
        </w:rPr>
        <w:lastRenderedPageBreak/>
        <w:t>Table of Contents</w:t>
      </w:r>
    </w:p>
    <w:sdt>
      <w:sdtPr>
        <w:rPr>
          <w:rFonts w:ascii="Times New Roman" w:hAnsi="Times New Roman" w:cs="Times New Roman"/>
        </w:rPr>
        <w:id w:val="-820168103"/>
        <w:docPartObj>
          <w:docPartGallery w:val="Table of Contents"/>
          <w:docPartUnique/>
        </w:docPartObj>
      </w:sdtPr>
      <w:sdtContent>
        <w:p w14:paraId="6E42E401" w14:textId="77777777" w:rsidR="00542C3D" w:rsidRPr="003B5052" w:rsidRDefault="0058588E" w:rsidP="003B5052">
          <w:pPr>
            <w:pBdr>
              <w:top w:val="nil"/>
              <w:left w:val="nil"/>
              <w:bottom w:val="nil"/>
              <w:right w:val="nil"/>
              <w:between w:val="nil"/>
            </w:pBdr>
            <w:tabs>
              <w:tab w:val="right" w:leader="dot" w:pos="9016"/>
            </w:tabs>
            <w:spacing w:before="120" w:after="0" w:line="360" w:lineRule="auto"/>
            <w:jc w:val="both"/>
            <w:rPr>
              <w:rFonts w:ascii="Times New Roman" w:eastAsia="Times New Roman" w:hAnsi="Times New Roman" w:cs="Times New Roman"/>
              <w:i/>
              <w:iCs/>
              <w:color w:val="000000"/>
            </w:rPr>
          </w:pPr>
          <w:r w:rsidRPr="003B5052">
            <w:rPr>
              <w:rFonts w:ascii="Times New Roman" w:hAnsi="Times New Roman" w:cs="Times New Roman"/>
            </w:rPr>
            <w:fldChar w:fldCharType="begin"/>
          </w:r>
          <w:r w:rsidRPr="003B5052">
            <w:rPr>
              <w:rFonts w:ascii="Times New Roman" w:hAnsi="Times New Roman" w:cs="Times New Roman"/>
            </w:rPr>
            <w:instrText xml:space="preserve"> TOC \h \u \z \t "Heading 1,1,Heading 2,2,Heading 3,3,"</w:instrText>
          </w:r>
          <w:r w:rsidRPr="003B5052">
            <w:rPr>
              <w:rFonts w:ascii="Times New Roman" w:hAnsi="Times New Roman" w:cs="Times New Roman"/>
            </w:rPr>
            <w:fldChar w:fldCharType="separate"/>
          </w:r>
          <w:hyperlink w:anchor="_3tq75kdc647x">
            <w:r w:rsidRPr="003B5052">
              <w:rPr>
                <w:rFonts w:ascii="Times New Roman" w:eastAsia="Times New Roman" w:hAnsi="Times New Roman" w:cs="Times New Roman"/>
                <w:i/>
                <w:iCs/>
                <w:color w:val="000000"/>
              </w:rPr>
              <w:t>Executive Summary</w:t>
            </w:r>
            <w:r w:rsidRPr="003B5052">
              <w:rPr>
                <w:rFonts w:ascii="Times New Roman" w:eastAsia="Times New Roman" w:hAnsi="Times New Roman" w:cs="Times New Roman"/>
                <w:i/>
                <w:iCs/>
                <w:color w:val="000000"/>
              </w:rPr>
              <w:tab/>
              <w:t>2</w:t>
            </w:r>
          </w:hyperlink>
        </w:p>
        <w:p w14:paraId="1731F82C" w14:textId="77777777" w:rsidR="00542C3D" w:rsidRPr="003B5052" w:rsidRDefault="0058588E" w:rsidP="003B5052">
          <w:pPr>
            <w:pBdr>
              <w:top w:val="nil"/>
              <w:left w:val="nil"/>
              <w:bottom w:val="nil"/>
              <w:right w:val="nil"/>
              <w:between w:val="nil"/>
            </w:pBdr>
            <w:tabs>
              <w:tab w:val="right" w:leader="dot" w:pos="9016"/>
            </w:tabs>
            <w:spacing w:before="120" w:after="0" w:line="360" w:lineRule="auto"/>
            <w:jc w:val="both"/>
            <w:rPr>
              <w:rFonts w:ascii="Times New Roman" w:eastAsia="Times New Roman" w:hAnsi="Times New Roman" w:cs="Times New Roman"/>
              <w:i/>
              <w:iCs/>
              <w:color w:val="000000"/>
            </w:rPr>
          </w:pPr>
          <w:hyperlink w:anchor="_taecf56ua3uf">
            <w:r w:rsidRPr="003B5052">
              <w:rPr>
                <w:rFonts w:ascii="Times New Roman" w:eastAsia="Times New Roman" w:hAnsi="Times New Roman" w:cs="Times New Roman"/>
                <w:i/>
                <w:iCs/>
                <w:color w:val="000000"/>
              </w:rPr>
              <w:t>1. Introduction</w:t>
            </w:r>
            <w:r w:rsidRPr="003B5052">
              <w:rPr>
                <w:rFonts w:ascii="Times New Roman" w:eastAsia="Times New Roman" w:hAnsi="Times New Roman" w:cs="Times New Roman"/>
                <w:i/>
                <w:iCs/>
                <w:color w:val="000000"/>
              </w:rPr>
              <w:tab/>
              <w:t>4</w:t>
            </w:r>
          </w:hyperlink>
        </w:p>
        <w:p w14:paraId="730A628F" w14:textId="77777777" w:rsidR="00542C3D" w:rsidRPr="003B5052" w:rsidRDefault="0058588E" w:rsidP="003B5052">
          <w:pPr>
            <w:pBdr>
              <w:top w:val="nil"/>
              <w:left w:val="nil"/>
              <w:bottom w:val="nil"/>
              <w:right w:val="nil"/>
              <w:between w:val="nil"/>
            </w:pBdr>
            <w:tabs>
              <w:tab w:val="right" w:leader="dot" w:pos="9016"/>
            </w:tabs>
            <w:spacing w:before="120" w:after="0" w:line="360" w:lineRule="auto"/>
            <w:jc w:val="both"/>
            <w:rPr>
              <w:rFonts w:ascii="Times New Roman" w:eastAsia="Times New Roman" w:hAnsi="Times New Roman" w:cs="Times New Roman"/>
              <w:i/>
              <w:iCs/>
              <w:color w:val="000000"/>
            </w:rPr>
          </w:pPr>
          <w:hyperlink w:anchor="_w8ax60pklw6">
            <w:r w:rsidRPr="003B5052">
              <w:rPr>
                <w:rFonts w:ascii="Times New Roman" w:eastAsia="Times New Roman" w:hAnsi="Times New Roman" w:cs="Times New Roman"/>
                <w:i/>
                <w:iCs/>
                <w:color w:val="000000"/>
              </w:rPr>
              <w:t>2. Corporate Governance</w:t>
            </w:r>
            <w:r w:rsidRPr="003B5052">
              <w:rPr>
                <w:rFonts w:ascii="Times New Roman" w:eastAsia="Times New Roman" w:hAnsi="Times New Roman" w:cs="Times New Roman"/>
                <w:i/>
                <w:iCs/>
                <w:color w:val="000000"/>
              </w:rPr>
              <w:tab/>
              <w:t>4</w:t>
            </w:r>
          </w:hyperlink>
        </w:p>
        <w:p w14:paraId="7073F917" w14:textId="77777777" w:rsidR="00542C3D" w:rsidRPr="003B5052" w:rsidRDefault="0058588E" w:rsidP="003B5052">
          <w:pPr>
            <w:pBdr>
              <w:top w:val="nil"/>
              <w:left w:val="nil"/>
              <w:bottom w:val="nil"/>
              <w:right w:val="nil"/>
              <w:between w:val="nil"/>
            </w:pBdr>
            <w:tabs>
              <w:tab w:val="right" w:leader="dot" w:pos="9016"/>
            </w:tabs>
            <w:spacing w:before="120" w:after="0" w:line="360" w:lineRule="auto"/>
            <w:jc w:val="both"/>
            <w:rPr>
              <w:rFonts w:ascii="Times New Roman" w:eastAsia="Times New Roman" w:hAnsi="Times New Roman" w:cs="Times New Roman"/>
              <w:i/>
              <w:iCs/>
              <w:color w:val="000000"/>
            </w:rPr>
          </w:pPr>
          <w:hyperlink w:anchor="_iay04gjm5bh6">
            <w:r w:rsidRPr="003B5052">
              <w:rPr>
                <w:rFonts w:ascii="Times New Roman" w:eastAsia="Times New Roman" w:hAnsi="Times New Roman" w:cs="Times New Roman"/>
                <w:i/>
                <w:iCs/>
                <w:color w:val="000000"/>
              </w:rPr>
              <w:t>3. Financial Statement Analysis</w:t>
            </w:r>
            <w:r w:rsidRPr="003B5052">
              <w:rPr>
                <w:rFonts w:ascii="Times New Roman" w:eastAsia="Times New Roman" w:hAnsi="Times New Roman" w:cs="Times New Roman"/>
                <w:i/>
                <w:iCs/>
                <w:color w:val="000000"/>
              </w:rPr>
              <w:tab/>
              <w:t>5</w:t>
            </w:r>
          </w:hyperlink>
        </w:p>
        <w:p w14:paraId="2C27CBFC" w14:textId="77777777" w:rsidR="00542C3D" w:rsidRPr="003B5052" w:rsidRDefault="0058588E" w:rsidP="003B5052">
          <w:pPr>
            <w:pBdr>
              <w:top w:val="nil"/>
              <w:left w:val="nil"/>
              <w:bottom w:val="nil"/>
              <w:right w:val="nil"/>
              <w:between w:val="nil"/>
            </w:pBdr>
            <w:tabs>
              <w:tab w:val="right" w:leader="dot" w:pos="9016"/>
            </w:tabs>
            <w:spacing w:before="120" w:after="0" w:line="360" w:lineRule="auto"/>
            <w:jc w:val="both"/>
            <w:rPr>
              <w:rFonts w:ascii="Times New Roman" w:eastAsia="Times New Roman" w:hAnsi="Times New Roman" w:cs="Times New Roman"/>
              <w:i/>
              <w:iCs/>
              <w:color w:val="000000"/>
            </w:rPr>
          </w:pPr>
          <w:hyperlink w:anchor="_s4cbdqlipf78">
            <w:r w:rsidRPr="003B5052">
              <w:rPr>
                <w:rFonts w:ascii="Times New Roman" w:eastAsia="Times New Roman" w:hAnsi="Times New Roman" w:cs="Times New Roman"/>
                <w:i/>
                <w:iCs/>
                <w:color w:val="000000"/>
              </w:rPr>
              <w:t>4. Financial Performance Analysis</w:t>
            </w:r>
            <w:r w:rsidRPr="003B5052">
              <w:rPr>
                <w:rFonts w:ascii="Times New Roman" w:eastAsia="Times New Roman" w:hAnsi="Times New Roman" w:cs="Times New Roman"/>
                <w:i/>
                <w:iCs/>
                <w:color w:val="000000"/>
              </w:rPr>
              <w:tab/>
              <w:t>8</w:t>
            </w:r>
          </w:hyperlink>
        </w:p>
        <w:p w14:paraId="0DC95A4B" w14:textId="77777777" w:rsidR="00542C3D" w:rsidRPr="003B5052" w:rsidRDefault="0058588E" w:rsidP="003B5052">
          <w:pPr>
            <w:pBdr>
              <w:top w:val="nil"/>
              <w:left w:val="nil"/>
              <w:bottom w:val="nil"/>
              <w:right w:val="nil"/>
              <w:between w:val="nil"/>
            </w:pBdr>
            <w:tabs>
              <w:tab w:val="right" w:leader="dot" w:pos="9016"/>
            </w:tabs>
            <w:spacing w:before="120" w:after="0" w:line="360" w:lineRule="auto"/>
            <w:jc w:val="both"/>
            <w:rPr>
              <w:rFonts w:ascii="Times New Roman" w:eastAsia="Times New Roman" w:hAnsi="Times New Roman" w:cs="Times New Roman"/>
              <w:i/>
              <w:iCs/>
              <w:color w:val="000000"/>
            </w:rPr>
          </w:pPr>
          <w:hyperlink w:anchor="_26xuv4cl3ac9">
            <w:r w:rsidRPr="003B5052">
              <w:rPr>
                <w:rFonts w:ascii="Times New Roman" w:eastAsia="Times New Roman" w:hAnsi="Times New Roman" w:cs="Times New Roman"/>
                <w:i/>
                <w:iCs/>
                <w:color w:val="000000"/>
              </w:rPr>
              <w:t>5. Capital Structure Management</w:t>
            </w:r>
            <w:r w:rsidRPr="003B5052">
              <w:rPr>
                <w:rFonts w:ascii="Times New Roman" w:eastAsia="Times New Roman" w:hAnsi="Times New Roman" w:cs="Times New Roman"/>
                <w:i/>
                <w:iCs/>
                <w:color w:val="000000"/>
              </w:rPr>
              <w:tab/>
              <w:t>11</w:t>
            </w:r>
          </w:hyperlink>
        </w:p>
        <w:p w14:paraId="00999743" w14:textId="77777777" w:rsidR="00542C3D" w:rsidRPr="003B5052" w:rsidRDefault="0058588E" w:rsidP="003B5052">
          <w:pPr>
            <w:pBdr>
              <w:top w:val="nil"/>
              <w:left w:val="nil"/>
              <w:bottom w:val="nil"/>
              <w:right w:val="nil"/>
              <w:between w:val="nil"/>
            </w:pBdr>
            <w:tabs>
              <w:tab w:val="right" w:leader="dot" w:pos="9016"/>
            </w:tabs>
            <w:spacing w:before="120" w:after="0" w:line="360" w:lineRule="auto"/>
            <w:jc w:val="both"/>
            <w:rPr>
              <w:rFonts w:ascii="Times New Roman" w:eastAsia="Times New Roman" w:hAnsi="Times New Roman" w:cs="Times New Roman"/>
              <w:i/>
              <w:iCs/>
              <w:color w:val="000000"/>
            </w:rPr>
          </w:pPr>
          <w:hyperlink w:anchor="_c5y1hv7uh8p0">
            <w:r w:rsidRPr="003B5052">
              <w:rPr>
                <w:rFonts w:ascii="Times New Roman" w:eastAsia="Times New Roman" w:hAnsi="Times New Roman" w:cs="Times New Roman"/>
                <w:i/>
                <w:iCs/>
                <w:color w:val="000000"/>
              </w:rPr>
              <w:t>6. Working Capital Management</w:t>
            </w:r>
            <w:r w:rsidRPr="003B5052">
              <w:rPr>
                <w:rFonts w:ascii="Times New Roman" w:eastAsia="Times New Roman" w:hAnsi="Times New Roman" w:cs="Times New Roman"/>
                <w:i/>
                <w:iCs/>
                <w:color w:val="000000"/>
              </w:rPr>
              <w:tab/>
              <w:t>12</w:t>
            </w:r>
          </w:hyperlink>
        </w:p>
        <w:p w14:paraId="1F4C98AB" w14:textId="77777777" w:rsidR="00542C3D" w:rsidRPr="003B5052" w:rsidRDefault="0058588E" w:rsidP="003B5052">
          <w:pPr>
            <w:pBdr>
              <w:top w:val="nil"/>
              <w:left w:val="nil"/>
              <w:bottom w:val="nil"/>
              <w:right w:val="nil"/>
              <w:between w:val="nil"/>
            </w:pBdr>
            <w:tabs>
              <w:tab w:val="right" w:leader="dot" w:pos="9016"/>
            </w:tabs>
            <w:spacing w:before="120" w:after="0" w:line="360" w:lineRule="auto"/>
            <w:jc w:val="both"/>
            <w:rPr>
              <w:rFonts w:ascii="Times New Roman" w:eastAsia="Times New Roman" w:hAnsi="Times New Roman" w:cs="Times New Roman"/>
              <w:i/>
              <w:iCs/>
              <w:color w:val="000000"/>
            </w:rPr>
          </w:pPr>
          <w:hyperlink w:anchor="_hignso56j6dj">
            <w:r w:rsidRPr="003B5052">
              <w:rPr>
                <w:rFonts w:ascii="Times New Roman" w:eastAsia="Times New Roman" w:hAnsi="Times New Roman" w:cs="Times New Roman"/>
                <w:i/>
                <w:iCs/>
                <w:color w:val="000000"/>
              </w:rPr>
              <w:t>7. Conclusion and Recommendations</w:t>
            </w:r>
            <w:r w:rsidRPr="003B5052">
              <w:rPr>
                <w:rFonts w:ascii="Times New Roman" w:eastAsia="Times New Roman" w:hAnsi="Times New Roman" w:cs="Times New Roman"/>
                <w:i/>
                <w:iCs/>
                <w:color w:val="000000"/>
              </w:rPr>
              <w:tab/>
              <w:t>12</w:t>
            </w:r>
          </w:hyperlink>
        </w:p>
        <w:p w14:paraId="58899BDB" w14:textId="77777777" w:rsidR="00542C3D" w:rsidRPr="003B5052" w:rsidRDefault="0058588E" w:rsidP="003B5052">
          <w:pPr>
            <w:pBdr>
              <w:top w:val="nil"/>
              <w:left w:val="nil"/>
              <w:bottom w:val="nil"/>
              <w:right w:val="nil"/>
              <w:between w:val="nil"/>
            </w:pBdr>
            <w:tabs>
              <w:tab w:val="right" w:leader="dot" w:pos="9016"/>
            </w:tabs>
            <w:spacing w:before="120" w:after="0" w:line="360" w:lineRule="auto"/>
            <w:jc w:val="both"/>
            <w:rPr>
              <w:rFonts w:ascii="Times New Roman" w:eastAsia="Times New Roman" w:hAnsi="Times New Roman" w:cs="Times New Roman"/>
              <w:i/>
              <w:iCs/>
              <w:color w:val="000000"/>
            </w:rPr>
          </w:pPr>
          <w:hyperlink w:anchor="_uj8b23bq4u6s">
            <w:r w:rsidRPr="003B5052">
              <w:rPr>
                <w:rFonts w:ascii="Times New Roman" w:eastAsia="Times New Roman" w:hAnsi="Times New Roman" w:cs="Times New Roman"/>
                <w:i/>
                <w:iCs/>
                <w:color w:val="000000"/>
              </w:rPr>
              <w:t>References</w:t>
            </w:r>
            <w:r w:rsidRPr="003B5052">
              <w:rPr>
                <w:rFonts w:ascii="Times New Roman" w:eastAsia="Times New Roman" w:hAnsi="Times New Roman" w:cs="Times New Roman"/>
                <w:i/>
                <w:iCs/>
                <w:color w:val="000000"/>
              </w:rPr>
              <w:tab/>
              <w:t>14</w:t>
            </w:r>
          </w:hyperlink>
        </w:p>
        <w:p w14:paraId="05731B77" w14:textId="36DE4213" w:rsidR="00542C3D" w:rsidRPr="003B5052" w:rsidRDefault="0058588E" w:rsidP="003B5052">
          <w:pPr>
            <w:spacing w:line="360" w:lineRule="auto"/>
            <w:jc w:val="both"/>
            <w:rPr>
              <w:rFonts w:ascii="Times New Roman" w:eastAsia="Times New Roman" w:hAnsi="Times New Roman" w:cs="Times New Roman"/>
            </w:rPr>
          </w:pPr>
          <w:r w:rsidRPr="003B5052">
            <w:rPr>
              <w:rFonts w:ascii="Times New Roman" w:hAnsi="Times New Roman" w:cs="Times New Roman"/>
            </w:rPr>
            <w:fldChar w:fldCharType="end"/>
          </w:r>
        </w:p>
      </w:sdtContent>
    </w:sdt>
    <w:p w14:paraId="2CAA5087" w14:textId="77777777" w:rsidR="0058588E" w:rsidRDefault="0058588E" w:rsidP="003B5052">
      <w:pPr>
        <w:spacing w:line="360" w:lineRule="auto"/>
        <w:jc w:val="both"/>
        <w:rPr>
          <w:rFonts w:ascii="Times New Roman" w:hAnsi="Times New Roman" w:cs="Times New Roman"/>
        </w:rPr>
      </w:pPr>
    </w:p>
    <w:p w14:paraId="47E47496" w14:textId="12276014" w:rsidR="0058588E" w:rsidRDefault="0058588E">
      <w:pPr>
        <w:pStyle w:val="TableofFigures"/>
        <w:tabs>
          <w:tab w:val="right" w:leader="dot" w:pos="9016"/>
        </w:tabs>
        <w:rPr>
          <w:noProof/>
        </w:rPr>
      </w:pPr>
      <w:r w:rsidRPr="00A30192">
        <w:rPr>
          <w:rFonts w:ascii="Times New Roman" w:hAnsi="Times New Roman" w:cs="Times New Roman"/>
          <w:b/>
        </w:rPr>
        <w:t>List of Figures</w:t>
      </w:r>
      <w:r>
        <w:rPr>
          <w:rFonts w:ascii="Times New Roman" w:hAnsi="Times New Roman" w:cs="Times New Roman"/>
        </w:rPr>
        <w:br/>
      </w: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38053546" w:history="1">
        <w:r w:rsidRPr="00323C84">
          <w:rPr>
            <w:rStyle w:val="Hyperlink"/>
            <w:noProof/>
          </w:rPr>
          <w:t>Figure 1</w:t>
        </w:r>
        <w:r w:rsidRPr="00323C84">
          <w:rPr>
            <w:rStyle w:val="Hyperlink"/>
            <w:rFonts w:ascii="Times New Roman" w:eastAsia="Times New Roman" w:hAnsi="Times New Roman" w:cs="Times New Roman"/>
            <w:noProof/>
          </w:rPr>
          <w:t>: Income statement</w:t>
        </w:r>
        <w:r>
          <w:rPr>
            <w:noProof/>
            <w:webHidden/>
          </w:rPr>
          <w:tab/>
        </w:r>
        <w:r>
          <w:rPr>
            <w:noProof/>
            <w:webHidden/>
          </w:rPr>
          <w:fldChar w:fldCharType="begin"/>
        </w:r>
        <w:r>
          <w:rPr>
            <w:noProof/>
            <w:webHidden/>
          </w:rPr>
          <w:instrText xml:space="preserve"> PAGEREF _Toc238053546 \h </w:instrText>
        </w:r>
        <w:r>
          <w:rPr>
            <w:noProof/>
            <w:webHidden/>
          </w:rPr>
        </w:r>
        <w:r>
          <w:rPr>
            <w:noProof/>
            <w:webHidden/>
          </w:rPr>
          <w:fldChar w:fldCharType="separate"/>
        </w:r>
        <w:r>
          <w:rPr>
            <w:noProof/>
            <w:webHidden/>
          </w:rPr>
          <w:t>5</w:t>
        </w:r>
        <w:r>
          <w:rPr>
            <w:noProof/>
            <w:webHidden/>
          </w:rPr>
          <w:fldChar w:fldCharType="end"/>
        </w:r>
      </w:hyperlink>
    </w:p>
    <w:p w14:paraId="22597A95" w14:textId="44782DD5" w:rsidR="0058588E" w:rsidRDefault="0058588E">
      <w:pPr>
        <w:pStyle w:val="TableofFigures"/>
        <w:tabs>
          <w:tab w:val="right" w:leader="dot" w:pos="9016"/>
        </w:tabs>
        <w:rPr>
          <w:noProof/>
        </w:rPr>
      </w:pPr>
      <w:hyperlink w:anchor="_Toc238053547" w:history="1">
        <w:r w:rsidRPr="00323C84">
          <w:rPr>
            <w:rStyle w:val="Hyperlink"/>
            <w:noProof/>
          </w:rPr>
          <w:t>Figure 2:</w:t>
        </w:r>
        <w:r w:rsidRPr="00323C84">
          <w:rPr>
            <w:rStyle w:val="Hyperlink"/>
            <w:rFonts w:ascii="Times New Roman" w:eastAsia="Times New Roman" w:hAnsi="Times New Roman" w:cs="Times New Roman"/>
            <w:noProof/>
          </w:rPr>
          <w:t xml:space="preserve"> Balance sheet</w:t>
        </w:r>
        <w:r>
          <w:rPr>
            <w:noProof/>
            <w:webHidden/>
          </w:rPr>
          <w:tab/>
        </w:r>
        <w:r>
          <w:rPr>
            <w:noProof/>
            <w:webHidden/>
          </w:rPr>
          <w:fldChar w:fldCharType="begin"/>
        </w:r>
        <w:r>
          <w:rPr>
            <w:noProof/>
            <w:webHidden/>
          </w:rPr>
          <w:instrText xml:space="preserve"> PAGEREF _Toc238053547 \h </w:instrText>
        </w:r>
        <w:r>
          <w:rPr>
            <w:noProof/>
            <w:webHidden/>
          </w:rPr>
        </w:r>
        <w:r>
          <w:rPr>
            <w:noProof/>
            <w:webHidden/>
          </w:rPr>
          <w:fldChar w:fldCharType="separate"/>
        </w:r>
        <w:r>
          <w:rPr>
            <w:noProof/>
            <w:webHidden/>
          </w:rPr>
          <w:t>6</w:t>
        </w:r>
        <w:r>
          <w:rPr>
            <w:noProof/>
            <w:webHidden/>
          </w:rPr>
          <w:fldChar w:fldCharType="end"/>
        </w:r>
      </w:hyperlink>
    </w:p>
    <w:p w14:paraId="5DC062AB" w14:textId="73138A25" w:rsidR="0058588E" w:rsidRDefault="0058588E">
      <w:pPr>
        <w:pStyle w:val="TableofFigures"/>
        <w:tabs>
          <w:tab w:val="right" w:leader="dot" w:pos="9016"/>
        </w:tabs>
        <w:rPr>
          <w:noProof/>
        </w:rPr>
      </w:pPr>
      <w:hyperlink w:anchor="_Toc238053548" w:history="1">
        <w:r w:rsidRPr="00323C84">
          <w:rPr>
            <w:rStyle w:val="Hyperlink"/>
            <w:noProof/>
          </w:rPr>
          <w:t>Figure 3</w:t>
        </w:r>
        <w:r w:rsidRPr="00323C84">
          <w:rPr>
            <w:rStyle w:val="Hyperlink"/>
            <w:rFonts w:ascii="Times New Roman" w:eastAsia="Times New Roman" w:hAnsi="Times New Roman" w:cs="Times New Roman"/>
            <w:noProof/>
          </w:rPr>
          <w:t>: Cash flow statement</w:t>
        </w:r>
        <w:r>
          <w:rPr>
            <w:noProof/>
            <w:webHidden/>
          </w:rPr>
          <w:tab/>
        </w:r>
        <w:r>
          <w:rPr>
            <w:noProof/>
            <w:webHidden/>
          </w:rPr>
          <w:fldChar w:fldCharType="begin"/>
        </w:r>
        <w:r>
          <w:rPr>
            <w:noProof/>
            <w:webHidden/>
          </w:rPr>
          <w:instrText xml:space="preserve"> PAGEREF _Toc238053548 \h </w:instrText>
        </w:r>
        <w:r>
          <w:rPr>
            <w:noProof/>
            <w:webHidden/>
          </w:rPr>
        </w:r>
        <w:r>
          <w:rPr>
            <w:noProof/>
            <w:webHidden/>
          </w:rPr>
          <w:fldChar w:fldCharType="separate"/>
        </w:r>
        <w:r>
          <w:rPr>
            <w:noProof/>
            <w:webHidden/>
          </w:rPr>
          <w:t>7</w:t>
        </w:r>
        <w:r>
          <w:rPr>
            <w:noProof/>
            <w:webHidden/>
          </w:rPr>
          <w:fldChar w:fldCharType="end"/>
        </w:r>
      </w:hyperlink>
    </w:p>
    <w:p w14:paraId="38963155" w14:textId="2111FA48" w:rsidR="0058588E" w:rsidRDefault="0058588E">
      <w:pPr>
        <w:pStyle w:val="TableofFigures"/>
        <w:tabs>
          <w:tab w:val="right" w:leader="dot" w:pos="9016"/>
        </w:tabs>
        <w:rPr>
          <w:noProof/>
        </w:rPr>
      </w:pPr>
      <w:hyperlink w:anchor="_Toc238053549" w:history="1">
        <w:r w:rsidRPr="00323C84">
          <w:rPr>
            <w:rStyle w:val="Hyperlink"/>
            <w:noProof/>
          </w:rPr>
          <w:t>Figure 4</w:t>
        </w:r>
        <w:r w:rsidRPr="00323C84">
          <w:rPr>
            <w:rStyle w:val="Hyperlink"/>
            <w:rFonts w:ascii="Times New Roman" w:eastAsia="Times New Roman" w:hAnsi="Times New Roman" w:cs="Times New Roman"/>
            <w:noProof/>
          </w:rPr>
          <w:t>: Profitability and liquidity analysis</w:t>
        </w:r>
        <w:r>
          <w:rPr>
            <w:noProof/>
            <w:webHidden/>
          </w:rPr>
          <w:tab/>
        </w:r>
        <w:r>
          <w:rPr>
            <w:noProof/>
            <w:webHidden/>
          </w:rPr>
          <w:fldChar w:fldCharType="begin"/>
        </w:r>
        <w:r>
          <w:rPr>
            <w:noProof/>
            <w:webHidden/>
          </w:rPr>
          <w:instrText xml:space="preserve"> PAGEREF _Toc238053549 \h </w:instrText>
        </w:r>
        <w:r>
          <w:rPr>
            <w:noProof/>
            <w:webHidden/>
          </w:rPr>
        </w:r>
        <w:r>
          <w:rPr>
            <w:noProof/>
            <w:webHidden/>
          </w:rPr>
          <w:fldChar w:fldCharType="separate"/>
        </w:r>
        <w:r>
          <w:rPr>
            <w:noProof/>
            <w:webHidden/>
          </w:rPr>
          <w:t>9</w:t>
        </w:r>
        <w:r>
          <w:rPr>
            <w:noProof/>
            <w:webHidden/>
          </w:rPr>
          <w:fldChar w:fldCharType="end"/>
        </w:r>
      </w:hyperlink>
    </w:p>
    <w:p w14:paraId="74EF6357" w14:textId="5886C2BE" w:rsidR="0058588E" w:rsidRDefault="0058588E">
      <w:pPr>
        <w:pStyle w:val="TableofFigures"/>
        <w:tabs>
          <w:tab w:val="right" w:leader="dot" w:pos="9016"/>
        </w:tabs>
        <w:rPr>
          <w:noProof/>
        </w:rPr>
      </w:pPr>
      <w:hyperlink w:anchor="_Toc238053550" w:history="1">
        <w:r w:rsidRPr="00323C84">
          <w:rPr>
            <w:rStyle w:val="Hyperlink"/>
            <w:noProof/>
          </w:rPr>
          <w:t>Figure 5</w:t>
        </w:r>
        <w:r w:rsidRPr="00323C84">
          <w:rPr>
            <w:rStyle w:val="Hyperlink"/>
            <w:rFonts w:ascii="Times New Roman" w:eastAsia="Times New Roman" w:hAnsi="Times New Roman" w:cs="Times New Roman"/>
            <w:noProof/>
          </w:rPr>
          <w:t>: Efficiency and solvency ratio</w:t>
        </w:r>
        <w:r>
          <w:rPr>
            <w:noProof/>
            <w:webHidden/>
          </w:rPr>
          <w:tab/>
        </w:r>
        <w:r>
          <w:rPr>
            <w:noProof/>
            <w:webHidden/>
          </w:rPr>
          <w:fldChar w:fldCharType="begin"/>
        </w:r>
        <w:r>
          <w:rPr>
            <w:noProof/>
            <w:webHidden/>
          </w:rPr>
          <w:instrText xml:space="preserve"> PAGEREF _Toc238053550 \h </w:instrText>
        </w:r>
        <w:r>
          <w:rPr>
            <w:noProof/>
            <w:webHidden/>
          </w:rPr>
        </w:r>
        <w:r>
          <w:rPr>
            <w:noProof/>
            <w:webHidden/>
          </w:rPr>
          <w:fldChar w:fldCharType="separate"/>
        </w:r>
        <w:r>
          <w:rPr>
            <w:noProof/>
            <w:webHidden/>
          </w:rPr>
          <w:t>10</w:t>
        </w:r>
        <w:r>
          <w:rPr>
            <w:noProof/>
            <w:webHidden/>
          </w:rPr>
          <w:fldChar w:fldCharType="end"/>
        </w:r>
      </w:hyperlink>
    </w:p>
    <w:p w14:paraId="1EC2FC2A" w14:textId="6D676DBC" w:rsidR="0058588E" w:rsidRDefault="0058588E">
      <w:pPr>
        <w:pStyle w:val="TableofFigures"/>
        <w:tabs>
          <w:tab w:val="right" w:leader="dot" w:pos="9016"/>
        </w:tabs>
        <w:rPr>
          <w:noProof/>
        </w:rPr>
      </w:pPr>
      <w:hyperlink w:anchor="_Toc238053551" w:history="1">
        <w:r w:rsidRPr="00323C84">
          <w:rPr>
            <w:rStyle w:val="Hyperlink"/>
            <w:noProof/>
          </w:rPr>
          <w:t>Figure 6</w:t>
        </w:r>
        <w:r w:rsidRPr="00323C84">
          <w:rPr>
            <w:rStyle w:val="Hyperlink"/>
            <w:rFonts w:ascii="Times New Roman" w:eastAsia="Times New Roman" w:hAnsi="Times New Roman" w:cs="Times New Roman"/>
            <w:noProof/>
          </w:rPr>
          <w:t>: Investor analysis</w:t>
        </w:r>
        <w:r>
          <w:rPr>
            <w:noProof/>
            <w:webHidden/>
          </w:rPr>
          <w:tab/>
        </w:r>
        <w:r>
          <w:rPr>
            <w:noProof/>
            <w:webHidden/>
          </w:rPr>
          <w:fldChar w:fldCharType="begin"/>
        </w:r>
        <w:r>
          <w:rPr>
            <w:noProof/>
            <w:webHidden/>
          </w:rPr>
          <w:instrText xml:space="preserve"> PAGEREF _Toc238053551 \h </w:instrText>
        </w:r>
        <w:r>
          <w:rPr>
            <w:noProof/>
            <w:webHidden/>
          </w:rPr>
        </w:r>
        <w:r>
          <w:rPr>
            <w:noProof/>
            <w:webHidden/>
          </w:rPr>
          <w:fldChar w:fldCharType="separate"/>
        </w:r>
        <w:r>
          <w:rPr>
            <w:noProof/>
            <w:webHidden/>
          </w:rPr>
          <w:t>10</w:t>
        </w:r>
        <w:r>
          <w:rPr>
            <w:noProof/>
            <w:webHidden/>
          </w:rPr>
          <w:fldChar w:fldCharType="end"/>
        </w:r>
      </w:hyperlink>
    </w:p>
    <w:p w14:paraId="39509EF7" w14:textId="72EA5B18" w:rsidR="0058588E" w:rsidRDefault="0058588E">
      <w:pPr>
        <w:pStyle w:val="TableofFigures"/>
        <w:tabs>
          <w:tab w:val="right" w:leader="dot" w:pos="9016"/>
        </w:tabs>
        <w:rPr>
          <w:noProof/>
        </w:rPr>
      </w:pPr>
      <w:hyperlink w:anchor="_Toc238053552" w:history="1">
        <w:r w:rsidRPr="00323C84">
          <w:rPr>
            <w:rStyle w:val="Hyperlink"/>
            <w:noProof/>
          </w:rPr>
          <w:t>Figure 7</w:t>
        </w:r>
        <w:r w:rsidRPr="00323C84">
          <w:rPr>
            <w:rStyle w:val="Hyperlink"/>
            <w:rFonts w:ascii="Times New Roman" w:eastAsia="Times New Roman" w:hAnsi="Times New Roman" w:cs="Times New Roman"/>
            <w:noProof/>
          </w:rPr>
          <w:t>: Trend analysis</w:t>
        </w:r>
        <w:r>
          <w:rPr>
            <w:noProof/>
            <w:webHidden/>
          </w:rPr>
          <w:tab/>
        </w:r>
        <w:r>
          <w:rPr>
            <w:noProof/>
            <w:webHidden/>
          </w:rPr>
          <w:fldChar w:fldCharType="begin"/>
        </w:r>
        <w:r>
          <w:rPr>
            <w:noProof/>
            <w:webHidden/>
          </w:rPr>
          <w:instrText xml:space="preserve"> PAGEREF _Toc238053552 \h </w:instrText>
        </w:r>
        <w:r>
          <w:rPr>
            <w:noProof/>
            <w:webHidden/>
          </w:rPr>
        </w:r>
        <w:r>
          <w:rPr>
            <w:noProof/>
            <w:webHidden/>
          </w:rPr>
          <w:fldChar w:fldCharType="separate"/>
        </w:r>
        <w:r>
          <w:rPr>
            <w:noProof/>
            <w:webHidden/>
          </w:rPr>
          <w:t>11</w:t>
        </w:r>
        <w:r>
          <w:rPr>
            <w:noProof/>
            <w:webHidden/>
          </w:rPr>
          <w:fldChar w:fldCharType="end"/>
        </w:r>
      </w:hyperlink>
    </w:p>
    <w:p w14:paraId="64EF3D0C" w14:textId="19AE26FA" w:rsidR="0058588E" w:rsidRDefault="0058588E">
      <w:pPr>
        <w:pStyle w:val="TableofFigures"/>
        <w:tabs>
          <w:tab w:val="right" w:leader="dot" w:pos="9016"/>
        </w:tabs>
        <w:rPr>
          <w:noProof/>
        </w:rPr>
      </w:pPr>
      <w:hyperlink w:anchor="_Toc238053553" w:history="1">
        <w:r w:rsidRPr="00323C84">
          <w:rPr>
            <w:rStyle w:val="Hyperlink"/>
            <w:noProof/>
          </w:rPr>
          <w:t>Figure 8</w:t>
        </w:r>
        <w:r w:rsidRPr="00323C84">
          <w:rPr>
            <w:rStyle w:val="Hyperlink"/>
            <w:rFonts w:ascii="Times New Roman" w:eastAsia="Times New Roman" w:hAnsi="Times New Roman" w:cs="Times New Roman"/>
            <w:noProof/>
          </w:rPr>
          <w:t xml:space="preserve"> Benchmarking</w:t>
        </w:r>
        <w:r>
          <w:rPr>
            <w:noProof/>
            <w:webHidden/>
          </w:rPr>
          <w:tab/>
        </w:r>
        <w:r>
          <w:rPr>
            <w:noProof/>
            <w:webHidden/>
          </w:rPr>
          <w:fldChar w:fldCharType="begin"/>
        </w:r>
        <w:r>
          <w:rPr>
            <w:noProof/>
            <w:webHidden/>
          </w:rPr>
          <w:instrText xml:space="preserve"> PAGEREF _Toc238053553 \h </w:instrText>
        </w:r>
        <w:r>
          <w:rPr>
            <w:noProof/>
            <w:webHidden/>
          </w:rPr>
        </w:r>
        <w:r>
          <w:rPr>
            <w:noProof/>
            <w:webHidden/>
          </w:rPr>
          <w:fldChar w:fldCharType="separate"/>
        </w:r>
        <w:r>
          <w:rPr>
            <w:noProof/>
            <w:webHidden/>
          </w:rPr>
          <w:t>12</w:t>
        </w:r>
        <w:r>
          <w:rPr>
            <w:noProof/>
            <w:webHidden/>
          </w:rPr>
          <w:fldChar w:fldCharType="end"/>
        </w:r>
      </w:hyperlink>
    </w:p>
    <w:p w14:paraId="4905F4F6" w14:textId="3E96DA8B" w:rsidR="0058588E" w:rsidRDefault="0058588E">
      <w:pPr>
        <w:pStyle w:val="TableofFigures"/>
        <w:tabs>
          <w:tab w:val="right" w:leader="dot" w:pos="9016"/>
        </w:tabs>
        <w:rPr>
          <w:noProof/>
        </w:rPr>
      </w:pPr>
      <w:hyperlink w:anchor="_Toc238053554" w:history="1">
        <w:r w:rsidRPr="00323C84">
          <w:rPr>
            <w:rStyle w:val="Hyperlink"/>
            <w:noProof/>
          </w:rPr>
          <w:t>Figure 9</w:t>
        </w:r>
        <w:r w:rsidRPr="00323C84">
          <w:rPr>
            <w:rStyle w:val="Hyperlink"/>
            <w:rFonts w:ascii="Times New Roman" w:eastAsia="Times New Roman" w:hAnsi="Times New Roman" w:cs="Times New Roman"/>
            <w:noProof/>
          </w:rPr>
          <w:t>: Capital structure management and WCM</w:t>
        </w:r>
        <w:r>
          <w:rPr>
            <w:noProof/>
            <w:webHidden/>
          </w:rPr>
          <w:tab/>
        </w:r>
        <w:r>
          <w:rPr>
            <w:noProof/>
            <w:webHidden/>
          </w:rPr>
          <w:fldChar w:fldCharType="begin"/>
        </w:r>
        <w:r>
          <w:rPr>
            <w:noProof/>
            <w:webHidden/>
          </w:rPr>
          <w:instrText xml:space="preserve"> PAGEREF _Toc238053554 \h </w:instrText>
        </w:r>
        <w:r>
          <w:rPr>
            <w:noProof/>
            <w:webHidden/>
          </w:rPr>
        </w:r>
        <w:r>
          <w:rPr>
            <w:noProof/>
            <w:webHidden/>
          </w:rPr>
          <w:fldChar w:fldCharType="separate"/>
        </w:r>
        <w:r>
          <w:rPr>
            <w:noProof/>
            <w:webHidden/>
          </w:rPr>
          <w:t>13</w:t>
        </w:r>
        <w:r>
          <w:rPr>
            <w:noProof/>
            <w:webHidden/>
          </w:rPr>
          <w:fldChar w:fldCharType="end"/>
        </w:r>
      </w:hyperlink>
    </w:p>
    <w:p w14:paraId="2BF167BE" w14:textId="34D86683" w:rsidR="00542C3D" w:rsidRPr="003B5052" w:rsidRDefault="0058588E" w:rsidP="003B5052">
      <w:pPr>
        <w:spacing w:line="360" w:lineRule="auto"/>
        <w:jc w:val="both"/>
        <w:rPr>
          <w:rFonts w:ascii="Times New Roman" w:eastAsia="Times New Roman" w:hAnsi="Times New Roman" w:cs="Times New Roman"/>
          <w:color w:val="0F4761"/>
        </w:rPr>
      </w:pPr>
      <w:r>
        <w:rPr>
          <w:rFonts w:ascii="Times New Roman" w:hAnsi="Times New Roman" w:cs="Times New Roman"/>
        </w:rPr>
        <w:fldChar w:fldCharType="end"/>
      </w:r>
      <w:r w:rsidRPr="003B5052">
        <w:rPr>
          <w:rFonts w:ascii="Times New Roman" w:hAnsi="Times New Roman" w:cs="Times New Roman"/>
        </w:rPr>
        <w:br w:type="page"/>
      </w:r>
    </w:p>
    <w:p w14:paraId="6725B0BF" w14:textId="77777777" w:rsidR="00542C3D" w:rsidRPr="00A30192" w:rsidRDefault="0058588E" w:rsidP="003B5052">
      <w:pPr>
        <w:pStyle w:val="Heading1"/>
        <w:spacing w:line="360" w:lineRule="auto"/>
        <w:jc w:val="both"/>
        <w:rPr>
          <w:rFonts w:ascii="Arial" w:eastAsia="Times New Roman" w:hAnsi="Arial" w:cs="Arial"/>
          <w:b/>
          <w:bCs/>
          <w:color w:val="000000"/>
          <w:sz w:val="24"/>
          <w:szCs w:val="24"/>
        </w:rPr>
      </w:pPr>
      <w:bookmarkStart w:id="1" w:name="_taecf56ua3uf" w:colFirst="0" w:colLast="0"/>
      <w:bookmarkEnd w:id="1"/>
      <w:r w:rsidRPr="00A30192">
        <w:rPr>
          <w:rFonts w:ascii="Arial" w:eastAsia="Times New Roman" w:hAnsi="Arial" w:cs="Arial"/>
          <w:b/>
          <w:bCs/>
          <w:color w:val="000000"/>
          <w:sz w:val="24"/>
          <w:szCs w:val="24"/>
        </w:rPr>
        <w:lastRenderedPageBreak/>
        <w:t>1. Introduction</w:t>
      </w:r>
    </w:p>
    <w:p w14:paraId="62475508" w14:textId="77777777" w:rsidR="003B5052" w:rsidRPr="00A30192" w:rsidRDefault="003B5052" w:rsidP="003B5052">
      <w:pPr>
        <w:spacing w:before="80" w:after="80" w:line="360" w:lineRule="auto"/>
        <w:jc w:val="both"/>
        <w:rPr>
          <w:rFonts w:ascii="Arial" w:hAnsi="Arial" w:cs="Arial"/>
        </w:rPr>
      </w:pPr>
      <w:bookmarkStart w:id="2" w:name="_w8ax60pklw6" w:colFirst="0" w:colLast="0"/>
      <w:bookmarkEnd w:id="2"/>
      <w:r w:rsidRPr="00A30192">
        <w:rPr>
          <w:rFonts w:ascii="Arial" w:hAnsi="Arial" w:cs="Arial"/>
        </w:rPr>
        <w:t>In the United Kingdom, the biggest domestic banking group by the number of retail customers is Lloyds Banking Group plc (incorporated 1995, listed on the London Stock Exchange (ticker: LLOY) and New York Stock Exchange) with around 26 million customers under the brands Lloyds Bank, Halifax, Bank of Scotland and Scottish Widows. The Group has four business streams Retail; Commercial Banking; Insurance, Pensions and Investments; Corporate and Institutional Banking. The total assets were recorded at 31 December 2025 of £944.1 billion and the Group had around 56,000 colleagues working in the UK and overseas (Lloyds Banking Group, 2025).</w:t>
      </w:r>
    </w:p>
    <w:p w14:paraId="45249AAB" w14:textId="0E92E946" w:rsidR="003B5052" w:rsidRPr="00A30192" w:rsidRDefault="003B5052" w:rsidP="00593693">
      <w:pPr>
        <w:spacing w:before="80" w:after="80" w:line="360" w:lineRule="auto"/>
        <w:jc w:val="both"/>
        <w:rPr>
          <w:rFonts w:ascii="Arial" w:hAnsi="Arial" w:cs="Arial"/>
        </w:rPr>
      </w:pPr>
      <w:r w:rsidRPr="00A30192">
        <w:rPr>
          <w:rFonts w:ascii="Arial" w:hAnsi="Arial" w:cs="Arial"/>
        </w:rPr>
        <w:t xml:space="preserve">The current report has been prepared with the request of the line manager in the financial consultancy firm to examine the financial performance of LBG in reference to a potential client interested in investing in the equity of a company. The Annual Report and Accounts 2025 by LBG may not serve much by itself since it is the primary source of data used by the report but has to be supported by a variety of sources and academic sources </w:t>
      </w:r>
      <w:r w:rsidRPr="00A30192">
        <w:rPr>
          <w:rFonts w:ascii="Arial" w:eastAsia="Times New Roman" w:hAnsi="Arial" w:cs="Arial"/>
        </w:rPr>
        <w:t>(Bank of England, 2025)</w:t>
      </w:r>
      <w:r w:rsidRPr="00A30192">
        <w:rPr>
          <w:rFonts w:ascii="Arial" w:hAnsi="Arial" w:cs="Arial"/>
        </w:rPr>
        <w:t>.</w:t>
      </w:r>
    </w:p>
    <w:p w14:paraId="46636587" w14:textId="77777777" w:rsidR="00542C3D" w:rsidRPr="00A30192" w:rsidRDefault="0058588E" w:rsidP="003B5052">
      <w:pPr>
        <w:pStyle w:val="Heading1"/>
        <w:spacing w:line="360" w:lineRule="auto"/>
        <w:jc w:val="both"/>
        <w:rPr>
          <w:rFonts w:ascii="Arial" w:eastAsia="Times New Roman" w:hAnsi="Arial" w:cs="Arial"/>
          <w:b/>
          <w:bCs/>
          <w:color w:val="000000"/>
          <w:sz w:val="24"/>
          <w:szCs w:val="24"/>
        </w:rPr>
      </w:pPr>
      <w:r w:rsidRPr="00A30192">
        <w:rPr>
          <w:rFonts w:ascii="Arial" w:eastAsia="Times New Roman" w:hAnsi="Arial" w:cs="Arial"/>
          <w:b/>
          <w:bCs/>
          <w:color w:val="000000"/>
          <w:sz w:val="24"/>
          <w:szCs w:val="24"/>
        </w:rPr>
        <w:t>2. Corporate Governance</w:t>
      </w:r>
    </w:p>
    <w:p w14:paraId="6E3AC56E" w14:textId="77777777" w:rsidR="00542C3D" w:rsidRPr="00A30192" w:rsidRDefault="0058588E" w:rsidP="003B5052">
      <w:pPr>
        <w:spacing w:line="360" w:lineRule="auto"/>
        <w:jc w:val="both"/>
        <w:rPr>
          <w:rFonts w:ascii="Arial" w:eastAsia="Times New Roman" w:hAnsi="Arial" w:cs="Arial"/>
          <w:b/>
          <w:bCs/>
        </w:rPr>
      </w:pPr>
      <w:r w:rsidRPr="00A30192">
        <w:rPr>
          <w:rFonts w:ascii="Arial" w:eastAsia="Times New Roman" w:hAnsi="Arial" w:cs="Arial"/>
          <w:b/>
          <w:bCs/>
        </w:rPr>
        <w:t>Board Composition</w:t>
      </w:r>
    </w:p>
    <w:p w14:paraId="5FB5018C" w14:textId="77777777" w:rsidR="00542C3D" w:rsidRPr="00A30192" w:rsidRDefault="0058588E" w:rsidP="003B5052">
      <w:pPr>
        <w:spacing w:line="360" w:lineRule="auto"/>
        <w:jc w:val="both"/>
        <w:rPr>
          <w:rFonts w:ascii="Arial" w:eastAsia="Times New Roman" w:hAnsi="Arial" w:cs="Arial"/>
        </w:rPr>
      </w:pPr>
      <w:r w:rsidRPr="00A30192">
        <w:rPr>
          <w:rFonts w:ascii="Arial" w:eastAsia="Times New Roman" w:hAnsi="Arial" w:cs="Arial"/>
        </w:rPr>
        <w:t>The governance of LBG is in full compliance with UK Corporate Governance Code 2018. By 31 December 2025, there were ten directors on the Board; Sir Robin Budenberg, executive director Charlie Nunn (Group CEO) and William Chalmers (CFO), and seven non-executive directors (all independent directors), with Senior Independent Director Cathy Turner (</w:t>
      </w:r>
      <w:proofErr w:type="spellStart"/>
      <w:r w:rsidRPr="00A30192">
        <w:rPr>
          <w:rFonts w:ascii="Arial" w:eastAsia="Times New Roman" w:hAnsi="Arial" w:cs="Arial"/>
        </w:rPr>
        <w:t>Bankofengland</w:t>
      </w:r>
      <w:proofErr w:type="spellEnd"/>
      <w:r w:rsidRPr="00A30192">
        <w:rPr>
          <w:rFonts w:ascii="Arial" w:eastAsia="Times New Roman" w:hAnsi="Arial" w:cs="Arial"/>
        </w:rPr>
        <w:t>, 2025). The Board had 50 female representation and 20 ethnic minority representation which is over the FTSE Women Leaders 40% target. The Group has an Aligned Board Model in place in LBG, Lloyds Bank plc and Bank of Scotland plc, together with three other Ring-Fenced Bank-only non-executive directors that independently oversee retail banking subsidiaries: under UK ring-fencing laws.</w:t>
      </w:r>
    </w:p>
    <w:p w14:paraId="3E0949FA" w14:textId="77777777" w:rsidR="00542C3D" w:rsidRPr="00A30192" w:rsidRDefault="0058588E" w:rsidP="003B5052">
      <w:pPr>
        <w:spacing w:line="360" w:lineRule="auto"/>
        <w:jc w:val="both"/>
        <w:rPr>
          <w:rFonts w:ascii="Arial" w:eastAsia="Times New Roman" w:hAnsi="Arial" w:cs="Arial"/>
          <w:b/>
          <w:bCs/>
        </w:rPr>
      </w:pPr>
      <w:r w:rsidRPr="00A30192">
        <w:rPr>
          <w:rFonts w:ascii="Arial" w:eastAsia="Times New Roman" w:hAnsi="Arial" w:cs="Arial"/>
          <w:b/>
          <w:bCs/>
        </w:rPr>
        <w:t>Impact of committees and Governance</w:t>
      </w:r>
    </w:p>
    <w:p w14:paraId="0567C7CD" w14:textId="05FCD9C7" w:rsidR="00542C3D" w:rsidRPr="00A30192" w:rsidRDefault="0058588E" w:rsidP="003B5052">
      <w:pPr>
        <w:spacing w:line="360" w:lineRule="auto"/>
        <w:jc w:val="both"/>
        <w:rPr>
          <w:rFonts w:ascii="Arial" w:eastAsia="Times New Roman" w:hAnsi="Arial" w:cs="Arial"/>
        </w:rPr>
      </w:pPr>
      <w:r w:rsidRPr="00A30192">
        <w:rPr>
          <w:rFonts w:ascii="Arial" w:eastAsia="Times New Roman" w:hAnsi="Arial" w:cs="Arial"/>
        </w:rPr>
        <w:lastRenderedPageBreak/>
        <w:t xml:space="preserve">They maintain five Board committees with a well-organized supervision: the Audit Committee is interested in the integrity of financial reporting, the Board Risk Committee is interested in the risk appetite and the internal controls, the Nomination and Governance Committee is interested in the Board composition and succession, the Remuneration Committee is related to the appropriateness of executive compensation on the basis of the </w:t>
      </w:r>
      <w:proofErr w:type="spellStart"/>
      <w:r w:rsidRPr="00A30192">
        <w:rPr>
          <w:rFonts w:ascii="Arial" w:eastAsia="Times New Roman" w:hAnsi="Arial" w:cs="Arial"/>
        </w:rPr>
        <w:t>RoTE</w:t>
      </w:r>
      <w:proofErr w:type="spellEnd"/>
      <w:r w:rsidRPr="00A30192">
        <w:rPr>
          <w:rFonts w:ascii="Arial" w:eastAsia="Times New Roman" w:hAnsi="Arial" w:cs="Arial"/>
        </w:rPr>
        <w:t xml:space="preserve">, generation of the CET1 and outcomes related to customers, the Responsible Business Committee is concerned with the sustainability and adherence to the Consumer Duty (BIS, 2022). This framework directly enabled it to manage financial performance - active credit model has assisted the management achieve an aspect quality ratio of 0.17% in the year 2025, which is among the lowest in the industry; and executive compensation alignment with long-term measure has contributed to the achievement by the management of its 87.9% total shareholder return in 2025. </w:t>
      </w:r>
    </w:p>
    <w:p w14:paraId="7968BDFD" w14:textId="77777777" w:rsidR="00542C3D" w:rsidRPr="00A30192" w:rsidRDefault="0058588E" w:rsidP="003B5052">
      <w:pPr>
        <w:pStyle w:val="Heading1"/>
        <w:spacing w:line="360" w:lineRule="auto"/>
        <w:jc w:val="both"/>
        <w:rPr>
          <w:rFonts w:ascii="Arial" w:eastAsia="Times New Roman" w:hAnsi="Arial" w:cs="Arial"/>
          <w:b/>
          <w:bCs/>
          <w:color w:val="000000"/>
          <w:sz w:val="24"/>
          <w:szCs w:val="24"/>
        </w:rPr>
      </w:pPr>
      <w:bookmarkStart w:id="3" w:name="_iay04gjm5bh6" w:colFirst="0" w:colLast="0"/>
      <w:bookmarkEnd w:id="3"/>
      <w:r w:rsidRPr="00A30192">
        <w:rPr>
          <w:rFonts w:ascii="Arial" w:eastAsia="Times New Roman" w:hAnsi="Arial" w:cs="Arial"/>
          <w:b/>
          <w:bCs/>
          <w:color w:val="000000"/>
          <w:sz w:val="24"/>
          <w:szCs w:val="24"/>
        </w:rPr>
        <w:t>3. Financial Statement Analysis</w:t>
      </w:r>
    </w:p>
    <w:p w14:paraId="424D8DCB" w14:textId="77777777" w:rsidR="00542C3D" w:rsidRPr="00A30192" w:rsidRDefault="0058588E" w:rsidP="003B5052">
      <w:pPr>
        <w:spacing w:line="360" w:lineRule="auto"/>
        <w:jc w:val="both"/>
        <w:rPr>
          <w:rFonts w:ascii="Arial" w:eastAsia="Times New Roman" w:hAnsi="Arial" w:cs="Arial"/>
          <w:b/>
          <w:bCs/>
        </w:rPr>
      </w:pPr>
      <w:r w:rsidRPr="00A30192">
        <w:rPr>
          <w:rFonts w:ascii="Arial" w:eastAsia="Times New Roman" w:hAnsi="Arial" w:cs="Arial"/>
          <w:b/>
          <w:bCs/>
        </w:rPr>
        <w:t>Income Statement</w:t>
      </w:r>
    </w:p>
    <w:p w14:paraId="34457A64" w14:textId="77777777" w:rsidR="00542C3D" w:rsidRPr="00A30192" w:rsidRDefault="0058588E" w:rsidP="0058588E">
      <w:pPr>
        <w:spacing w:line="360" w:lineRule="auto"/>
        <w:jc w:val="center"/>
        <w:rPr>
          <w:rFonts w:ascii="Arial" w:eastAsia="Times New Roman" w:hAnsi="Arial" w:cs="Arial"/>
        </w:rPr>
      </w:pPr>
      <w:r w:rsidRPr="00A30192">
        <w:rPr>
          <w:rFonts w:ascii="Arial" w:eastAsia="Times New Roman" w:hAnsi="Arial" w:cs="Arial"/>
          <w:noProof/>
        </w:rPr>
        <w:drawing>
          <wp:inline distT="0" distB="0" distL="0" distR="0" wp14:anchorId="16DB5531" wp14:editId="77600034">
            <wp:extent cx="5731510" cy="370903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31510" cy="3709035"/>
                    </a:xfrm>
                    <a:prstGeom prst="rect">
                      <a:avLst/>
                    </a:prstGeom>
                    <a:ln/>
                  </pic:spPr>
                </pic:pic>
              </a:graphicData>
            </a:graphic>
          </wp:inline>
        </w:drawing>
      </w:r>
    </w:p>
    <w:p w14:paraId="40985AC9" w14:textId="73E3BE57" w:rsidR="0058588E" w:rsidRPr="00A30192" w:rsidRDefault="0058588E" w:rsidP="0058588E">
      <w:pPr>
        <w:pStyle w:val="Caption"/>
        <w:jc w:val="center"/>
        <w:rPr>
          <w:rFonts w:ascii="Arial" w:hAnsi="Arial" w:cs="Arial"/>
        </w:rPr>
      </w:pPr>
      <w:bookmarkStart w:id="4" w:name="_Toc238053546"/>
      <w:r w:rsidRPr="00A30192">
        <w:rPr>
          <w:rFonts w:ascii="Arial" w:hAnsi="Arial" w:cs="Arial"/>
        </w:rPr>
        <w:t xml:space="preserve">Figure </w:t>
      </w:r>
      <w:r w:rsidRPr="00A30192">
        <w:rPr>
          <w:rFonts w:ascii="Arial" w:hAnsi="Arial" w:cs="Arial"/>
        </w:rPr>
        <w:fldChar w:fldCharType="begin"/>
      </w:r>
      <w:r w:rsidRPr="00A30192">
        <w:rPr>
          <w:rFonts w:ascii="Arial" w:hAnsi="Arial" w:cs="Arial"/>
        </w:rPr>
        <w:instrText xml:space="preserve"> SEQ Figure \* ARABIC </w:instrText>
      </w:r>
      <w:r w:rsidRPr="00A30192">
        <w:rPr>
          <w:rFonts w:ascii="Arial" w:hAnsi="Arial" w:cs="Arial"/>
        </w:rPr>
        <w:fldChar w:fldCharType="separate"/>
      </w:r>
      <w:r w:rsidRPr="00A30192">
        <w:rPr>
          <w:rFonts w:ascii="Arial" w:hAnsi="Arial" w:cs="Arial"/>
          <w:noProof/>
        </w:rPr>
        <w:t>1</w:t>
      </w:r>
      <w:r w:rsidRPr="00A30192">
        <w:rPr>
          <w:rFonts w:ascii="Arial" w:hAnsi="Arial" w:cs="Arial"/>
        </w:rPr>
        <w:fldChar w:fldCharType="end"/>
      </w:r>
      <w:r w:rsidRPr="00A30192">
        <w:rPr>
          <w:rFonts w:ascii="Arial" w:eastAsia="Times New Roman" w:hAnsi="Arial" w:cs="Arial"/>
        </w:rPr>
        <w:t>: Income statement</w:t>
      </w:r>
      <w:bookmarkEnd w:id="4"/>
    </w:p>
    <w:p w14:paraId="6F5C84C4" w14:textId="7D09FCD6" w:rsidR="00542C3D" w:rsidRPr="00A30192" w:rsidRDefault="0058588E" w:rsidP="003B5052">
      <w:pPr>
        <w:spacing w:line="360" w:lineRule="auto"/>
        <w:jc w:val="both"/>
        <w:rPr>
          <w:rFonts w:ascii="Arial" w:eastAsia="Times New Roman" w:hAnsi="Arial" w:cs="Arial"/>
        </w:rPr>
      </w:pPr>
      <w:r w:rsidRPr="00A30192">
        <w:rPr>
          <w:rFonts w:ascii="Arial" w:eastAsia="Times New Roman" w:hAnsi="Arial" w:cs="Arial"/>
        </w:rPr>
        <w:lastRenderedPageBreak/>
        <w:t>Total income declined 3.4% in 2024 to £18,003 million from £18,629 million in 2023, driven by a £1,021 million fall in net interest income (NII) from £13,298 million to £12,277 million. This new pricing of the deposits occurred as the customers changed to the savings-based products which provided high yields squeezing the banking net interest margin (NIM) down to an estimated 2.95% in 2024 versus 3.22 in 2023. The total income recovered to the same level of 19,422m in 2025 and NII recovered its bottom of 13,230m as the structural hedge portfolio rolled over maturing balances at higher prevailing rates (BIS, 2023). Other income grew as the companies raised their fee revenues, enhanced the performance of its insurance service, and other operating income due to the Schroders Personal Wealth takeover to approximately 6,192 million by 2025. To capture the capital of technology and inflation rates, the operating expenses have risen in 2023 to 2025</w:t>
      </w:r>
      <w:r w:rsidR="00593693" w:rsidRPr="00A30192">
        <w:rPr>
          <w:rFonts w:ascii="Arial" w:eastAsia="Times New Roman" w:hAnsi="Arial" w:cs="Arial"/>
        </w:rPr>
        <w:t>.</w:t>
      </w:r>
    </w:p>
    <w:p w14:paraId="4B5E592D" w14:textId="77777777" w:rsidR="00542C3D" w:rsidRPr="00A30192" w:rsidRDefault="0058588E" w:rsidP="003B5052">
      <w:pPr>
        <w:spacing w:line="360" w:lineRule="auto"/>
        <w:jc w:val="both"/>
        <w:rPr>
          <w:rFonts w:ascii="Arial" w:eastAsia="Times New Roman" w:hAnsi="Arial" w:cs="Arial"/>
          <w:b/>
          <w:bCs/>
        </w:rPr>
      </w:pPr>
      <w:r w:rsidRPr="00A30192">
        <w:rPr>
          <w:rFonts w:ascii="Arial" w:eastAsia="Times New Roman" w:hAnsi="Arial" w:cs="Arial"/>
          <w:b/>
          <w:bCs/>
        </w:rPr>
        <w:t>Balance Sheet</w:t>
      </w:r>
    </w:p>
    <w:p w14:paraId="7D8FE47E" w14:textId="77777777" w:rsidR="00542C3D" w:rsidRPr="00A30192" w:rsidRDefault="0058588E" w:rsidP="0058588E">
      <w:pPr>
        <w:spacing w:line="360" w:lineRule="auto"/>
        <w:jc w:val="center"/>
        <w:rPr>
          <w:rFonts w:ascii="Arial" w:eastAsia="Times New Roman" w:hAnsi="Arial" w:cs="Arial"/>
        </w:rPr>
      </w:pPr>
      <w:r w:rsidRPr="00A30192">
        <w:rPr>
          <w:rFonts w:ascii="Arial" w:eastAsia="Times New Roman" w:hAnsi="Arial" w:cs="Arial"/>
          <w:noProof/>
        </w:rPr>
        <w:lastRenderedPageBreak/>
        <w:drawing>
          <wp:inline distT="0" distB="0" distL="0" distR="0" wp14:anchorId="38F4CF11" wp14:editId="22B8828A">
            <wp:extent cx="5731510" cy="562229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731510" cy="5622290"/>
                    </a:xfrm>
                    <a:prstGeom prst="rect">
                      <a:avLst/>
                    </a:prstGeom>
                    <a:ln/>
                  </pic:spPr>
                </pic:pic>
              </a:graphicData>
            </a:graphic>
          </wp:inline>
        </w:drawing>
      </w:r>
    </w:p>
    <w:p w14:paraId="0EB0B055" w14:textId="3597507A" w:rsidR="0058588E" w:rsidRPr="00A30192" w:rsidRDefault="0058588E" w:rsidP="0058588E">
      <w:pPr>
        <w:pStyle w:val="Caption"/>
        <w:jc w:val="center"/>
        <w:rPr>
          <w:rFonts w:ascii="Arial" w:hAnsi="Arial" w:cs="Arial"/>
          <w:b/>
        </w:rPr>
      </w:pPr>
      <w:bookmarkStart w:id="5" w:name="_Toc238053547"/>
      <w:r w:rsidRPr="00A30192">
        <w:rPr>
          <w:rFonts w:ascii="Arial" w:hAnsi="Arial" w:cs="Arial"/>
        </w:rPr>
        <w:t xml:space="preserve">Figure </w:t>
      </w:r>
      <w:r w:rsidRPr="00A30192">
        <w:rPr>
          <w:rFonts w:ascii="Arial" w:hAnsi="Arial" w:cs="Arial"/>
        </w:rPr>
        <w:fldChar w:fldCharType="begin"/>
      </w:r>
      <w:r w:rsidRPr="00A30192">
        <w:rPr>
          <w:rFonts w:ascii="Arial" w:hAnsi="Arial" w:cs="Arial"/>
        </w:rPr>
        <w:instrText xml:space="preserve"> SEQ Figure \* ARABIC </w:instrText>
      </w:r>
      <w:r w:rsidRPr="00A30192">
        <w:rPr>
          <w:rFonts w:ascii="Arial" w:hAnsi="Arial" w:cs="Arial"/>
        </w:rPr>
        <w:fldChar w:fldCharType="separate"/>
      </w:r>
      <w:r w:rsidRPr="00A30192">
        <w:rPr>
          <w:rFonts w:ascii="Arial" w:hAnsi="Arial" w:cs="Arial"/>
          <w:noProof/>
        </w:rPr>
        <w:t>2</w:t>
      </w:r>
      <w:r w:rsidRPr="00A30192">
        <w:rPr>
          <w:rFonts w:ascii="Arial" w:hAnsi="Arial" w:cs="Arial"/>
        </w:rPr>
        <w:fldChar w:fldCharType="end"/>
      </w:r>
      <w:r w:rsidRPr="00A30192">
        <w:rPr>
          <w:rFonts w:ascii="Arial" w:hAnsi="Arial" w:cs="Arial"/>
        </w:rPr>
        <w:t>:</w:t>
      </w:r>
      <w:r w:rsidRPr="00A30192">
        <w:rPr>
          <w:rFonts w:ascii="Arial" w:eastAsia="Times New Roman" w:hAnsi="Arial" w:cs="Arial"/>
        </w:rPr>
        <w:t xml:space="preserve"> Balance sheet</w:t>
      </w:r>
      <w:bookmarkEnd w:id="5"/>
    </w:p>
    <w:p w14:paraId="1CDA3C66" w14:textId="77777777" w:rsidR="00542C3D" w:rsidRPr="00A30192" w:rsidRDefault="0058588E" w:rsidP="003B5052">
      <w:pPr>
        <w:spacing w:line="360" w:lineRule="auto"/>
        <w:jc w:val="both"/>
        <w:rPr>
          <w:rFonts w:ascii="Arial" w:eastAsia="Times New Roman" w:hAnsi="Arial" w:cs="Arial"/>
        </w:rPr>
      </w:pPr>
      <w:r w:rsidRPr="00A30192">
        <w:rPr>
          <w:rFonts w:ascii="Arial" w:eastAsia="Times New Roman" w:hAnsi="Arial" w:cs="Arial"/>
        </w:rPr>
        <w:t>In 2025, the total assets grew by 4.1 to 944,072 million and the loans and advances to customers (up 21,606 million to 481,463 million) were huge with practically all UK mortgage growth (up10.8 billion). The customer deposits increased by then 13,712 million to 496,457 million and this balance sheet model of the Group is based on retail-funded balance sheets. Both total equity and attributable profit have been enhanced by rise in attributable profit that rose by 45,888 million to 47,867 million over the capital distributions of 3.71billion. Debt securities rose however to hit a peak of £78,271 million with the Group substituting the Bank of England Term Funding Scheme drawings of £13.1 billion with market rate wholesale issues (FCA, 2024).</w:t>
      </w:r>
    </w:p>
    <w:p w14:paraId="7B4BC5C1" w14:textId="77777777" w:rsidR="00542C3D" w:rsidRPr="00A30192" w:rsidRDefault="0058588E" w:rsidP="003B5052">
      <w:pPr>
        <w:spacing w:line="360" w:lineRule="auto"/>
        <w:jc w:val="both"/>
        <w:rPr>
          <w:rFonts w:ascii="Arial" w:eastAsia="Times New Roman" w:hAnsi="Arial" w:cs="Arial"/>
          <w:b/>
          <w:bCs/>
        </w:rPr>
      </w:pPr>
      <w:r w:rsidRPr="00A30192">
        <w:rPr>
          <w:rFonts w:ascii="Arial" w:eastAsia="Times New Roman" w:hAnsi="Arial" w:cs="Arial"/>
          <w:b/>
          <w:bCs/>
        </w:rPr>
        <w:lastRenderedPageBreak/>
        <w:t>Cash Flow Statement</w:t>
      </w:r>
    </w:p>
    <w:p w14:paraId="24EE7FDD" w14:textId="77777777" w:rsidR="00542C3D" w:rsidRPr="00A30192" w:rsidRDefault="0058588E" w:rsidP="0058588E">
      <w:pPr>
        <w:spacing w:line="360" w:lineRule="auto"/>
        <w:jc w:val="center"/>
        <w:rPr>
          <w:rFonts w:ascii="Arial" w:eastAsia="Times New Roman" w:hAnsi="Arial" w:cs="Arial"/>
        </w:rPr>
      </w:pPr>
      <w:r w:rsidRPr="00A30192">
        <w:rPr>
          <w:rFonts w:ascii="Arial" w:eastAsia="Times New Roman" w:hAnsi="Arial" w:cs="Arial"/>
          <w:noProof/>
        </w:rPr>
        <w:drawing>
          <wp:inline distT="0" distB="0" distL="0" distR="0" wp14:anchorId="1B74A6ED" wp14:editId="65348DD0">
            <wp:extent cx="5731510" cy="546925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731510" cy="5469255"/>
                    </a:xfrm>
                    <a:prstGeom prst="rect">
                      <a:avLst/>
                    </a:prstGeom>
                    <a:ln/>
                  </pic:spPr>
                </pic:pic>
              </a:graphicData>
            </a:graphic>
          </wp:inline>
        </w:drawing>
      </w:r>
    </w:p>
    <w:p w14:paraId="386F1352" w14:textId="27F28275" w:rsidR="0058588E" w:rsidRPr="00A30192" w:rsidRDefault="0058588E" w:rsidP="0058588E">
      <w:pPr>
        <w:pStyle w:val="Caption"/>
        <w:jc w:val="center"/>
        <w:rPr>
          <w:rFonts w:ascii="Arial" w:hAnsi="Arial" w:cs="Arial"/>
        </w:rPr>
      </w:pPr>
      <w:bookmarkStart w:id="6" w:name="_Toc238053548"/>
      <w:r w:rsidRPr="00A30192">
        <w:rPr>
          <w:rFonts w:ascii="Arial" w:hAnsi="Arial" w:cs="Arial"/>
        </w:rPr>
        <w:t xml:space="preserve">Figure </w:t>
      </w:r>
      <w:r w:rsidRPr="00A30192">
        <w:rPr>
          <w:rFonts w:ascii="Arial" w:hAnsi="Arial" w:cs="Arial"/>
        </w:rPr>
        <w:fldChar w:fldCharType="begin"/>
      </w:r>
      <w:r w:rsidRPr="00A30192">
        <w:rPr>
          <w:rFonts w:ascii="Arial" w:hAnsi="Arial" w:cs="Arial"/>
        </w:rPr>
        <w:instrText xml:space="preserve"> SEQ Figure \* ARABIC </w:instrText>
      </w:r>
      <w:r w:rsidRPr="00A30192">
        <w:rPr>
          <w:rFonts w:ascii="Arial" w:hAnsi="Arial" w:cs="Arial"/>
        </w:rPr>
        <w:fldChar w:fldCharType="separate"/>
      </w:r>
      <w:r w:rsidRPr="00A30192">
        <w:rPr>
          <w:rFonts w:ascii="Arial" w:hAnsi="Arial" w:cs="Arial"/>
          <w:noProof/>
        </w:rPr>
        <w:t>3</w:t>
      </w:r>
      <w:r w:rsidRPr="00A30192">
        <w:rPr>
          <w:rFonts w:ascii="Arial" w:hAnsi="Arial" w:cs="Arial"/>
        </w:rPr>
        <w:fldChar w:fldCharType="end"/>
      </w:r>
      <w:r w:rsidRPr="00A30192">
        <w:rPr>
          <w:rFonts w:ascii="Arial" w:eastAsia="Times New Roman" w:hAnsi="Arial" w:cs="Arial"/>
        </w:rPr>
        <w:t>: Cash flow statement</w:t>
      </w:r>
      <w:bookmarkEnd w:id="6"/>
    </w:p>
    <w:p w14:paraId="2165AEA0" w14:textId="1C1F5061" w:rsidR="00542C3D" w:rsidRPr="00A30192" w:rsidRDefault="0058588E" w:rsidP="003B5052">
      <w:pPr>
        <w:spacing w:line="360" w:lineRule="auto"/>
        <w:jc w:val="both"/>
        <w:rPr>
          <w:rFonts w:ascii="Arial" w:eastAsia="Times New Roman" w:hAnsi="Arial" w:cs="Arial"/>
        </w:rPr>
      </w:pPr>
      <w:r w:rsidRPr="00A30192">
        <w:rPr>
          <w:rFonts w:ascii="Arial" w:eastAsia="Times New Roman" w:hAnsi="Arial" w:cs="Arial"/>
        </w:rPr>
        <w:t>There was a steep reversal of cash flow operations poised at +, 5,701 million in 2025 that was -4,393 million the previous year, 2024. The 2024 outflow showed a 39.6 billion increase in operating assets (mainly in insurance contract assets) as opposed to a depreciation in trading. It had been supported by asset sales (e.g. bulk annuities portfolio sale to Rothesay Life) to fund repealing the 2025. Finance financed outflows amounted to 5,357 million pounds of which 2,000 million pounds of the outflow was by way of ordinary dividends and 1,710 million pounds of the outflow by way of share buybacks</w:t>
      </w:r>
      <w:r w:rsidR="00593693" w:rsidRPr="00A30192">
        <w:rPr>
          <w:rFonts w:ascii="Arial" w:eastAsia="Times New Roman" w:hAnsi="Arial" w:cs="Arial"/>
        </w:rPr>
        <w:t xml:space="preserve"> </w:t>
      </w:r>
      <w:r w:rsidRPr="00A30192">
        <w:rPr>
          <w:rFonts w:ascii="Arial" w:eastAsia="Times New Roman" w:hAnsi="Arial" w:cs="Arial"/>
        </w:rPr>
        <w:t>(FRC, 2024).</w:t>
      </w:r>
    </w:p>
    <w:p w14:paraId="2F455C54" w14:textId="6CDF76FD" w:rsidR="003B5052" w:rsidRPr="00A30192" w:rsidRDefault="003B5052" w:rsidP="003B5052">
      <w:pPr>
        <w:spacing w:line="360" w:lineRule="auto"/>
        <w:jc w:val="both"/>
        <w:rPr>
          <w:rFonts w:ascii="Arial" w:hAnsi="Arial" w:cs="Arial"/>
        </w:rPr>
      </w:pPr>
      <w:r w:rsidRPr="00A30192">
        <w:rPr>
          <w:rFonts w:ascii="Arial" w:hAnsi="Arial" w:cs="Arial"/>
        </w:rPr>
        <w:lastRenderedPageBreak/>
        <w:t xml:space="preserve">Income Statement: In 2024, net interest income decreased by -1,021 million (-7.7) as a result of the rise in the Bank of England Bank Rate to 5.25 which resulted in a mass flight of deposits out of low-rate current accounts onto long-term savings. The change experienced in the interest paid on the liabilities incurred by LBG rose at a higher rate than the interests the company earned on the assets and this decreased the NIM to 2.95, compared to 3.22. This one compression trickled off to a decrease in total income of 3.4% increasing the </w:t>
      </w:r>
      <w:proofErr w:type="spellStart"/>
      <w:r w:rsidRPr="00A30192">
        <w:rPr>
          <w:rFonts w:ascii="Arial" w:hAnsi="Arial" w:cs="Arial"/>
        </w:rPr>
        <w:t>cost:income</w:t>
      </w:r>
      <w:proofErr w:type="spellEnd"/>
      <w:r w:rsidRPr="00A30192">
        <w:rPr>
          <w:rFonts w:ascii="Arial" w:hAnsi="Arial" w:cs="Arial"/>
        </w:rPr>
        <w:t xml:space="preserve"> ratio to 60.4% (costs kept increasing either way) and sent the PBT down 20.4%. This has been overturned by the structural hedge in 2025 - reinvestment of maturing balances at higher rates put NIM at 3.06, NII at £953 million and PBT at 11.5.</w:t>
      </w:r>
    </w:p>
    <w:p w14:paraId="2C48CF8C" w14:textId="3070A7BB" w:rsidR="003B5052" w:rsidRPr="00A30192" w:rsidRDefault="003B5052" w:rsidP="003B5052">
      <w:pPr>
        <w:spacing w:line="360" w:lineRule="auto"/>
        <w:jc w:val="both"/>
        <w:rPr>
          <w:rFonts w:ascii="Arial" w:hAnsi="Arial" w:cs="Arial"/>
        </w:rPr>
      </w:pPr>
      <w:r w:rsidRPr="00A30192">
        <w:rPr>
          <w:rFonts w:ascii="Arial" w:hAnsi="Arial" w:cs="Arial"/>
        </w:rPr>
        <w:t>Balance Sheet: Growth in 2025 loans of 21.6 billion (positive interest income (more loans, higher NIM = higher NII)) helped the recovery of the income statement. The increase in the debt securities replaced cheap funding under TFSME and to an extent, this increases the expense of future funding.</w:t>
      </w:r>
    </w:p>
    <w:p w14:paraId="32760DC3" w14:textId="71ED1CA4" w:rsidR="003B5052" w:rsidRPr="00A30192" w:rsidRDefault="003B5052" w:rsidP="003B5052">
      <w:pPr>
        <w:spacing w:line="360" w:lineRule="auto"/>
        <w:jc w:val="both"/>
        <w:rPr>
          <w:rFonts w:ascii="Arial" w:hAnsi="Arial" w:cs="Arial"/>
        </w:rPr>
      </w:pPr>
      <w:r w:rsidRPr="00A30192">
        <w:rPr>
          <w:rFonts w:ascii="Arial" w:hAnsi="Arial" w:cs="Arial"/>
        </w:rPr>
        <w:t>Cash Flow: The growth of our running outflow of 4.4 billion on 2024 due to increase of insurance assets by 39.6billion, a timing, but not operating, dislocation, was offset in 2025 to +5.7 billion.</w:t>
      </w:r>
    </w:p>
    <w:p w14:paraId="54E906F7" w14:textId="77777777" w:rsidR="00542C3D" w:rsidRPr="00A30192" w:rsidRDefault="0058588E" w:rsidP="003B5052">
      <w:pPr>
        <w:pStyle w:val="Heading1"/>
        <w:spacing w:line="360" w:lineRule="auto"/>
        <w:jc w:val="both"/>
        <w:rPr>
          <w:rFonts w:ascii="Arial" w:eastAsia="Times New Roman" w:hAnsi="Arial" w:cs="Arial"/>
          <w:b/>
          <w:bCs/>
          <w:color w:val="000000"/>
          <w:sz w:val="24"/>
          <w:szCs w:val="24"/>
        </w:rPr>
      </w:pPr>
      <w:bookmarkStart w:id="7" w:name="_s4cbdqlipf78" w:colFirst="0" w:colLast="0"/>
      <w:bookmarkEnd w:id="7"/>
      <w:r w:rsidRPr="00A30192">
        <w:rPr>
          <w:rFonts w:ascii="Arial" w:eastAsia="Times New Roman" w:hAnsi="Arial" w:cs="Arial"/>
          <w:b/>
          <w:bCs/>
          <w:color w:val="000000"/>
          <w:sz w:val="24"/>
          <w:szCs w:val="24"/>
        </w:rPr>
        <w:t>4. Financial Performance Analysis</w:t>
      </w:r>
    </w:p>
    <w:p w14:paraId="0ABD1F94" w14:textId="77777777" w:rsidR="00542C3D" w:rsidRPr="00A30192" w:rsidRDefault="0058588E" w:rsidP="003B5052">
      <w:pPr>
        <w:spacing w:line="360" w:lineRule="auto"/>
        <w:jc w:val="both"/>
        <w:rPr>
          <w:rFonts w:ascii="Arial" w:eastAsia="Times New Roman" w:hAnsi="Arial" w:cs="Arial"/>
          <w:b/>
          <w:bCs/>
        </w:rPr>
      </w:pPr>
      <w:r w:rsidRPr="00A30192">
        <w:rPr>
          <w:rFonts w:ascii="Arial" w:eastAsia="Times New Roman" w:hAnsi="Arial" w:cs="Arial"/>
          <w:b/>
          <w:bCs/>
        </w:rPr>
        <w:t>Ratio Analysis</w:t>
      </w:r>
    </w:p>
    <w:p w14:paraId="14712F2F" w14:textId="77777777" w:rsidR="00542C3D" w:rsidRPr="00A30192" w:rsidRDefault="0058588E" w:rsidP="0058588E">
      <w:pPr>
        <w:spacing w:line="360" w:lineRule="auto"/>
        <w:jc w:val="center"/>
        <w:rPr>
          <w:rFonts w:ascii="Arial" w:eastAsia="Times New Roman" w:hAnsi="Arial" w:cs="Arial"/>
        </w:rPr>
      </w:pPr>
      <w:r w:rsidRPr="00A30192">
        <w:rPr>
          <w:rFonts w:ascii="Arial" w:eastAsia="Times New Roman" w:hAnsi="Arial" w:cs="Arial"/>
          <w:noProof/>
        </w:rPr>
        <w:drawing>
          <wp:inline distT="0" distB="0" distL="0" distR="0" wp14:anchorId="2C315BDA" wp14:editId="7C9D7443">
            <wp:extent cx="5731510" cy="194691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731510" cy="1946910"/>
                    </a:xfrm>
                    <a:prstGeom prst="rect">
                      <a:avLst/>
                    </a:prstGeom>
                    <a:ln/>
                  </pic:spPr>
                </pic:pic>
              </a:graphicData>
            </a:graphic>
          </wp:inline>
        </w:drawing>
      </w:r>
    </w:p>
    <w:p w14:paraId="552BDD50" w14:textId="77777777" w:rsidR="00542C3D" w:rsidRPr="00A30192" w:rsidRDefault="0058588E" w:rsidP="0058588E">
      <w:pPr>
        <w:spacing w:line="360" w:lineRule="auto"/>
        <w:jc w:val="center"/>
        <w:rPr>
          <w:rFonts w:ascii="Arial" w:eastAsia="Times New Roman" w:hAnsi="Arial" w:cs="Arial"/>
        </w:rPr>
      </w:pPr>
      <w:r w:rsidRPr="00A30192">
        <w:rPr>
          <w:rFonts w:ascii="Arial" w:eastAsia="Times New Roman" w:hAnsi="Arial" w:cs="Arial"/>
          <w:noProof/>
        </w:rPr>
        <w:lastRenderedPageBreak/>
        <w:drawing>
          <wp:inline distT="0" distB="0" distL="0" distR="0" wp14:anchorId="3F8225C7" wp14:editId="7EF00B72">
            <wp:extent cx="5731510" cy="121031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731510" cy="1210310"/>
                    </a:xfrm>
                    <a:prstGeom prst="rect">
                      <a:avLst/>
                    </a:prstGeom>
                    <a:ln/>
                  </pic:spPr>
                </pic:pic>
              </a:graphicData>
            </a:graphic>
          </wp:inline>
        </w:drawing>
      </w:r>
    </w:p>
    <w:p w14:paraId="76C1A0B6" w14:textId="616B743B" w:rsidR="0058588E" w:rsidRPr="00A30192" w:rsidRDefault="0058588E" w:rsidP="0058588E">
      <w:pPr>
        <w:pStyle w:val="Caption"/>
        <w:jc w:val="center"/>
        <w:rPr>
          <w:rFonts w:ascii="Arial" w:hAnsi="Arial" w:cs="Arial"/>
          <w:b/>
        </w:rPr>
      </w:pPr>
      <w:bookmarkStart w:id="8" w:name="_Toc238053549"/>
      <w:r w:rsidRPr="00A30192">
        <w:rPr>
          <w:rFonts w:ascii="Arial" w:hAnsi="Arial" w:cs="Arial"/>
        </w:rPr>
        <w:t xml:space="preserve">Figure </w:t>
      </w:r>
      <w:r w:rsidRPr="00A30192">
        <w:rPr>
          <w:rFonts w:ascii="Arial" w:hAnsi="Arial" w:cs="Arial"/>
        </w:rPr>
        <w:fldChar w:fldCharType="begin"/>
      </w:r>
      <w:r w:rsidRPr="00A30192">
        <w:rPr>
          <w:rFonts w:ascii="Arial" w:hAnsi="Arial" w:cs="Arial"/>
        </w:rPr>
        <w:instrText xml:space="preserve"> SEQ Figure \* ARABIC </w:instrText>
      </w:r>
      <w:r w:rsidRPr="00A30192">
        <w:rPr>
          <w:rFonts w:ascii="Arial" w:hAnsi="Arial" w:cs="Arial"/>
        </w:rPr>
        <w:fldChar w:fldCharType="separate"/>
      </w:r>
      <w:r w:rsidRPr="00A30192">
        <w:rPr>
          <w:rFonts w:ascii="Arial" w:hAnsi="Arial" w:cs="Arial"/>
          <w:noProof/>
        </w:rPr>
        <w:t>4</w:t>
      </w:r>
      <w:r w:rsidRPr="00A30192">
        <w:rPr>
          <w:rFonts w:ascii="Arial" w:hAnsi="Arial" w:cs="Arial"/>
        </w:rPr>
        <w:fldChar w:fldCharType="end"/>
      </w:r>
      <w:r w:rsidRPr="00A30192">
        <w:rPr>
          <w:rFonts w:ascii="Arial" w:eastAsia="Times New Roman" w:hAnsi="Arial" w:cs="Arial"/>
        </w:rPr>
        <w:t>: Profitability and liquidity analysis</w:t>
      </w:r>
      <w:bookmarkEnd w:id="8"/>
    </w:p>
    <w:p w14:paraId="49531E6A" w14:textId="785B5F4B" w:rsidR="00542C3D" w:rsidRPr="00A30192" w:rsidRDefault="0058588E" w:rsidP="003B5052">
      <w:pPr>
        <w:spacing w:line="360" w:lineRule="auto"/>
        <w:jc w:val="both"/>
        <w:rPr>
          <w:rFonts w:ascii="Arial" w:eastAsia="Times New Roman" w:hAnsi="Arial" w:cs="Arial"/>
        </w:rPr>
      </w:pPr>
      <w:r w:rsidRPr="00A30192">
        <w:rPr>
          <w:rFonts w:ascii="Arial" w:eastAsia="Times New Roman" w:hAnsi="Arial" w:cs="Arial"/>
        </w:rPr>
        <w:t xml:space="preserve">Profitability: Return on equity moved from 11.7% in 2023 to 9.8% in 2024 and recovered to 10.1% in 2025. The reported </w:t>
      </w:r>
      <w:proofErr w:type="spellStart"/>
      <w:r w:rsidRPr="00A30192">
        <w:rPr>
          <w:rFonts w:ascii="Arial" w:eastAsia="Times New Roman" w:hAnsi="Arial" w:cs="Arial"/>
        </w:rPr>
        <w:t>RoTE</w:t>
      </w:r>
      <w:proofErr w:type="spellEnd"/>
      <w:r w:rsidRPr="00A30192">
        <w:rPr>
          <w:rFonts w:ascii="Arial" w:eastAsia="Times New Roman" w:hAnsi="Arial" w:cs="Arial"/>
        </w:rPr>
        <w:t xml:space="preserve"> which is the most important measure of LBG was also identical at 15.8, 12.3 and 12.9 respectively. The NIM compression and the 899 million motor finance remediation charge were also reflected in the 2024 decline, and the fact that the 2025 recovery is at 12.9% (14.8% with motor finance Q3 omitted) is evidence that there is a solid underlying trend. The net profit margin dwindled as percentage of 29.6 per 2023 to 24.5 per 2025 with the growth of expenses and impairments percentage of the income. This ratio cost income ratio deteriorated to 60.4% in 2024 and to 58.6% in 2025 as the revenues grew at a higher rate compared to the expenses. </w:t>
      </w:r>
    </w:p>
    <w:p w14:paraId="14C2AB31" w14:textId="01790866" w:rsidR="00542C3D" w:rsidRPr="00A30192" w:rsidRDefault="0058588E" w:rsidP="003B5052">
      <w:pPr>
        <w:spacing w:line="360" w:lineRule="auto"/>
        <w:jc w:val="both"/>
        <w:rPr>
          <w:rFonts w:ascii="Arial" w:eastAsia="Times New Roman" w:hAnsi="Arial" w:cs="Arial"/>
        </w:rPr>
      </w:pPr>
      <w:r w:rsidRPr="00A30192">
        <w:rPr>
          <w:rFonts w:ascii="Arial" w:eastAsia="Times New Roman" w:hAnsi="Arial" w:cs="Arial"/>
        </w:rPr>
        <w:t>Liquidity: A 95% ratio of loans to deposits in 2024 has an increase in loans exceeding the deposit increase that was 97 percent in 2025 resulting in an average ratio hitting 95-97 that is conservative and reflects the deposit-driven management style. It has a liquidity coverage ratio of 145 that is significantly above the regulatory requirement of 100%</w:t>
      </w:r>
      <w:r w:rsidR="00593693" w:rsidRPr="00A30192">
        <w:rPr>
          <w:rFonts w:ascii="Arial" w:eastAsia="Times New Roman" w:hAnsi="Arial" w:cs="Arial"/>
        </w:rPr>
        <w:t xml:space="preserve"> </w:t>
      </w:r>
      <w:r w:rsidRPr="00A30192">
        <w:rPr>
          <w:rFonts w:ascii="Arial" w:eastAsia="Times New Roman" w:hAnsi="Arial" w:cs="Arial"/>
        </w:rPr>
        <w:t>(HM Treasury, 2024).</w:t>
      </w:r>
    </w:p>
    <w:p w14:paraId="0B2E32BF" w14:textId="77777777" w:rsidR="00542C3D" w:rsidRPr="00A30192" w:rsidRDefault="0058588E" w:rsidP="0058588E">
      <w:pPr>
        <w:spacing w:line="360" w:lineRule="auto"/>
        <w:jc w:val="center"/>
        <w:rPr>
          <w:rFonts w:ascii="Arial" w:eastAsia="Times New Roman" w:hAnsi="Arial" w:cs="Arial"/>
        </w:rPr>
      </w:pPr>
      <w:r w:rsidRPr="00A30192">
        <w:rPr>
          <w:rFonts w:ascii="Arial" w:eastAsia="Times New Roman" w:hAnsi="Arial" w:cs="Arial"/>
          <w:noProof/>
        </w:rPr>
        <w:drawing>
          <wp:inline distT="0" distB="0" distL="0" distR="0" wp14:anchorId="59F4118B" wp14:editId="0351E887">
            <wp:extent cx="5731510" cy="128968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510" cy="1289685"/>
                    </a:xfrm>
                    <a:prstGeom prst="rect">
                      <a:avLst/>
                    </a:prstGeom>
                    <a:ln/>
                  </pic:spPr>
                </pic:pic>
              </a:graphicData>
            </a:graphic>
          </wp:inline>
        </w:drawing>
      </w:r>
    </w:p>
    <w:p w14:paraId="065D88DB" w14:textId="77777777" w:rsidR="00542C3D" w:rsidRPr="00A30192" w:rsidRDefault="0058588E" w:rsidP="0058588E">
      <w:pPr>
        <w:spacing w:line="360" w:lineRule="auto"/>
        <w:jc w:val="center"/>
        <w:rPr>
          <w:rFonts w:ascii="Arial" w:eastAsia="Times New Roman" w:hAnsi="Arial" w:cs="Arial"/>
        </w:rPr>
      </w:pPr>
      <w:r w:rsidRPr="00A30192">
        <w:rPr>
          <w:rFonts w:ascii="Arial" w:eastAsia="Times New Roman" w:hAnsi="Arial" w:cs="Arial"/>
          <w:noProof/>
        </w:rPr>
        <w:lastRenderedPageBreak/>
        <w:drawing>
          <wp:inline distT="0" distB="0" distL="0" distR="0" wp14:anchorId="78522D26" wp14:editId="039B0E29">
            <wp:extent cx="5731510" cy="147764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510" cy="1477645"/>
                    </a:xfrm>
                    <a:prstGeom prst="rect">
                      <a:avLst/>
                    </a:prstGeom>
                    <a:ln/>
                  </pic:spPr>
                </pic:pic>
              </a:graphicData>
            </a:graphic>
          </wp:inline>
        </w:drawing>
      </w:r>
    </w:p>
    <w:p w14:paraId="1DC66EA2" w14:textId="28A2A85D" w:rsidR="0058588E" w:rsidRPr="00A30192" w:rsidRDefault="0058588E" w:rsidP="0058588E">
      <w:pPr>
        <w:pStyle w:val="Caption"/>
        <w:jc w:val="center"/>
        <w:rPr>
          <w:rFonts w:ascii="Arial" w:hAnsi="Arial" w:cs="Arial"/>
        </w:rPr>
      </w:pPr>
      <w:bookmarkStart w:id="9" w:name="_Toc238053550"/>
      <w:r w:rsidRPr="00A30192">
        <w:rPr>
          <w:rFonts w:ascii="Arial" w:hAnsi="Arial" w:cs="Arial"/>
        </w:rPr>
        <w:t xml:space="preserve">Figure </w:t>
      </w:r>
      <w:r w:rsidRPr="00A30192">
        <w:rPr>
          <w:rFonts w:ascii="Arial" w:hAnsi="Arial" w:cs="Arial"/>
        </w:rPr>
        <w:fldChar w:fldCharType="begin"/>
      </w:r>
      <w:r w:rsidRPr="00A30192">
        <w:rPr>
          <w:rFonts w:ascii="Arial" w:hAnsi="Arial" w:cs="Arial"/>
        </w:rPr>
        <w:instrText xml:space="preserve"> SEQ Figure \* ARABIC </w:instrText>
      </w:r>
      <w:r w:rsidRPr="00A30192">
        <w:rPr>
          <w:rFonts w:ascii="Arial" w:hAnsi="Arial" w:cs="Arial"/>
        </w:rPr>
        <w:fldChar w:fldCharType="separate"/>
      </w:r>
      <w:r w:rsidRPr="00A30192">
        <w:rPr>
          <w:rFonts w:ascii="Arial" w:hAnsi="Arial" w:cs="Arial"/>
          <w:noProof/>
        </w:rPr>
        <w:t>5</w:t>
      </w:r>
      <w:r w:rsidRPr="00A30192">
        <w:rPr>
          <w:rFonts w:ascii="Arial" w:hAnsi="Arial" w:cs="Arial"/>
        </w:rPr>
        <w:fldChar w:fldCharType="end"/>
      </w:r>
      <w:r w:rsidRPr="00A30192">
        <w:rPr>
          <w:rFonts w:ascii="Arial" w:eastAsia="Times New Roman" w:hAnsi="Arial" w:cs="Arial"/>
        </w:rPr>
        <w:t>: Efficiency and solvency ratio</w:t>
      </w:r>
      <w:bookmarkEnd w:id="9"/>
    </w:p>
    <w:p w14:paraId="404FEDE6" w14:textId="77777777" w:rsidR="00542C3D" w:rsidRPr="00A30192" w:rsidRDefault="0058588E" w:rsidP="003B5052">
      <w:pPr>
        <w:spacing w:line="360" w:lineRule="auto"/>
        <w:jc w:val="both"/>
        <w:rPr>
          <w:rFonts w:ascii="Arial" w:eastAsia="Times New Roman" w:hAnsi="Arial" w:cs="Arial"/>
        </w:rPr>
      </w:pPr>
      <w:r w:rsidRPr="00A30192">
        <w:rPr>
          <w:rFonts w:ascii="Arial" w:eastAsia="Times New Roman" w:hAnsi="Arial" w:cs="Arial"/>
        </w:rPr>
        <w:t xml:space="preserve">Efficiency Costs per billion of assets in operation at about at 2024- 2025 stand at approximately 12.7-12.8 million which indicates a stable operation efficiency in increasing absolute costs. By 2025, the NII may decline to 68.1 in relation to total </w:t>
      </w:r>
      <w:proofErr w:type="spellStart"/>
      <w:r w:rsidRPr="00A30192">
        <w:rPr>
          <w:rFonts w:ascii="Arial" w:eastAsia="Times New Roman" w:hAnsi="Arial" w:cs="Arial"/>
        </w:rPr>
        <w:t>total</w:t>
      </w:r>
      <w:proofErr w:type="spellEnd"/>
      <w:r w:rsidRPr="00A30192">
        <w:rPr>
          <w:rFonts w:ascii="Arial" w:eastAsia="Times New Roman" w:hAnsi="Arial" w:cs="Arial"/>
        </w:rPr>
        <w:t xml:space="preserve"> income compared to 71.4 in 2023 as the growth of the fee income and insurance revenues among the other operating incomes facilitated growth concentration risk compared to the increase in interest income.</w:t>
      </w:r>
    </w:p>
    <w:p w14:paraId="5566745C" w14:textId="77777777" w:rsidR="00542C3D" w:rsidRPr="00A30192" w:rsidRDefault="0058588E" w:rsidP="003B5052">
      <w:pPr>
        <w:spacing w:line="360" w:lineRule="auto"/>
        <w:jc w:val="both"/>
        <w:rPr>
          <w:rFonts w:ascii="Arial" w:eastAsia="Times New Roman" w:hAnsi="Arial" w:cs="Arial"/>
        </w:rPr>
      </w:pPr>
      <w:r w:rsidRPr="00A30192">
        <w:rPr>
          <w:rFonts w:ascii="Arial" w:eastAsia="Times New Roman" w:hAnsi="Arial" w:cs="Arial"/>
        </w:rPr>
        <w:t>Solvency: The CET1 capital ratio has improved by an even steadier 0.5 percentage points to 14.2 and 14.0 in 2024 and 2025 respectively, that is, compared to the SREP of approximately 12% mandated by the PRA. It is typical that the whooping debt-to-equity ratio is about 18.7 times indicating deposits as the leverage, than financial distress. The UK leverage is not below the PRA minimum of 3.25 but is at 5.4%.</w:t>
      </w:r>
    </w:p>
    <w:p w14:paraId="568AC529" w14:textId="77777777" w:rsidR="00542C3D" w:rsidRPr="00A30192" w:rsidRDefault="0058588E" w:rsidP="0058588E">
      <w:pPr>
        <w:spacing w:line="360" w:lineRule="auto"/>
        <w:jc w:val="center"/>
        <w:rPr>
          <w:rFonts w:ascii="Arial" w:eastAsia="Times New Roman" w:hAnsi="Arial" w:cs="Arial"/>
        </w:rPr>
      </w:pPr>
      <w:r w:rsidRPr="00A30192">
        <w:rPr>
          <w:rFonts w:ascii="Arial" w:eastAsia="Times New Roman" w:hAnsi="Arial" w:cs="Arial"/>
          <w:noProof/>
        </w:rPr>
        <w:drawing>
          <wp:inline distT="0" distB="0" distL="0" distR="0" wp14:anchorId="6E7AEEF8" wp14:editId="7D2E8325">
            <wp:extent cx="5731510" cy="143319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731510" cy="1433195"/>
                    </a:xfrm>
                    <a:prstGeom prst="rect">
                      <a:avLst/>
                    </a:prstGeom>
                    <a:ln/>
                  </pic:spPr>
                </pic:pic>
              </a:graphicData>
            </a:graphic>
          </wp:inline>
        </w:drawing>
      </w:r>
    </w:p>
    <w:p w14:paraId="4863CFCF" w14:textId="6A4F07E3" w:rsidR="0058588E" w:rsidRPr="00A30192" w:rsidRDefault="0058588E" w:rsidP="0058588E">
      <w:pPr>
        <w:pStyle w:val="Caption"/>
        <w:jc w:val="center"/>
        <w:rPr>
          <w:rFonts w:ascii="Arial" w:hAnsi="Arial" w:cs="Arial"/>
        </w:rPr>
      </w:pPr>
      <w:bookmarkStart w:id="10" w:name="_Toc238053551"/>
      <w:r w:rsidRPr="00A30192">
        <w:rPr>
          <w:rFonts w:ascii="Arial" w:hAnsi="Arial" w:cs="Arial"/>
        </w:rPr>
        <w:t xml:space="preserve">Figure </w:t>
      </w:r>
      <w:r w:rsidRPr="00A30192">
        <w:rPr>
          <w:rFonts w:ascii="Arial" w:hAnsi="Arial" w:cs="Arial"/>
        </w:rPr>
        <w:fldChar w:fldCharType="begin"/>
      </w:r>
      <w:r w:rsidRPr="00A30192">
        <w:rPr>
          <w:rFonts w:ascii="Arial" w:hAnsi="Arial" w:cs="Arial"/>
        </w:rPr>
        <w:instrText xml:space="preserve"> SEQ Figure \* ARABIC </w:instrText>
      </w:r>
      <w:r w:rsidRPr="00A30192">
        <w:rPr>
          <w:rFonts w:ascii="Arial" w:hAnsi="Arial" w:cs="Arial"/>
        </w:rPr>
        <w:fldChar w:fldCharType="separate"/>
      </w:r>
      <w:r w:rsidRPr="00A30192">
        <w:rPr>
          <w:rFonts w:ascii="Arial" w:hAnsi="Arial" w:cs="Arial"/>
          <w:noProof/>
        </w:rPr>
        <w:t>6</w:t>
      </w:r>
      <w:r w:rsidRPr="00A30192">
        <w:rPr>
          <w:rFonts w:ascii="Arial" w:hAnsi="Arial" w:cs="Arial"/>
        </w:rPr>
        <w:fldChar w:fldCharType="end"/>
      </w:r>
      <w:r w:rsidRPr="00A30192">
        <w:rPr>
          <w:rFonts w:ascii="Arial" w:eastAsia="Times New Roman" w:hAnsi="Arial" w:cs="Arial"/>
        </w:rPr>
        <w:t>: Investor analysis</w:t>
      </w:r>
      <w:bookmarkEnd w:id="10"/>
    </w:p>
    <w:p w14:paraId="2830E28B" w14:textId="77777777" w:rsidR="00542C3D" w:rsidRPr="00A30192" w:rsidRDefault="0058588E" w:rsidP="003B5052">
      <w:pPr>
        <w:spacing w:line="360" w:lineRule="auto"/>
        <w:jc w:val="both"/>
        <w:rPr>
          <w:rFonts w:ascii="Arial" w:eastAsia="Times New Roman" w:hAnsi="Arial" w:cs="Arial"/>
        </w:rPr>
      </w:pPr>
      <w:r w:rsidRPr="00A30192">
        <w:rPr>
          <w:rFonts w:ascii="Arial" w:eastAsia="Times New Roman" w:hAnsi="Arial" w:cs="Arial"/>
        </w:rPr>
        <w:t>Investor: The basic earnings per share decreased by 7.6 pence to 6.3 pence in 2023 and 2024, respectively, but these ratios recorded a growth of 7.0 pence in 2025. The decreasing weighted average number of shares outstanding 64,953 million in 2023 to 59,790 million in 2025, directly boosted per-share statistics. The dividends per share rose in 2025 to 3.65 pence (up 15 years in a row) and rose in 2023 to 2.76 pence. There was an improvement in tangible net assets per share in 52.4 pence at end-2024 and 57.0 pence at end -2025 (</w:t>
      </w:r>
      <w:proofErr w:type="spellStart"/>
      <w:r w:rsidRPr="00A30192">
        <w:rPr>
          <w:rFonts w:ascii="Arial" w:eastAsia="Times New Roman" w:hAnsi="Arial" w:cs="Arial"/>
        </w:rPr>
        <w:t>lloyd</w:t>
      </w:r>
      <w:proofErr w:type="spellEnd"/>
      <w:r w:rsidRPr="00A30192">
        <w:rPr>
          <w:rFonts w:ascii="Arial" w:eastAsia="Times New Roman" w:hAnsi="Arial" w:cs="Arial"/>
        </w:rPr>
        <w:t>, 2023).</w:t>
      </w:r>
    </w:p>
    <w:p w14:paraId="766FB23A" w14:textId="77777777" w:rsidR="00542C3D" w:rsidRPr="00A30192" w:rsidRDefault="0058588E" w:rsidP="003B5052">
      <w:pPr>
        <w:spacing w:line="360" w:lineRule="auto"/>
        <w:jc w:val="both"/>
        <w:rPr>
          <w:rFonts w:ascii="Arial" w:eastAsia="Times New Roman" w:hAnsi="Arial" w:cs="Arial"/>
          <w:b/>
          <w:bCs/>
        </w:rPr>
      </w:pPr>
      <w:r w:rsidRPr="00A30192">
        <w:rPr>
          <w:rFonts w:ascii="Arial" w:eastAsia="Times New Roman" w:hAnsi="Arial" w:cs="Arial"/>
          <w:b/>
          <w:bCs/>
        </w:rPr>
        <w:lastRenderedPageBreak/>
        <w:t>Trend Analysis</w:t>
      </w:r>
    </w:p>
    <w:p w14:paraId="36156311" w14:textId="77777777" w:rsidR="00542C3D" w:rsidRPr="00A30192" w:rsidRDefault="0058588E" w:rsidP="0058588E">
      <w:pPr>
        <w:spacing w:line="360" w:lineRule="auto"/>
        <w:jc w:val="center"/>
        <w:rPr>
          <w:rFonts w:ascii="Arial" w:eastAsia="Times New Roman" w:hAnsi="Arial" w:cs="Arial"/>
        </w:rPr>
      </w:pPr>
      <w:r w:rsidRPr="00A30192">
        <w:rPr>
          <w:rFonts w:ascii="Arial" w:eastAsia="Times New Roman" w:hAnsi="Arial" w:cs="Arial"/>
          <w:noProof/>
        </w:rPr>
        <w:drawing>
          <wp:inline distT="0" distB="0" distL="0" distR="0" wp14:anchorId="7C6A27BC" wp14:editId="0F835CE6">
            <wp:extent cx="5731510" cy="309689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731510" cy="3096895"/>
                    </a:xfrm>
                    <a:prstGeom prst="rect">
                      <a:avLst/>
                    </a:prstGeom>
                    <a:ln/>
                  </pic:spPr>
                </pic:pic>
              </a:graphicData>
            </a:graphic>
          </wp:inline>
        </w:drawing>
      </w:r>
    </w:p>
    <w:p w14:paraId="5B11A08E" w14:textId="537070D5" w:rsidR="0058588E" w:rsidRPr="00A30192" w:rsidRDefault="0058588E" w:rsidP="0058588E">
      <w:pPr>
        <w:pStyle w:val="Caption"/>
        <w:jc w:val="center"/>
        <w:rPr>
          <w:rFonts w:ascii="Arial" w:hAnsi="Arial" w:cs="Arial"/>
        </w:rPr>
      </w:pPr>
      <w:bookmarkStart w:id="11" w:name="_Toc238053552"/>
      <w:r w:rsidRPr="00A30192">
        <w:rPr>
          <w:rFonts w:ascii="Arial" w:hAnsi="Arial" w:cs="Arial"/>
        </w:rPr>
        <w:t xml:space="preserve">Figure </w:t>
      </w:r>
      <w:r w:rsidRPr="00A30192">
        <w:rPr>
          <w:rFonts w:ascii="Arial" w:hAnsi="Arial" w:cs="Arial"/>
        </w:rPr>
        <w:fldChar w:fldCharType="begin"/>
      </w:r>
      <w:r w:rsidRPr="00A30192">
        <w:rPr>
          <w:rFonts w:ascii="Arial" w:hAnsi="Arial" w:cs="Arial"/>
        </w:rPr>
        <w:instrText xml:space="preserve"> SEQ Figure \* ARABIC </w:instrText>
      </w:r>
      <w:r w:rsidRPr="00A30192">
        <w:rPr>
          <w:rFonts w:ascii="Arial" w:hAnsi="Arial" w:cs="Arial"/>
        </w:rPr>
        <w:fldChar w:fldCharType="separate"/>
      </w:r>
      <w:r w:rsidRPr="00A30192">
        <w:rPr>
          <w:rFonts w:ascii="Arial" w:hAnsi="Arial" w:cs="Arial"/>
          <w:noProof/>
        </w:rPr>
        <w:t>7</w:t>
      </w:r>
      <w:r w:rsidRPr="00A30192">
        <w:rPr>
          <w:rFonts w:ascii="Arial" w:hAnsi="Arial" w:cs="Arial"/>
        </w:rPr>
        <w:fldChar w:fldCharType="end"/>
      </w:r>
      <w:r w:rsidRPr="00A30192">
        <w:rPr>
          <w:rFonts w:ascii="Arial" w:eastAsia="Times New Roman" w:hAnsi="Arial" w:cs="Arial"/>
        </w:rPr>
        <w:t>: Trend analysis</w:t>
      </w:r>
      <w:bookmarkEnd w:id="11"/>
    </w:p>
    <w:p w14:paraId="54D3C955" w14:textId="1B43CFA1" w:rsidR="00542C3D" w:rsidRPr="00A30192" w:rsidRDefault="0058588E" w:rsidP="003B5052">
      <w:pPr>
        <w:spacing w:line="360" w:lineRule="auto"/>
        <w:jc w:val="both"/>
        <w:rPr>
          <w:rFonts w:ascii="Arial" w:eastAsia="Times New Roman" w:hAnsi="Arial" w:cs="Arial"/>
        </w:rPr>
      </w:pPr>
      <w:r w:rsidRPr="00A30192">
        <w:rPr>
          <w:rFonts w:ascii="Arial" w:eastAsia="Times New Roman" w:hAnsi="Arial" w:cs="Arial"/>
        </w:rPr>
        <w:t xml:space="preserve">The three-year outlook shows a very evident 2-part story. In 20232024, all the indexes of profitability declined: NII decreased by 7.7 percent, total income by 3. 4 percent, PBT by 20. 4 percent, ROE by 350 bp and EPS by 17. 1 percent. The three forces converged simultaneously - compression of 27 basis points on NIM, operating costs went up 7.2 and impairment charge went up 42 to 431m. This turnaround started on a broad-based </w:t>
      </w:r>
      <w:proofErr w:type="gramStart"/>
      <w:r w:rsidRPr="00A30192">
        <w:rPr>
          <w:rFonts w:ascii="Arial" w:eastAsia="Times New Roman" w:hAnsi="Arial" w:cs="Arial"/>
        </w:rPr>
        <w:t>twenty four</w:t>
      </w:r>
      <w:proofErr w:type="gramEnd"/>
      <w:r w:rsidRPr="00A30192">
        <w:rPr>
          <w:rFonts w:ascii="Arial" w:eastAsia="Times New Roman" w:hAnsi="Arial" w:cs="Arial"/>
        </w:rPr>
        <w:t xml:space="preserve"> twenty five basis: NII up by 7.8 percent, total income up by 7.9 percent, PBT up by 11.5 percent and cost growth slowed down to 3.1 percent. </w:t>
      </w:r>
    </w:p>
    <w:p w14:paraId="5BDFB318" w14:textId="77777777" w:rsidR="00542C3D" w:rsidRPr="00A30192" w:rsidRDefault="0058588E" w:rsidP="003B5052">
      <w:pPr>
        <w:spacing w:line="360" w:lineRule="auto"/>
        <w:jc w:val="both"/>
        <w:rPr>
          <w:rFonts w:ascii="Arial" w:eastAsia="Times New Roman" w:hAnsi="Arial" w:cs="Arial"/>
          <w:b/>
          <w:bCs/>
        </w:rPr>
      </w:pPr>
      <w:r w:rsidRPr="00A30192">
        <w:rPr>
          <w:rFonts w:ascii="Arial" w:eastAsia="Times New Roman" w:hAnsi="Arial" w:cs="Arial"/>
          <w:b/>
          <w:bCs/>
        </w:rPr>
        <w:t>Benchmarking</w:t>
      </w:r>
    </w:p>
    <w:p w14:paraId="2FE68B2B" w14:textId="77777777" w:rsidR="00542C3D" w:rsidRPr="00A30192" w:rsidRDefault="0058588E" w:rsidP="0058588E">
      <w:pPr>
        <w:spacing w:line="360" w:lineRule="auto"/>
        <w:jc w:val="center"/>
        <w:rPr>
          <w:rFonts w:ascii="Arial" w:eastAsia="Times New Roman" w:hAnsi="Arial" w:cs="Arial"/>
        </w:rPr>
      </w:pPr>
      <w:r w:rsidRPr="00A30192">
        <w:rPr>
          <w:rFonts w:ascii="Arial" w:eastAsia="Times New Roman" w:hAnsi="Arial" w:cs="Arial"/>
          <w:noProof/>
        </w:rPr>
        <w:drawing>
          <wp:inline distT="0" distB="0" distL="0" distR="0" wp14:anchorId="3D8F91F0" wp14:editId="47DE685F">
            <wp:extent cx="5731510" cy="112585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731510" cy="1125855"/>
                    </a:xfrm>
                    <a:prstGeom prst="rect">
                      <a:avLst/>
                    </a:prstGeom>
                    <a:ln/>
                  </pic:spPr>
                </pic:pic>
              </a:graphicData>
            </a:graphic>
          </wp:inline>
        </w:drawing>
      </w:r>
    </w:p>
    <w:p w14:paraId="1A562618" w14:textId="4C63BB3E" w:rsidR="0058588E" w:rsidRPr="00A30192" w:rsidRDefault="0058588E" w:rsidP="0058588E">
      <w:pPr>
        <w:pStyle w:val="Caption"/>
        <w:jc w:val="center"/>
        <w:rPr>
          <w:rFonts w:ascii="Arial" w:hAnsi="Arial" w:cs="Arial"/>
        </w:rPr>
      </w:pPr>
      <w:bookmarkStart w:id="12" w:name="_Toc238053553"/>
      <w:r w:rsidRPr="00A30192">
        <w:rPr>
          <w:rFonts w:ascii="Arial" w:hAnsi="Arial" w:cs="Arial"/>
        </w:rPr>
        <w:t xml:space="preserve">Figure </w:t>
      </w:r>
      <w:r w:rsidRPr="00A30192">
        <w:rPr>
          <w:rFonts w:ascii="Arial" w:hAnsi="Arial" w:cs="Arial"/>
        </w:rPr>
        <w:fldChar w:fldCharType="begin"/>
      </w:r>
      <w:r w:rsidRPr="00A30192">
        <w:rPr>
          <w:rFonts w:ascii="Arial" w:hAnsi="Arial" w:cs="Arial"/>
        </w:rPr>
        <w:instrText xml:space="preserve"> SEQ Figure \* ARABIC </w:instrText>
      </w:r>
      <w:r w:rsidRPr="00A30192">
        <w:rPr>
          <w:rFonts w:ascii="Arial" w:hAnsi="Arial" w:cs="Arial"/>
        </w:rPr>
        <w:fldChar w:fldCharType="separate"/>
      </w:r>
      <w:r w:rsidRPr="00A30192">
        <w:rPr>
          <w:rFonts w:ascii="Arial" w:hAnsi="Arial" w:cs="Arial"/>
          <w:noProof/>
        </w:rPr>
        <w:t>8</w:t>
      </w:r>
      <w:r w:rsidRPr="00A30192">
        <w:rPr>
          <w:rFonts w:ascii="Arial" w:hAnsi="Arial" w:cs="Arial"/>
        </w:rPr>
        <w:fldChar w:fldCharType="end"/>
      </w:r>
      <w:r w:rsidRPr="00A30192">
        <w:rPr>
          <w:rFonts w:ascii="Arial" w:eastAsia="Times New Roman" w:hAnsi="Arial" w:cs="Arial"/>
        </w:rPr>
        <w:t xml:space="preserve"> Benchmarking</w:t>
      </w:r>
      <w:bookmarkEnd w:id="12"/>
    </w:p>
    <w:p w14:paraId="50DCC575" w14:textId="13810B2A" w:rsidR="00542C3D" w:rsidRPr="00A30192" w:rsidRDefault="0058588E" w:rsidP="003B5052">
      <w:pPr>
        <w:spacing w:line="360" w:lineRule="auto"/>
        <w:jc w:val="both"/>
        <w:rPr>
          <w:rFonts w:ascii="Arial" w:eastAsia="Times New Roman" w:hAnsi="Arial" w:cs="Arial"/>
        </w:rPr>
      </w:pPr>
      <w:r w:rsidRPr="00A30192">
        <w:rPr>
          <w:rFonts w:ascii="Arial" w:eastAsia="Times New Roman" w:hAnsi="Arial" w:cs="Arial"/>
        </w:rPr>
        <w:t xml:space="preserve">The LBG </w:t>
      </w:r>
      <w:proofErr w:type="spellStart"/>
      <w:r w:rsidRPr="00A30192">
        <w:rPr>
          <w:rFonts w:ascii="Arial" w:eastAsia="Times New Roman" w:hAnsi="Arial" w:cs="Arial"/>
        </w:rPr>
        <w:t>RoTE</w:t>
      </w:r>
      <w:proofErr w:type="spellEnd"/>
      <w:r w:rsidRPr="00A30192">
        <w:rPr>
          <w:rFonts w:ascii="Arial" w:eastAsia="Times New Roman" w:hAnsi="Arial" w:cs="Arial"/>
        </w:rPr>
        <w:t xml:space="preserve"> in 2025 of 17.835 was higher than the peer group of 11.8% and the trend is observed over the three years of review of LBG own disclosures remuneration compared to the peer group of LBG own disclosures remuneration. Banking NIM </w:t>
      </w:r>
      <w:r w:rsidRPr="00A30192">
        <w:rPr>
          <w:rFonts w:ascii="Arial" w:eastAsia="Times New Roman" w:hAnsi="Arial" w:cs="Arial"/>
        </w:rPr>
        <w:lastRenderedPageBreak/>
        <w:t xml:space="preserve">averaging 3.06% is positive compared to that of Barclays and NatWest (approximately 2.8%), attributed to the fact that LBG has a large retail deposits base and structural position of hedges (Lloyds banking group, 2024). The cost to income percentage of 58.6 is still higher than that of NatWest at approximately 55 and HSBC at approximately 47 and is the most challenging area of relatively poor performance and the primary driving force behind the 2026 below 50% target. </w:t>
      </w:r>
    </w:p>
    <w:p w14:paraId="6CD35E94" w14:textId="50E129E0" w:rsidR="003B5052" w:rsidRPr="00A30192" w:rsidRDefault="003B5052" w:rsidP="003B5052">
      <w:pPr>
        <w:spacing w:line="360" w:lineRule="auto"/>
        <w:jc w:val="both"/>
        <w:rPr>
          <w:rFonts w:ascii="Arial" w:hAnsi="Arial" w:cs="Arial"/>
        </w:rPr>
      </w:pPr>
      <w:r w:rsidRPr="00A30192">
        <w:rPr>
          <w:rFonts w:ascii="Arial" w:hAnsi="Arial" w:cs="Arial"/>
        </w:rPr>
        <w:t xml:space="preserve">Profitability: The NII had been depressed due to NIM compression (3.22%2.95) and loss of the total income which depreciated the </w:t>
      </w:r>
      <w:proofErr w:type="spellStart"/>
      <w:r w:rsidRPr="00A30192">
        <w:rPr>
          <w:rFonts w:ascii="Arial" w:hAnsi="Arial" w:cs="Arial"/>
        </w:rPr>
        <w:t>cost:income</w:t>
      </w:r>
      <w:proofErr w:type="spellEnd"/>
      <w:r w:rsidRPr="00A30192">
        <w:rPr>
          <w:rFonts w:ascii="Arial" w:hAnsi="Arial" w:cs="Arial"/>
        </w:rPr>
        <w:t xml:space="preserve"> to 60.4, declining PAT and pulled </w:t>
      </w:r>
      <w:proofErr w:type="spellStart"/>
      <w:r w:rsidRPr="00A30192">
        <w:rPr>
          <w:rFonts w:ascii="Arial" w:hAnsi="Arial" w:cs="Arial"/>
        </w:rPr>
        <w:t>RoTE</w:t>
      </w:r>
      <w:proofErr w:type="spellEnd"/>
      <w:r w:rsidRPr="00A30192">
        <w:rPr>
          <w:rFonts w:ascii="Arial" w:hAnsi="Arial" w:cs="Arial"/>
        </w:rPr>
        <w:t xml:space="preserve"> to 12.3. All profitability ratios were a result of the same cause. The 3-year structural hedge unravel (NIM +11bp) inflow over the </w:t>
      </w:r>
      <w:proofErr w:type="spellStart"/>
      <w:r w:rsidRPr="00A30192">
        <w:rPr>
          <w:rFonts w:ascii="Arial" w:hAnsi="Arial" w:cs="Arial"/>
        </w:rPr>
        <w:t>blocklyster</w:t>
      </w:r>
      <w:proofErr w:type="spellEnd"/>
      <w:r w:rsidRPr="00A30192">
        <w:rPr>
          <w:rFonts w:ascii="Arial" w:hAnsi="Arial" w:cs="Arial"/>
        </w:rPr>
        <w:t xml:space="preserve"> - more NII was being </w:t>
      </w:r>
      <w:proofErr w:type="spellStart"/>
      <w:r w:rsidRPr="00A30192">
        <w:rPr>
          <w:rFonts w:ascii="Arial" w:hAnsi="Arial" w:cs="Arial"/>
        </w:rPr>
        <w:t>cost:income</w:t>
      </w:r>
      <w:proofErr w:type="spellEnd"/>
      <w:r w:rsidRPr="00A30192">
        <w:rPr>
          <w:rFonts w:ascii="Arial" w:hAnsi="Arial" w:cs="Arial"/>
        </w:rPr>
        <w:t xml:space="preserve"> (58.6) was being PAT, finally settling down to </w:t>
      </w:r>
      <w:proofErr w:type="spellStart"/>
      <w:r w:rsidRPr="00A30192">
        <w:rPr>
          <w:rFonts w:ascii="Arial" w:hAnsi="Arial" w:cs="Arial"/>
        </w:rPr>
        <w:t>RoTE</w:t>
      </w:r>
      <w:proofErr w:type="spellEnd"/>
      <w:r w:rsidRPr="00A30192">
        <w:rPr>
          <w:rFonts w:ascii="Arial" w:hAnsi="Arial" w:cs="Arial"/>
        </w:rPr>
        <w:t>, which was 12.9 (as compared to 11.8 in the peer group).</w:t>
      </w:r>
    </w:p>
    <w:p w14:paraId="4E4D4209" w14:textId="7ADB79EB" w:rsidR="003B5052" w:rsidRPr="00A30192" w:rsidRDefault="003B5052" w:rsidP="003B5052">
      <w:pPr>
        <w:spacing w:line="360" w:lineRule="auto"/>
        <w:jc w:val="both"/>
        <w:rPr>
          <w:rFonts w:ascii="Arial" w:hAnsi="Arial" w:cs="Arial"/>
        </w:rPr>
      </w:pPr>
      <w:r w:rsidRPr="00A30192">
        <w:rPr>
          <w:rFonts w:ascii="Arial" w:hAnsi="Arial" w:cs="Arial"/>
        </w:rPr>
        <w:t>Liquidity: The LDR rising by 95 per cent to 97 per cent shows the growing loans in comparison to the deposits. Even though it is not more than 100, its course would lead to a shift in more reliance on wholesale financing, increased cost and lower future NIM - posing a direct challenge to profitability ratios.</w:t>
      </w:r>
    </w:p>
    <w:p w14:paraId="4FE31DAD" w14:textId="7632184F" w:rsidR="003B5052" w:rsidRPr="00A30192" w:rsidRDefault="003B5052" w:rsidP="003B5052">
      <w:pPr>
        <w:spacing w:line="360" w:lineRule="auto"/>
        <w:jc w:val="both"/>
        <w:rPr>
          <w:rFonts w:ascii="Arial" w:hAnsi="Arial" w:cs="Arial"/>
        </w:rPr>
      </w:pPr>
      <w:r w:rsidRPr="00A30192">
        <w:rPr>
          <w:rFonts w:ascii="Arial" w:hAnsi="Arial" w:cs="Arial"/>
        </w:rPr>
        <w:t>Solvency: CET1 is increasing to 14.2% in 2024 following less earnings occurs when buybacks buy back less capital than when it is normal. RWA increase (larger book: +4.9) in 2025 pushed CET1 to 14.0% - shows that growth in loans (which enhanced NII and profitability) at the same time used the regulatory capital.</w:t>
      </w:r>
    </w:p>
    <w:p w14:paraId="1050A2F0" w14:textId="07E84F2D" w:rsidR="003B5052" w:rsidRPr="00A30192" w:rsidRDefault="003B5052" w:rsidP="003B5052">
      <w:pPr>
        <w:spacing w:line="360" w:lineRule="auto"/>
        <w:jc w:val="both"/>
        <w:rPr>
          <w:rFonts w:ascii="Arial" w:hAnsi="Arial" w:cs="Arial"/>
        </w:rPr>
      </w:pPr>
      <w:r w:rsidRPr="00A30192">
        <w:rPr>
          <w:rFonts w:ascii="Arial" w:hAnsi="Arial" w:cs="Arial"/>
        </w:rPr>
        <w:t>Investor: EPS increased 11.1 percent even though the increase in the PAT was 6.3 percent as the buybacks decrease the number of shares sold in the market to 59, 790 million shares the denominator effect increased the returns on a per-share basis even more than the gains on profits.</w:t>
      </w:r>
    </w:p>
    <w:p w14:paraId="408FF30B" w14:textId="77777777" w:rsidR="00542C3D" w:rsidRPr="00A30192" w:rsidRDefault="0058588E" w:rsidP="003B5052">
      <w:pPr>
        <w:pStyle w:val="Heading1"/>
        <w:spacing w:line="360" w:lineRule="auto"/>
        <w:jc w:val="both"/>
        <w:rPr>
          <w:rFonts w:ascii="Arial" w:eastAsia="Times New Roman" w:hAnsi="Arial" w:cs="Arial"/>
          <w:b/>
          <w:bCs/>
          <w:color w:val="000000"/>
          <w:sz w:val="24"/>
          <w:szCs w:val="24"/>
        </w:rPr>
      </w:pPr>
      <w:bookmarkStart w:id="13" w:name="_26xuv4cl3ac9" w:colFirst="0" w:colLast="0"/>
      <w:bookmarkEnd w:id="13"/>
      <w:r w:rsidRPr="00A30192">
        <w:rPr>
          <w:rFonts w:ascii="Arial" w:eastAsia="Times New Roman" w:hAnsi="Arial" w:cs="Arial"/>
          <w:b/>
          <w:bCs/>
          <w:color w:val="000000"/>
          <w:sz w:val="24"/>
          <w:szCs w:val="24"/>
        </w:rPr>
        <w:lastRenderedPageBreak/>
        <w:t>5. Capital Structure Management</w:t>
      </w:r>
    </w:p>
    <w:p w14:paraId="6D6BC928" w14:textId="77777777" w:rsidR="00542C3D" w:rsidRPr="00A30192" w:rsidRDefault="0058588E" w:rsidP="0058588E">
      <w:pPr>
        <w:spacing w:line="360" w:lineRule="auto"/>
        <w:jc w:val="center"/>
        <w:rPr>
          <w:rFonts w:ascii="Arial" w:eastAsia="Times New Roman" w:hAnsi="Arial" w:cs="Arial"/>
        </w:rPr>
      </w:pPr>
      <w:r w:rsidRPr="00A30192">
        <w:rPr>
          <w:rFonts w:ascii="Arial" w:eastAsia="Times New Roman" w:hAnsi="Arial" w:cs="Arial"/>
          <w:noProof/>
        </w:rPr>
        <w:drawing>
          <wp:inline distT="0" distB="0" distL="0" distR="0" wp14:anchorId="3A56E997" wp14:editId="334C20F8">
            <wp:extent cx="5731510" cy="439674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731510" cy="4396740"/>
                    </a:xfrm>
                    <a:prstGeom prst="rect">
                      <a:avLst/>
                    </a:prstGeom>
                    <a:ln/>
                  </pic:spPr>
                </pic:pic>
              </a:graphicData>
            </a:graphic>
          </wp:inline>
        </w:drawing>
      </w:r>
    </w:p>
    <w:p w14:paraId="464A6D64" w14:textId="1549A28D" w:rsidR="0058588E" w:rsidRPr="00A30192" w:rsidRDefault="0058588E" w:rsidP="0058588E">
      <w:pPr>
        <w:pStyle w:val="Caption"/>
        <w:jc w:val="center"/>
        <w:rPr>
          <w:rFonts w:ascii="Arial" w:hAnsi="Arial" w:cs="Arial"/>
        </w:rPr>
      </w:pPr>
      <w:bookmarkStart w:id="14" w:name="_Toc238053554"/>
      <w:r w:rsidRPr="00A30192">
        <w:rPr>
          <w:rFonts w:ascii="Arial" w:hAnsi="Arial" w:cs="Arial"/>
        </w:rPr>
        <w:t xml:space="preserve">Figure </w:t>
      </w:r>
      <w:r w:rsidRPr="00A30192">
        <w:rPr>
          <w:rFonts w:ascii="Arial" w:hAnsi="Arial" w:cs="Arial"/>
        </w:rPr>
        <w:fldChar w:fldCharType="begin"/>
      </w:r>
      <w:r w:rsidRPr="00A30192">
        <w:rPr>
          <w:rFonts w:ascii="Arial" w:hAnsi="Arial" w:cs="Arial"/>
        </w:rPr>
        <w:instrText xml:space="preserve"> SEQ Figure \* ARABIC </w:instrText>
      </w:r>
      <w:r w:rsidRPr="00A30192">
        <w:rPr>
          <w:rFonts w:ascii="Arial" w:hAnsi="Arial" w:cs="Arial"/>
        </w:rPr>
        <w:fldChar w:fldCharType="separate"/>
      </w:r>
      <w:r w:rsidRPr="00A30192">
        <w:rPr>
          <w:rFonts w:ascii="Arial" w:hAnsi="Arial" w:cs="Arial"/>
          <w:noProof/>
        </w:rPr>
        <w:t>9</w:t>
      </w:r>
      <w:r w:rsidRPr="00A30192">
        <w:rPr>
          <w:rFonts w:ascii="Arial" w:hAnsi="Arial" w:cs="Arial"/>
        </w:rPr>
        <w:fldChar w:fldCharType="end"/>
      </w:r>
      <w:r w:rsidRPr="00A30192">
        <w:rPr>
          <w:rFonts w:ascii="Arial" w:eastAsia="Times New Roman" w:hAnsi="Arial" w:cs="Arial"/>
        </w:rPr>
        <w:t>: Capital structure management and WCM</w:t>
      </w:r>
      <w:bookmarkEnd w:id="14"/>
    </w:p>
    <w:p w14:paraId="33707B95" w14:textId="589607A9" w:rsidR="00542C3D" w:rsidRPr="00A30192" w:rsidRDefault="0058588E" w:rsidP="003B5052">
      <w:pPr>
        <w:spacing w:line="360" w:lineRule="auto"/>
        <w:jc w:val="both"/>
        <w:rPr>
          <w:rFonts w:ascii="Arial" w:eastAsia="Times New Roman" w:hAnsi="Arial" w:cs="Arial"/>
        </w:rPr>
      </w:pPr>
      <w:r w:rsidRPr="00A30192">
        <w:rPr>
          <w:rFonts w:ascii="Arial" w:eastAsia="Times New Roman" w:hAnsi="Arial" w:cs="Arial"/>
        </w:rPr>
        <w:t xml:space="preserve">The LBG capital management has a CET1 ratio of 13.0-14.0 which will balance between regulation compliance, business investment and the maximum sustainable distributions. The capital hierarchy includes ordinary equity, Additional Tier 1 perpetual instruments (around 5.9 billion at year-end 2025), and Tier 2 subordinated debt (around 9.9 billion), and in line with the Basel III requirements. There are three interacting distributions mechanisms, one of which is the progressive policy of ordinary dividends (annual growth of 15 percent) and another is the share </w:t>
      </w:r>
      <w:proofErr w:type="spellStart"/>
      <w:r w:rsidRPr="00A30192">
        <w:rPr>
          <w:rFonts w:ascii="Arial" w:eastAsia="Times New Roman" w:hAnsi="Arial" w:cs="Arial"/>
        </w:rPr>
        <w:t>buy back</w:t>
      </w:r>
      <w:proofErr w:type="spellEnd"/>
      <w:r w:rsidRPr="00A30192">
        <w:rPr>
          <w:rFonts w:ascii="Arial" w:eastAsia="Times New Roman" w:hAnsi="Arial" w:cs="Arial"/>
        </w:rPr>
        <w:t xml:space="preserve"> (1.75 billion a year) programme and the management of the AT1 instruments through issuance and redemption (</w:t>
      </w:r>
      <w:proofErr w:type="spellStart"/>
      <w:r w:rsidRPr="00A30192">
        <w:rPr>
          <w:rFonts w:ascii="Arial" w:eastAsia="Times New Roman" w:hAnsi="Arial" w:cs="Arial"/>
        </w:rPr>
        <w:t>lloydsbankinggroup</w:t>
      </w:r>
      <w:proofErr w:type="spellEnd"/>
      <w:r w:rsidRPr="00A30192">
        <w:rPr>
          <w:rFonts w:ascii="Arial" w:eastAsia="Times New Roman" w:hAnsi="Arial" w:cs="Arial"/>
        </w:rPr>
        <w:t xml:space="preserve">, 2024). With 147 basis points of organic capital generation in the year 2025, it was able to make 3.71 billion of distributions at a CET1 ratio of 14.0. The capital returns will continue to be planned as the Board wants to pay off to around 13.0% CET1 by end-2026. </w:t>
      </w:r>
    </w:p>
    <w:p w14:paraId="7D41E3EF" w14:textId="77777777" w:rsidR="00542C3D" w:rsidRPr="00A30192" w:rsidRDefault="0058588E" w:rsidP="003B5052">
      <w:pPr>
        <w:pStyle w:val="Heading1"/>
        <w:spacing w:line="360" w:lineRule="auto"/>
        <w:jc w:val="both"/>
        <w:rPr>
          <w:rFonts w:ascii="Arial" w:eastAsia="Times New Roman" w:hAnsi="Arial" w:cs="Arial"/>
          <w:b/>
          <w:bCs/>
          <w:color w:val="000000"/>
          <w:sz w:val="24"/>
          <w:szCs w:val="24"/>
        </w:rPr>
      </w:pPr>
      <w:bookmarkStart w:id="15" w:name="_c5y1hv7uh8p0" w:colFirst="0" w:colLast="0"/>
      <w:bookmarkEnd w:id="15"/>
      <w:r w:rsidRPr="00A30192">
        <w:rPr>
          <w:rFonts w:ascii="Arial" w:eastAsia="Times New Roman" w:hAnsi="Arial" w:cs="Arial"/>
          <w:b/>
          <w:bCs/>
          <w:color w:val="000000"/>
          <w:sz w:val="24"/>
          <w:szCs w:val="24"/>
        </w:rPr>
        <w:lastRenderedPageBreak/>
        <w:t>6. Working Capital Management</w:t>
      </w:r>
    </w:p>
    <w:p w14:paraId="63D23BBD" w14:textId="26C1C685" w:rsidR="00542C3D" w:rsidRPr="00A30192" w:rsidRDefault="0058588E" w:rsidP="003B5052">
      <w:pPr>
        <w:spacing w:line="360" w:lineRule="auto"/>
        <w:jc w:val="both"/>
        <w:rPr>
          <w:rFonts w:ascii="Arial" w:eastAsia="Times New Roman" w:hAnsi="Arial" w:cs="Arial"/>
        </w:rPr>
      </w:pPr>
      <w:r w:rsidRPr="00A30192">
        <w:rPr>
          <w:rFonts w:ascii="Arial" w:eastAsia="Times New Roman" w:hAnsi="Arial" w:cs="Arial"/>
        </w:rPr>
        <w:t xml:space="preserve">The management of working capital within the banking environment entails liquidity and provision of short-term funding and mobilisation of deposits and structural positioning of interest rates. The targets of LBG are to have a loan-to-deposit ratio of less than 100, LCR of more than 100, NSFR of more than 100 and to have structural hedge to insure NIM against the impact of the rate cycles. In the </w:t>
      </w:r>
      <w:proofErr w:type="spellStart"/>
      <w:r w:rsidRPr="00A30192">
        <w:rPr>
          <w:rFonts w:ascii="Arial" w:eastAsia="Times New Roman" w:hAnsi="Arial" w:cs="Arial"/>
        </w:rPr>
        <w:t>break up</w:t>
      </w:r>
      <w:proofErr w:type="spellEnd"/>
      <w:r w:rsidRPr="00A30192">
        <w:rPr>
          <w:rFonts w:ascii="Arial" w:eastAsia="Times New Roman" w:hAnsi="Arial" w:cs="Arial"/>
        </w:rPr>
        <w:t xml:space="preserve"> of the 5.5 and 8.5 billion retail savings and Commercial Banking categories respectively, the dependable, cost effective source of funds, the retail deposit franchise, makes a break up of the 496.5 billion, 13.8 billion retail deposits increase in 2025. The structural hedge, which would construct approximately £1 billion of incremental NII in 2025 as the investments made to achieve this were unable to then fail and pay their current value when reinvested at new current rates, is the key NIM protection. An excess of deposits of more than 15.0 billion compared to loans is a guarantee that the lending book is not reliant on deep-rooted wholesale financing</w:t>
      </w:r>
      <w:r w:rsidR="00593693" w:rsidRPr="00A30192">
        <w:rPr>
          <w:rFonts w:ascii="Arial" w:eastAsia="Times New Roman" w:hAnsi="Arial" w:cs="Arial"/>
        </w:rPr>
        <w:t xml:space="preserve"> </w:t>
      </w:r>
      <w:r w:rsidRPr="00A30192">
        <w:rPr>
          <w:rFonts w:ascii="Arial" w:eastAsia="Times New Roman" w:hAnsi="Arial" w:cs="Arial"/>
        </w:rPr>
        <w:t>(ONS, 2025).</w:t>
      </w:r>
    </w:p>
    <w:p w14:paraId="134A9B81" w14:textId="77777777" w:rsidR="00542C3D" w:rsidRPr="00A30192" w:rsidRDefault="0058588E" w:rsidP="003B5052">
      <w:pPr>
        <w:pStyle w:val="Heading1"/>
        <w:spacing w:line="360" w:lineRule="auto"/>
        <w:jc w:val="both"/>
        <w:rPr>
          <w:rFonts w:ascii="Arial" w:eastAsia="Times New Roman" w:hAnsi="Arial" w:cs="Arial"/>
          <w:b/>
          <w:bCs/>
          <w:color w:val="000000"/>
          <w:sz w:val="24"/>
          <w:szCs w:val="24"/>
        </w:rPr>
      </w:pPr>
      <w:bookmarkStart w:id="16" w:name="_hignso56j6dj" w:colFirst="0" w:colLast="0"/>
      <w:bookmarkEnd w:id="16"/>
      <w:r w:rsidRPr="00A30192">
        <w:rPr>
          <w:rFonts w:ascii="Arial" w:eastAsia="Times New Roman" w:hAnsi="Arial" w:cs="Arial"/>
          <w:b/>
          <w:bCs/>
          <w:color w:val="000000"/>
          <w:sz w:val="24"/>
          <w:szCs w:val="24"/>
        </w:rPr>
        <w:t>7. Conclusion and Recommendations</w:t>
      </w:r>
    </w:p>
    <w:p w14:paraId="303C4F2C" w14:textId="77777777" w:rsidR="00542C3D" w:rsidRPr="00A30192" w:rsidRDefault="0058588E" w:rsidP="003B5052">
      <w:pPr>
        <w:spacing w:line="360" w:lineRule="auto"/>
        <w:jc w:val="both"/>
        <w:rPr>
          <w:rFonts w:ascii="Arial" w:eastAsia="Times New Roman" w:hAnsi="Arial" w:cs="Arial"/>
        </w:rPr>
      </w:pPr>
      <w:r w:rsidRPr="00A30192">
        <w:rPr>
          <w:rFonts w:ascii="Arial" w:eastAsia="Times New Roman" w:hAnsi="Arial" w:cs="Arial"/>
        </w:rPr>
        <w:t xml:space="preserve">The three-year financial trend of LBG validates an investment case based on income recovery due to structural hedge reinvestment, a strong and expanding deposit franchise, steady capital strength which is more than what is required by the regulatory requirements and a progressive and increasing distribution programme. Corporate governance effectiveness has been assessed, and the board level performance has direct implications in supporting credit quality and the shareholder value in the long term. The outstanding motor finance liability is the primary near term risk as such that the provision of the 1,950 million may not suffice as per the scheme of the FCA. The biggest operation gap between the </w:t>
      </w:r>
      <w:proofErr w:type="spellStart"/>
      <w:r w:rsidRPr="00A30192">
        <w:rPr>
          <w:rFonts w:ascii="Arial" w:eastAsia="Times New Roman" w:hAnsi="Arial" w:cs="Arial"/>
        </w:rPr>
        <w:t>cost:income</w:t>
      </w:r>
      <w:proofErr w:type="spellEnd"/>
      <w:r w:rsidRPr="00A30192">
        <w:rPr>
          <w:rFonts w:ascii="Arial" w:eastAsia="Times New Roman" w:hAnsi="Arial" w:cs="Arial"/>
        </w:rPr>
        <w:t xml:space="preserve"> ratio and the best-in-class is the most significant medium-term operation challenge.</w:t>
      </w:r>
    </w:p>
    <w:p w14:paraId="14B62460" w14:textId="72E9B541" w:rsidR="00542C3D" w:rsidRPr="00A30192" w:rsidRDefault="0058588E" w:rsidP="003B5052">
      <w:pPr>
        <w:spacing w:line="360" w:lineRule="auto"/>
        <w:jc w:val="both"/>
        <w:rPr>
          <w:rFonts w:ascii="Arial" w:eastAsia="Times New Roman" w:hAnsi="Arial" w:cs="Arial"/>
        </w:rPr>
      </w:pPr>
      <w:r w:rsidRPr="00A30192">
        <w:rPr>
          <w:rFonts w:ascii="Arial" w:eastAsia="Times New Roman" w:hAnsi="Arial" w:cs="Arial"/>
        </w:rPr>
        <w:t xml:space="preserve">There are three areas which are suggested that the prospective client can begin with as far as a moderate equity position is concerned. First, FCA motor finance scheme announcement planned in March 2026 should be thought of as a binary catalyst, which will either confirm adequate provision sufficiency and result in the re-rating acceleration, or additional charges. Second, the structural hedge cushions the NII even on the basis of multi years when the Bank rate is declining with which the </w:t>
      </w:r>
      <w:r w:rsidRPr="00A30192">
        <w:rPr>
          <w:rFonts w:ascii="Arial" w:eastAsia="Times New Roman" w:hAnsi="Arial" w:cs="Arial"/>
        </w:rPr>
        <w:lastRenderedPageBreak/>
        <w:t xml:space="preserve">earnings profile predictability is not straightforward as would be in a simple rate sensitivity analysis. </w:t>
      </w:r>
    </w:p>
    <w:p w14:paraId="2A9E451A" w14:textId="77777777" w:rsidR="00542C3D" w:rsidRPr="00A30192" w:rsidRDefault="0058588E" w:rsidP="003B5052">
      <w:pPr>
        <w:spacing w:line="360" w:lineRule="auto"/>
        <w:jc w:val="both"/>
        <w:rPr>
          <w:rFonts w:ascii="Arial" w:eastAsia="Times New Roman" w:hAnsi="Arial" w:cs="Arial"/>
        </w:rPr>
      </w:pPr>
      <w:r w:rsidRPr="00A30192">
        <w:rPr>
          <w:rFonts w:ascii="Arial" w:hAnsi="Arial" w:cs="Arial"/>
        </w:rPr>
        <w:br w:type="page"/>
      </w:r>
    </w:p>
    <w:p w14:paraId="14CDC233" w14:textId="77777777" w:rsidR="00542C3D" w:rsidRPr="003B5052" w:rsidRDefault="0058588E" w:rsidP="003B5052">
      <w:pPr>
        <w:pStyle w:val="Heading1"/>
        <w:spacing w:line="360" w:lineRule="auto"/>
        <w:jc w:val="both"/>
        <w:rPr>
          <w:rFonts w:ascii="Times New Roman" w:eastAsia="Times New Roman" w:hAnsi="Times New Roman" w:cs="Times New Roman"/>
          <w:b/>
          <w:bCs/>
          <w:color w:val="000000"/>
          <w:sz w:val="24"/>
          <w:szCs w:val="24"/>
        </w:rPr>
      </w:pPr>
      <w:bookmarkStart w:id="17" w:name="_uj8b23bq4u6s" w:colFirst="0" w:colLast="0"/>
      <w:bookmarkEnd w:id="17"/>
      <w:r w:rsidRPr="003B5052">
        <w:rPr>
          <w:rFonts w:ascii="Times New Roman" w:eastAsia="Times New Roman" w:hAnsi="Times New Roman" w:cs="Times New Roman"/>
          <w:b/>
          <w:bCs/>
          <w:color w:val="000000"/>
          <w:sz w:val="24"/>
          <w:szCs w:val="24"/>
        </w:rPr>
        <w:lastRenderedPageBreak/>
        <w:t>References</w:t>
      </w:r>
    </w:p>
    <w:p w14:paraId="349FEA81" w14:textId="2DF4C216" w:rsidR="00542C3D" w:rsidRPr="003B5052" w:rsidRDefault="0058588E" w:rsidP="003B5052">
      <w:pPr>
        <w:pBdr>
          <w:top w:val="nil"/>
          <w:left w:val="nil"/>
          <w:bottom w:val="nil"/>
          <w:right w:val="nil"/>
          <w:between w:val="nil"/>
        </w:pBdr>
        <w:spacing w:after="0" w:line="360" w:lineRule="auto"/>
        <w:ind w:left="720" w:hanging="720"/>
        <w:jc w:val="both"/>
        <w:rPr>
          <w:rFonts w:ascii="Times New Roman" w:eastAsia="Times New Roman" w:hAnsi="Times New Roman" w:cs="Times New Roman"/>
          <w:color w:val="000000"/>
        </w:rPr>
      </w:pPr>
      <w:r w:rsidRPr="003B5052">
        <w:rPr>
          <w:rFonts w:ascii="Times New Roman" w:eastAsia="Times New Roman" w:hAnsi="Times New Roman" w:cs="Times New Roman"/>
          <w:color w:val="000000"/>
        </w:rPr>
        <w:t xml:space="preserve">Bank of England. (2025). Bank rate reduced to 4.25% - may 2025. In </w:t>
      </w:r>
      <w:r w:rsidRPr="003B5052">
        <w:rPr>
          <w:rFonts w:ascii="Times New Roman" w:eastAsia="Times New Roman" w:hAnsi="Times New Roman" w:cs="Times New Roman"/>
          <w:i/>
          <w:iCs/>
          <w:color w:val="000000"/>
        </w:rPr>
        <w:t>Bankofengland.co.uk</w:t>
      </w:r>
      <w:r w:rsidRPr="003B5052">
        <w:rPr>
          <w:rFonts w:ascii="Times New Roman" w:eastAsia="Times New Roman" w:hAnsi="Times New Roman" w:cs="Times New Roman"/>
          <w:color w:val="000000"/>
        </w:rPr>
        <w:t xml:space="preserve">. </w:t>
      </w:r>
      <w:hyperlink r:id="rId19" w:history="1">
        <w:r w:rsidRPr="00A30192">
          <w:rPr>
            <w:rStyle w:val="Hyperlink"/>
            <w:rFonts w:ascii="Times New Roman" w:eastAsia="Times New Roman" w:hAnsi="Times New Roman" w:cs="Times New Roman"/>
          </w:rPr>
          <w:t>https://www.bankofengland.co.uk/monetary-policy-summary-and-minutes/2025/may-2025</w:t>
        </w:r>
      </w:hyperlink>
    </w:p>
    <w:p w14:paraId="75F437BE" w14:textId="77777777" w:rsidR="00542C3D" w:rsidRPr="003B5052" w:rsidRDefault="0058588E" w:rsidP="003B5052">
      <w:pPr>
        <w:pBdr>
          <w:top w:val="nil"/>
          <w:left w:val="nil"/>
          <w:bottom w:val="nil"/>
          <w:right w:val="nil"/>
          <w:between w:val="nil"/>
        </w:pBdr>
        <w:spacing w:after="0" w:line="360" w:lineRule="auto"/>
        <w:ind w:left="720" w:hanging="720"/>
        <w:jc w:val="both"/>
        <w:rPr>
          <w:rFonts w:ascii="Times New Roman" w:eastAsia="Times New Roman" w:hAnsi="Times New Roman" w:cs="Times New Roman"/>
          <w:color w:val="000000"/>
        </w:rPr>
      </w:pPr>
      <w:proofErr w:type="spellStart"/>
      <w:r w:rsidRPr="003B5052">
        <w:rPr>
          <w:rFonts w:ascii="Times New Roman" w:eastAsia="Times New Roman" w:hAnsi="Times New Roman" w:cs="Times New Roman"/>
          <w:color w:val="000000"/>
        </w:rPr>
        <w:t>Bankofengland</w:t>
      </w:r>
      <w:proofErr w:type="spellEnd"/>
      <w:r w:rsidRPr="003B5052">
        <w:rPr>
          <w:rFonts w:ascii="Times New Roman" w:eastAsia="Times New Roman" w:hAnsi="Times New Roman" w:cs="Times New Roman"/>
          <w:color w:val="000000"/>
        </w:rPr>
        <w:t xml:space="preserve">. (2025). Financial stability report - </w:t>
      </w:r>
      <w:proofErr w:type="spellStart"/>
      <w:r w:rsidRPr="003B5052">
        <w:rPr>
          <w:rFonts w:ascii="Times New Roman" w:eastAsia="Times New Roman" w:hAnsi="Times New Roman" w:cs="Times New Roman"/>
          <w:color w:val="000000"/>
        </w:rPr>
        <w:t>july</w:t>
      </w:r>
      <w:proofErr w:type="spellEnd"/>
      <w:r w:rsidRPr="003B5052">
        <w:rPr>
          <w:rFonts w:ascii="Times New Roman" w:eastAsia="Times New Roman" w:hAnsi="Times New Roman" w:cs="Times New Roman"/>
          <w:color w:val="000000"/>
        </w:rPr>
        <w:t xml:space="preserve"> 2025. In </w:t>
      </w:r>
      <w:r w:rsidRPr="003B5052">
        <w:rPr>
          <w:rFonts w:ascii="Times New Roman" w:eastAsia="Times New Roman" w:hAnsi="Times New Roman" w:cs="Times New Roman"/>
          <w:i/>
          <w:iCs/>
          <w:color w:val="000000"/>
        </w:rPr>
        <w:t>Bankofengland.co.uk</w:t>
      </w:r>
      <w:r w:rsidRPr="003B5052">
        <w:rPr>
          <w:rFonts w:ascii="Times New Roman" w:eastAsia="Times New Roman" w:hAnsi="Times New Roman" w:cs="Times New Roman"/>
          <w:color w:val="000000"/>
        </w:rPr>
        <w:t>. https://www.bankofengland.co.uk/financial-stability-report/2025/july-2025</w:t>
      </w:r>
    </w:p>
    <w:p w14:paraId="350B6EE8" w14:textId="51F665B0" w:rsidR="00542C3D" w:rsidRPr="003B5052" w:rsidRDefault="0058588E" w:rsidP="003B5052">
      <w:pPr>
        <w:pBdr>
          <w:top w:val="nil"/>
          <w:left w:val="nil"/>
          <w:bottom w:val="nil"/>
          <w:right w:val="nil"/>
          <w:between w:val="nil"/>
        </w:pBdr>
        <w:spacing w:after="0" w:line="360" w:lineRule="auto"/>
        <w:ind w:left="720" w:hanging="720"/>
        <w:jc w:val="both"/>
        <w:rPr>
          <w:rFonts w:ascii="Times New Roman" w:eastAsia="Times New Roman" w:hAnsi="Times New Roman" w:cs="Times New Roman"/>
          <w:color w:val="000000"/>
        </w:rPr>
      </w:pPr>
      <w:r w:rsidRPr="003B5052">
        <w:rPr>
          <w:rFonts w:ascii="Times New Roman" w:eastAsia="Times New Roman" w:hAnsi="Times New Roman" w:cs="Times New Roman"/>
          <w:color w:val="000000"/>
        </w:rPr>
        <w:t xml:space="preserve">BIS. (2022). </w:t>
      </w:r>
      <w:r w:rsidRPr="003B5052">
        <w:rPr>
          <w:rFonts w:ascii="Times New Roman" w:eastAsia="Times New Roman" w:hAnsi="Times New Roman" w:cs="Times New Roman"/>
          <w:i/>
          <w:iCs/>
          <w:color w:val="000000"/>
        </w:rPr>
        <w:t>Basel Committee on Banking Supervision discussion paper Digital Fraud and banking: Supervisory and financial stability implications</w:t>
      </w:r>
      <w:r w:rsidRPr="003B5052">
        <w:rPr>
          <w:rFonts w:ascii="Times New Roman" w:eastAsia="Times New Roman" w:hAnsi="Times New Roman" w:cs="Times New Roman"/>
          <w:color w:val="000000"/>
        </w:rPr>
        <w:t xml:space="preserve">. </w:t>
      </w:r>
      <w:hyperlink r:id="rId20" w:history="1">
        <w:r w:rsidRPr="00A30192">
          <w:rPr>
            <w:rStyle w:val="Hyperlink"/>
            <w:rFonts w:ascii="Times New Roman" w:eastAsia="Times New Roman" w:hAnsi="Times New Roman" w:cs="Times New Roman"/>
          </w:rPr>
          <w:t>https://www.bis.org/bcbs/publ/d558.pdf</w:t>
        </w:r>
      </w:hyperlink>
    </w:p>
    <w:p w14:paraId="12AA8FED" w14:textId="77281728" w:rsidR="00542C3D" w:rsidRPr="003B5052" w:rsidRDefault="0058588E" w:rsidP="003B5052">
      <w:pPr>
        <w:pBdr>
          <w:top w:val="nil"/>
          <w:left w:val="nil"/>
          <w:bottom w:val="nil"/>
          <w:right w:val="nil"/>
          <w:between w:val="nil"/>
        </w:pBdr>
        <w:spacing w:after="0" w:line="360" w:lineRule="auto"/>
        <w:ind w:left="720" w:hanging="720"/>
        <w:jc w:val="both"/>
        <w:rPr>
          <w:rFonts w:ascii="Times New Roman" w:eastAsia="Times New Roman" w:hAnsi="Times New Roman" w:cs="Times New Roman"/>
          <w:color w:val="000000"/>
        </w:rPr>
      </w:pPr>
      <w:r w:rsidRPr="003B5052">
        <w:rPr>
          <w:rFonts w:ascii="Times New Roman" w:eastAsia="Times New Roman" w:hAnsi="Times New Roman" w:cs="Times New Roman"/>
          <w:color w:val="000000"/>
        </w:rPr>
        <w:t xml:space="preserve">BIS. (2023). </w:t>
      </w:r>
      <w:r w:rsidRPr="003B5052">
        <w:rPr>
          <w:rFonts w:ascii="Times New Roman" w:eastAsia="Times New Roman" w:hAnsi="Times New Roman" w:cs="Times New Roman"/>
          <w:i/>
          <w:iCs/>
          <w:color w:val="000000"/>
        </w:rPr>
        <w:t>II. monetary policy in the 21st century: Lessons learned and challenges ahead</w:t>
      </w:r>
      <w:r w:rsidRPr="003B5052">
        <w:rPr>
          <w:rFonts w:ascii="Times New Roman" w:eastAsia="Times New Roman" w:hAnsi="Times New Roman" w:cs="Times New Roman"/>
          <w:color w:val="000000"/>
        </w:rPr>
        <w:t xml:space="preserve">. </w:t>
      </w:r>
      <w:hyperlink r:id="rId21" w:history="1">
        <w:r w:rsidRPr="00A30192">
          <w:rPr>
            <w:rStyle w:val="Hyperlink"/>
            <w:rFonts w:ascii="Times New Roman" w:eastAsia="Times New Roman" w:hAnsi="Times New Roman" w:cs="Times New Roman"/>
          </w:rPr>
          <w:t>https://www.bis.org/publ/arpdf/ar2024e2.pdf</w:t>
        </w:r>
      </w:hyperlink>
    </w:p>
    <w:p w14:paraId="3460422D" w14:textId="434B82E7" w:rsidR="00542C3D" w:rsidRPr="003B5052" w:rsidRDefault="0058588E" w:rsidP="003B5052">
      <w:pPr>
        <w:pBdr>
          <w:top w:val="nil"/>
          <w:left w:val="nil"/>
          <w:bottom w:val="nil"/>
          <w:right w:val="nil"/>
          <w:between w:val="nil"/>
        </w:pBdr>
        <w:spacing w:after="0" w:line="360" w:lineRule="auto"/>
        <w:ind w:left="720" w:hanging="720"/>
        <w:jc w:val="both"/>
        <w:rPr>
          <w:rFonts w:ascii="Times New Roman" w:eastAsia="Times New Roman" w:hAnsi="Times New Roman" w:cs="Times New Roman"/>
          <w:color w:val="000000"/>
        </w:rPr>
      </w:pPr>
      <w:r w:rsidRPr="003B5052">
        <w:rPr>
          <w:rFonts w:ascii="Times New Roman" w:eastAsia="Times New Roman" w:hAnsi="Times New Roman" w:cs="Times New Roman"/>
          <w:color w:val="000000"/>
        </w:rPr>
        <w:t xml:space="preserve">FCA. (2024). </w:t>
      </w:r>
      <w:r w:rsidRPr="003B5052">
        <w:rPr>
          <w:rFonts w:ascii="Times New Roman" w:eastAsia="Times New Roman" w:hAnsi="Times New Roman" w:cs="Times New Roman"/>
          <w:i/>
          <w:iCs/>
          <w:color w:val="000000"/>
        </w:rPr>
        <w:t>Annual Report and Accounts 2023-24</w:t>
      </w:r>
      <w:r w:rsidRPr="003B5052">
        <w:rPr>
          <w:rFonts w:ascii="Times New Roman" w:eastAsia="Times New Roman" w:hAnsi="Times New Roman" w:cs="Times New Roman"/>
          <w:color w:val="000000"/>
        </w:rPr>
        <w:t xml:space="preserve">. </w:t>
      </w:r>
      <w:hyperlink r:id="rId22" w:history="1">
        <w:r w:rsidRPr="00A30192">
          <w:rPr>
            <w:rStyle w:val="Hyperlink"/>
            <w:rFonts w:ascii="Times New Roman" w:eastAsia="Times New Roman" w:hAnsi="Times New Roman" w:cs="Times New Roman"/>
          </w:rPr>
          <w:t>https://www.fca.org.uk/publication/annual-reports/annual-report-2023-24.pdf</w:t>
        </w:r>
      </w:hyperlink>
    </w:p>
    <w:p w14:paraId="6BD79256" w14:textId="0D10E22C" w:rsidR="00542C3D" w:rsidRPr="003B5052" w:rsidRDefault="0058588E" w:rsidP="003B5052">
      <w:pPr>
        <w:pBdr>
          <w:top w:val="nil"/>
          <w:left w:val="nil"/>
          <w:bottom w:val="nil"/>
          <w:right w:val="nil"/>
          <w:between w:val="nil"/>
        </w:pBdr>
        <w:spacing w:after="0" w:line="360" w:lineRule="auto"/>
        <w:ind w:left="720" w:hanging="720"/>
        <w:jc w:val="both"/>
        <w:rPr>
          <w:rFonts w:ascii="Times New Roman" w:eastAsia="Times New Roman" w:hAnsi="Times New Roman" w:cs="Times New Roman"/>
          <w:color w:val="000000"/>
        </w:rPr>
      </w:pPr>
      <w:r w:rsidRPr="003B5052">
        <w:rPr>
          <w:rFonts w:ascii="Times New Roman" w:eastAsia="Times New Roman" w:hAnsi="Times New Roman" w:cs="Times New Roman"/>
          <w:color w:val="000000"/>
        </w:rPr>
        <w:t xml:space="preserve">FRC. (2024). UK corporate governance code. In </w:t>
      </w:r>
      <w:r w:rsidRPr="003B5052">
        <w:rPr>
          <w:rFonts w:ascii="Times New Roman" w:eastAsia="Times New Roman" w:hAnsi="Times New Roman" w:cs="Times New Roman"/>
          <w:i/>
          <w:iCs/>
          <w:color w:val="000000"/>
        </w:rPr>
        <w:t>FRC (Financial Reporting Council)</w:t>
      </w:r>
      <w:r w:rsidRPr="003B5052">
        <w:rPr>
          <w:rFonts w:ascii="Times New Roman" w:eastAsia="Times New Roman" w:hAnsi="Times New Roman" w:cs="Times New Roman"/>
          <w:color w:val="000000"/>
        </w:rPr>
        <w:t xml:space="preserve">. </w:t>
      </w:r>
      <w:hyperlink r:id="rId23" w:history="1">
        <w:r w:rsidRPr="00A30192">
          <w:rPr>
            <w:rStyle w:val="Hyperlink"/>
            <w:rFonts w:ascii="Times New Roman" w:eastAsia="Times New Roman" w:hAnsi="Times New Roman" w:cs="Times New Roman"/>
          </w:rPr>
          <w:t>https://www.frc.org.uk/library/standards-codes-policy/corporate-governance/uk-corporate-governance-code/</w:t>
        </w:r>
      </w:hyperlink>
    </w:p>
    <w:p w14:paraId="4815CCDA" w14:textId="07D3BAB4" w:rsidR="00542C3D" w:rsidRPr="003B5052" w:rsidRDefault="0058588E" w:rsidP="003B5052">
      <w:pPr>
        <w:pBdr>
          <w:top w:val="nil"/>
          <w:left w:val="nil"/>
          <w:bottom w:val="nil"/>
          <w:right w:val="nil"/>
          <w:between w:val="nil"/>
        </w:pBdr>
        <w:spacing w:after="0" w:line="360" w:lineRule="auto"/>
        <w:ind w:left="720" w:hanging="720"/>
        <w:jc w:val="both"/>
        <w:rPr>
          <w:rFonts w:ascii="Times New Roman" w:eastAsia="Times New Roman" w:hAnsi="Times New Roman" w:cs="Times New Roman"/>
          <w:color w:val="000000"/>
        </w:rPr>
      </w:pPr>
      <w:r w:rsidRPr="003B5052">
        <w:rPr>
          <w:rFonts w:ascii="Times New Roman" w:eastAsia="Times New Roman" w:hAnsi="Times New Roman" w:cs="Times New Roman"/>
          <w:color w:val="000000"/>
        </w:rPr>
        <w:t xml:space="preserve">HM Treasury. (2024). Autumn budget 2024. In </w:t>
      </w:r>
      <w:r w:rsidRPr="003B5052">
        <w:rPr>
          <w:rFonts w:ascii="Times New Roman" w:eastAsia="Times New Roman" w:hAnsi="Times New Roman" w:cs="Times New Roman"/>
          <w:i/>
          <w:iCs/>
          <w:color w:val="000000"/>
        </w:rPr>
        <w:t>GOV.UK</w:t>
      </w:r>
      <w:r w:rsidRPr="003B5052">
        <w:rPr>
          <w:rFonts w:ascii="Times New Roman" w:eastAsia="Times New Roman" w:hAnsi="Times New Roman" w:cs="Times New Roman"/>
          <w:color w:val="000000"/>
        </w:rPr>
        <w:t xml:space="preserve">. </w:t>
      </w:r>
      <w:hyperlink r:id="rId24" w:history="1">
        <w:r w:rsidRPr="00A30192">
          <w:rPr>
            <w:rStyle w:val="Hyperlink"/>
            <w:rFonts w:ascii="Times New Roman" w:eastAsia="Times New Roman" w:hAnsi="Times New Roman" w:cs="Times New Roman"/>
          </w:rPr>
          <w:t>https://www.gov.uk/government/publications/autumn-budget-2024</w:t>
        </w:r>
      </w:hyperlink>
    </w:p>
    <w:p w14:paraId="07609859" w14:textId="1634DD69" w:rsidR="00542C3D" w:rsidRPr="003B5052" w:rsidRDefault="0058588E" w:rsidP="003B5052">
      <w:pPr>
        <w:pBdr>
          <w:top w:val="nil"/>
          <w:left w:val="nil"/>
          <w:bottom w:val="nil"/>
          <w:right w:val="nil"/>
          <w:between w:val="nil"/>
        </w:pBdr>
        <w:spacing w:after="0" w:line="360" w:lineRule="auto"/>
        <w:ind w:left="720" w:hanging="720"/>
        <w:jc w:val="both"/>
        <w:rPr>
          <w:rFonts w:ascii="Times New Roman" w:eastAsia="Times New Roman" w:hAnsi="Times New Roman" w:cs="Times New Roman"/>
          <w:color w:val="000000"/>
        </w:rPr>
      </w:pPr>
      <w:proofErr w:type="spellStart"/>
      <w:r w:rsidRPr="003B5052">
        <w:rPr>
          <w:rFonts w:ascii="Times New Roman" w:eastAsia="Times New Roman" w:hAnsi="Times New Roman" w:cs="Times New Roman"/>
          <w:color w:val="000000"/>
        </w:rPr>
        <w:t>lloyd</w:t>
      </w:r>
      <w:proofErr w:type="spellEnd"/>
      <w:r w:rsidRPr="003B5052">
        <w:rPr>
          <w:rFonts w:ascii="Times New Roman" w:eastAsia="Times New Roman" w:hAnsi="Times New Roman" w:cs="Times New Roman"/>
          <w:color w:val="000000"/>
        </w:rPr>
        <w:t xml:space="preserve">. (2023). Annual report 2023. In </w:t>
      </w:r>
      <w:r w:rsidRPr="003B5052">
        <w:rPr>
          <w:rFonts w:ascii="Times New Roman" w:eastAsia="Times New Roman" w:hAnsi="Times New Roman" w:cs="Times New Roman"/>
          <w:i/>
          <w:iCs/>
          <w:color w:val="000000"/>
        </w:rPr>
        <w:t>Lloydsbankinggroup.com</w:t>
      </w:r>
      <w:r w:rsidRPr="003B5052">
        <w:rPr>
          <w:rFonts w:ascii="Times New Roman" w:eastAsia="Times New Roman" w:hAnsi="Times New Roman" w:cs="Times New Roman"/>
          <w:color w:val="000000"/>
        </w:rPr>
        <w:t xml:space="preserve">. </w:t>
      </w:r>
      <w:hyperlink r:id="rId25" w:history="1">
        <w:r w:rsidRPr="00A30192">
          <w:rPr>
            <w:rStyle w:val="Hyperlink"/>
            <w:rFonts w:ascii="Times New Roman" w:eastAsia="Times New Roman" w:hAnsi="Times New Roman" w:cs="Times New Roman"/>
          </w:rPr>
          <w:t>https://www.lloydsbankinggroup.com/investors/annual-report/annual-report-archive/annual-report-2023.html</w:t>
        </w:r>
      </w:hyperlink>
    </w:p>
    <w:p w14:paraId="1FC136F2" w14:textId="5F573860" w:rsidR="00542C3D" w:rsidRPr="003B5052" w:rsidRDefault="0058588E" w:rsidP="00DB3CF2">
      <w:pPr>
        <w:pBdr>
          <w:top w:val="nil"/>
          <w:left w:val="nil"/>
          <w:bottom w:val="nil"/>
          <w:right w:val="nil"/>
          <w:between w:val="nil"/>
        </w:pBdr>
        <w:spacing w:after="0" w:line="360" w:lineRule="auto"/>
        <w:ind w:left="720" w:hanging="720"/>
        <w:jc w:val="both"/>
        <w:rPr>
          <w:rFonts w:ascii="Times New Roman" w:eastAsia="Times New Roman" w:hAnsi="Times New Roman" w:cs="Times New Roman"/>
          <w:color w:val="000000"/>
        </w:rPr>
      </w:pPr>
      <w:r w:rsidRPr="003B5052">
        <w:rPr>
          <w:rFonts w:ascii="Times New Roman" w:eastAsia="Times New Roman" w:hAnsi="Times New Roman" w:cs="Times New Roman"/>
          <w:color w:val="000000"/>
        </w:rPr>
        <w:t xml:space="preserve">Lloyds banking group. (2024). Annual report 2024. In </w:t>
      </w:r>
      <w:r w:rsidRPr="003B5052">
        <w:rPr>
          <w:rFonts w:ascii="Times New Roman" w:eastAsia="Times New Roman" w:hAnsi="Times New Roman" w:cs="Times New Roman"/>
          <w:i/>
          <w:iCs/>
          <w:color w:val="000000"/>
        </w:rPr>
        <w:t>www.lloydsbankinggroup.com</w:t>
      </w:r>
      <w:r w:rsidRPr="003B5052">
        <w:rPr>
          <w:rFonts w:ascii="Times New Roman" w:eastAsia="Times New Roman" w:hAnsi="Times New Roman" w:cs="Times New Roman"/>
          <w:color w:val="000000"/>
        </w:rPr>
        <w:t xml:space="preserve">. </w:t>
      </w:r>
      <w:hyperlink r:id="rId26" w:history="1">
        <w:r w:rsidRPr="00A30192">
          <w:rPr>
            <w:rStyle w:val="Hyperlink"/>
            <w:rFonts w:ascii="Times New Roman" w:eastAsia="Times New Roman" w:hAnsi="Times New Roman" w:cs="Times New Roman"/>
          </w:rPr>
          <w:t>https://www.lloydsbankinggroup.com/investors/annual-report.html</w:t>
        </w:r>
      </w:hyperlink>
      <w:bookmarkStart w:id="18" w:name="_GoBack"/>
      <w:bookmarkEnd w:id="18"/>
    </w:p>
    <w:p w14:paraId="5265A69F" w14:textId="3A136516" w:rsidR="00542C3D" w:rsidRDefault="0058588E" w:rsidP="00DB3CF2">
      <w:pPr>
        <w:pBdr>
          <w:top w:val="nil"/>
          <w:left w:val="nil"/>
          <w:bottom w:val="nil"/>
          <w:right w:val="nil"/>
          <w:between w:val="nil"/>
        </w:pBdr>
        <w:spacing w:after="0" w:line="360" w:lineRule="auto"/>
        <w:ind w:left="720" w:hanging="720"/>
        <w:jc w:val="both"/>
        <w:rPr>
          <w:rFonts w:ascii="Times New Roman" w:eastAsia="Times New Roman" w:hAnsi="Times New Roman" w:cs="Times New Roman"/>
          <w:color w:val="000000"/>
        </w:rPr>
      </w:pPr>
      <w:proofErr w:type="spellStart"/>
      <w:r w:rsidRPr="003B5052">
        <w:rPr>
          <w:rFonts w:ascii="Times New Roman" w:eastAsia="Times New Roman" w:hAnsi="Times New Roman" w:cs="Times New Roman"/>
          <w:color w:val="000000"/>
        </w:rPr>
        <w:t>lloydsbankinggroup</w:t>
      </w:r>
      <w:proofErr w:type="spellEnd"/>
      <w:r w:rsidRPr="003B5052">
        <w:rPr>
          <w:rFonts w:ascii="Times New Roman" w:eastAsia="Times New Roman" w:hAnsi="Times New Roman" w:cs="Times New Roman"/>
          <w:color w:val="000000"/>
        </w:rPr>
        <w:t xml:space="preserve">. (2024). Investors. In </w:t>
      </w:r>
      <w:r w:rsidRPr="003B5052">
        <w:rPr>
          <w:rFonts w:ascii="Times New Roman" w:eastAsia="Times New Roman" w:hAnsi="Times New Roman" w:cs="Times New Roman"/>
          <w:i/>
          <w:iCs/>
          <w:color w:val="000000"/>
        </w:rPr>
        <w:t>www.lloydsbankinggroup.com</w:t>
      </w:r>
      <w:r w:rsidRPr="003B5052">
        <w:rPr>
          <w:rFonts w:ascii="Times New Roman" w:eastAsia="Times New Roman" w:hAnsi="Times New Roman" w:cs="Times New Roman"/>
          <w:color w:val="000000"/>
        </w:rPr>
        <w:t xml:space="preserve">. </w:t>
      </w:r>
      <w:hyperlink r:id="rId27" w:history="1">
        <w:r w:rsidR="00BD256B" w:rsidRPr="00F22167">
          <w:rPr>
            <w:rStyle w:val="Hyperlink"/>
            <w:rFonts w:ascii="Times New Roman" w:eastAsia="Times New Roman" w:hAnsi="Times New Roman" w:cs="Times New Roman"/>
          </w:rPr>
          <w:t>https://www.lloydsbankinggroup.com/investors.html</w:t>
        </w:r>
      </w:hyperlink>
    </w:p>
    <w:p w14:paraId="75C44551" w14:textId="1A5D2BEF" w:rsidR="00BD256B" w:rsidRPr="00BD256B" w:rsidRDefault="00BD256B" w:rsidP="00DB3CF2">
      <w:pPr>
        <w:pStyle w:val="NormalWeb"/>
        <w:spacing w:before="0" w:beforeAutospacing="0" w:after="0" w:afterAutospacing="0" w:line="480" w:lineRule="auto"/>
        <w:ind w:left="720" w:hanging="720"/>
        <w:jc w:val="both"/>
      </w:pPr>
      <w:r>
        <w:t xml:space="preserve">Lloyds Banking Group. (2025). Sustainability report 2025. In </w:t>
      </w:r>
      <w:r>
        <w:rPr>
          <w:i/>
          <w:iCs/>
        </w:rPr>
        <w:t>Lloyds Banking Group</w:t>
      </w:r>
      <w:r>
        <w:t xml:space="preserve">. </w:t>
      </w:r>
      <w:hyperlink r:id="rId28" w:history="1">
        <w:r w:rsidRPr="00F22167">
          <w:rPr>
            <w:rStyle w:val="Hyperlink"/>
          </w:rPr>
          <w:t>https://www.lloydsbankinggroup.com/sustainability/sustainability-report.html</w:t>
        </w:r>
      </w:hyperlink>
      <w:r>
        <w:t xml:space="preserve"> </w:t>
      </w:r>
    </w:p>
    <w:p w14:paraId="20B61142" w14:textId="3E2CC0DD" w:rsidR="00C43D55" w:rsidRPr="003B5052" w:rsidRDefault="0058588E" w:rsidP="003B5052">
      <w:pPr>
        <w:pBdr>
          <w:top w:val="nil"/>
          <w:left w:val="nil"/>
          <w:bottom w:val="nil"/>
          <w:right w:val="nil"/>
          <w:between w:val="nil"/>
        </w:pBdr>
        <w:spacing w:after="0" w:line="360" w:lineRule="auto"/>
        <w:ind w:left="720" w:hanging="720"/>
        <w:jc w:val="both"/>
        <w:rPr>
          <w:rFonts w:ascii="Times New Roman" w:eastAsia="Times New Roman" w:hAnsi="Times New Roman" w:cs="Times New Roman"/>
          <w:color w:val="000000"/>
        </w:rPr>
      </w:pPr>
      <w:r w:rsidRPr="003B5052">
        <w:rPr>
          <w:rFonts w:ascii="Times New Roman" w:eastAsia="Times New Roman" w:hAnsi="Times New Roman" w:cs="Times New Roman"/>
          <w:color w:val="000000"/>
        </w:rPr>
        <w:t xml:space="preserve">ONS. (2025). Consumer price inflation, UK. In </w:t>
      </w:r>
      <w:r w:rsidRPr="003B5052">
        <w:rPr>
          <w:rFonts w:ascii="Times New Roman" w:eastAsia="Times New Roman" w:hAnsi="Times New Roman" w:cs="Times New Roman"/>
          <w:i/>
          <w:iCs/>
          <w:color w:val="000000"/>
        </w:rPr>
        <w:t>Ons.gov.uk</w:t>
      </w:r>
      <w:r w:rsidRPr="003B5052">
        <w:rPr>
          <w:rFonts w:ascii="Times New Roman" w:eastAsia="Times New Roman" w:hAnsi="Times New Roman" w:cs="Times New Roman"/>
          <w:color w:val="000000"/>
        </w:rPr>
        <w:t xml:space="preserve">. Office for National Statistics. </w:t>
      </w:r>
      <w:hyperlink r:id="rId29" w:history="1">
        <w:r w:rsidR="00C43D55" w:rsidRPr="003B5052">
          <w:rPr>
            <w:rStyle w:val="Hyperlink"/>
            <w:rFonts w:ascii="Times New Roman" w:eastAsia="Times New Roman" w:hAnsi="Times New Roman" w:cs="Times New Roman"/>
          </w:rPr>
          <w:t>https://www.ons.gov.uk/economy/inflationandpriceindices/bulletins/consumerpriceinflation/december2024</w:t>
        </w:r>
      </w:hyperlink>
    </w:p>
    <w:p w14:paraId="7369A556" w14:textId="77777777" w:rsidR="00C43D55" w:rsidRPr="003B5052" w:rsidRDefault="00C43D55" w:rsidP="003B5052">
      <w:pPr>
        <w:spacing w:line="360" w:lineRule="auto"/>
        <w:rPr>
          <w:rFonts w:ascii="Times New Roman" w:eastAsia="Times New Roman" w:hAnsi="Times New Roman" w:cs="Times New Roman"/>
          <w:color w:val="000000"/>
        </w:rPr>
      </w:pPr>
      <w:r w:rsidRPr="003B5052">
        <w:rPr>
          <w:rFonts w:ascii="Times New Roman" w:eastAsia="Times New Roman" w:hAnsi="Times New Roman" w:cs="Times New Roman"/>
          <w:color w:val="000000"/>
        </w:rPr>
        <w:br w:type="page"/>
      </w:r>
    </w:p>
    <w:p w14:paraId="0DC7A567" w14:textId="59FB6B8D" w:rsidR="00542C3D" w:rsidRPr="003B5052" w:rsidRDefault="00C43D55" w:rsidP="003B5052">
      <w:pPr>
        <w:pStyle w:val="Heading1"/>
        <w:spacing w:line="360" w:lineRule="auto"/>
        <w:rPr>
          <w:rFonts w:ascii="Times New Roman" w:hAnsi="Times New Roman" w:cs="Times New Roman"/>
          <w:b/>
          <w:bCs/>
          <w:color w:val="000000" w:themeColor="text1"/>
          <w:sz w:val="24"/>
          <w:szCs w:val="24"/>
        </w:rPr>
      </w:pPr>
      <w:r w:rsidRPr="003B5052">
        <w:rPr>
          <w:rFonts w:ascii="Times New Roman" w:hAnsi="Times New Roman" w:cs="Times New Roman"/>
          <w:b/>
          <w:bCs/>
          <w:color w:val="000000" w:themeColor="text1"/>
          <w:sz w:val="24"/>
          <w:szCs w:val="24"/>
        </w:rPr>
        <w:lastRenderedPageBreak/>
        <w:t xml:space="preserve">Appendix </w:t>
      </w:r>
    </w:p>
    <w:p w14:paraId="31EBD9CB"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Appendix A: Profitability Ratio Workings</w:t>
      </w:r>
    </w:p>
    <w:p w14:paraId="400F1617" w14:textId="77777777" w:rsidR="00C43D55" w:rsidRPr="003B5052" w:rsidRDefault="00C43D55" w:rsidP="003B5052">
      <w:pPr>
        <w:spacing w:line="360" w:lineRule="auto"/>
        <w:rPr>
          <w:rFonts w:ascii="Times New Roman" w:hAnsi="Times New Roman" w:cs="Times New Roman"/>
        </w:rPr>
      </w:pPr>
    </w:p>
    <w:tbl>
      <w:tblPr>
        <w:tblW w:w="11200" w:type="dxa"/>
        <w:tblBorders>
          <w:top w:val="single" w:sz="1" w:space="0" w:color="AAAAAA"/>
          <w:left w:val="single" w:sz="1" w:space="0" w:color="AAAAA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0"/>
        <w:gridCol w:w="1464"/>
        <w:gridCol w:w="1982"/>
        <w:gridCol w:w="834"/>
        <w:gridCol w:w="1982"/>
        <w:gridCol w:w="768"/>
        <w:gridCol w:w="1982"/>
        <w:gridCol w:w="768"/>
      </w:tblGrid>
      <w:tr w:rsidR="00C43D55" w:rsidRPr="003B5052" w14:paraId="6EFBDD48" w14:textId="77777777" w:rsidTr="0058588E">
        <w:trPr>
          <w:tblHeader/>
        </w:trPr>
        <w:tc>
          <w:tcPr>
            <w:tcW w:w="1600" w:type="dxa"/>
            <w:tcBorders>
              <w:top w:val="single" w:sz="1" w:space="0" w:color="1B3A5C"/>
              <w:left w:val="single" w:sz="1" w:space="0" w:color="1B3A5C"/>
              <w:bottom w:val="single" w:sz="1" w:space="0" w:color="1B3A5C"/>
              <w:right w:val="single" w:sz="1" w:space="0" w:color="1B3A5C"/>
            </w:tcBorders>
            <w:shd w:val="clear" w:color="1B3A5C" w:fill="1B3A5C"/>
          </w:tcPr>
          <w:p w14:paraId="1DCF45ED"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Ratio</w:t>
            </w:r>
          </w:p>
        </w:tc>
        <w:tc>
          <w:tcPr>
            <w:tcW w:w="1800" w:type="dxa"/>
            <w:tcBorders>
              <w:top w:val="single" w:sz="1" w:space="0" w:color="1B3A5C"/>
              <w:left w:val="single" w:sz="1" w:space="0" w:color="1B3A5C"/>
              <w:bottom w:val="single" w:sz="1" w:space="0" w:color="1B3A5C"/>
              <w:right w:val="single" w:sz="1" w:space="0" w:color="1B3A5C"/>
            </w:tcBorders>
            <w:shd w:val="clear" w:color="1B3A5C" w:fill="1B3A5C"/>
          </w:tcPr>
          <w:p w14:paraId="33BA5935"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Formula</w:t>
            </w:r>
          </w:p>
        </w:tc>
        <w:tc>
          <w:tcPr>
            <w:tcW w:w="1700" w:type="dxa"/>
            <w:tcBorders>
              <w:top w:val="single" w:sz="1" w:space="0" w:color="1B3A5C"/>
              <w:left w:val="single" w:sz="1" w:space="0" w:color="1B3A5C"/>
              <w:bottom w:val="single" w:sz="1" w:space="0" w:color="1B3A5C"/>
              <w:right w:val="single" w:sz="1" w:space="0" w:color="1B3A5C"/>
            </w:tcBorders>
            <w:shd w:val="clear" w:color="1B3A5C" w:fill="1B3A5C"/>
          </w:tcPr>
          <w:p w14:paraId="0EFD245E"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2023 Calculation</w:t>
            </w:r>
          </w:p>
        </w:tc>
        <w:tc>
          <w:tcPr>
            <w:tcW w:w="900" w:type="dxa"/>
            <w:tcBorders>
              <w:top w:val="single" w:sz="1" w:space="0" w:color="1B3A5C"/>
              <w:left w:val="single" w:sz="1" w:space="0" w:color="1B3A5C"/>
              <w:bottom w:val="single" w:sz="1" w:space="0" w:color="1B3A5C"/>
              <w:right w:val="single" w:sz="1" w:space="0" w:color="1B3A5C"/>
            </w:tcBorders>
            <w:shd w:val="clear" w:color="1B3A5C" w:fill="1B3A5C"/>
          </w:tcPr>
          <w:p w14:paraId="2068E305"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2023 Result</w:t>
            </w:r>
          </w:p>
        </w:tc>
        <w:tc>
          <w:tcPr>
            <w:tcW w:w="1700" w:type="dxa"/>
            <w:tcBorders>
              <w:top w:val="single" w:sz="1" w:space="0" w:color="1B3A5C"/>
              <w:left w:val="single" w:sz="1" w:space="0" w:color="1B3A5C"/>
              <w:bottom w:val="single" w:sz="1" w:space="0" w:color="1B3A5C"/>
              <w:right w:val="single" w:sz="1" w:space="0" w:color="1B3A5C"/>
            </w:tcBorders>
            <w:shd w:val="clear" w:color="1B3A5C" w:fill="1B3A5C"/>
          </w:tcPr>
          <w:p w14:paraId="72DA0B7C"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2024 Calculation</w:t>
            </w:r>
          </w:p>
        </w:tc>
        <w:tc>
          <w:tcPr>
            <w:tcW w:w="900" w:type="dxa"/>
            <w:tcBorders>
              <w:top w:val="single" w:sz="1" w:space="0" w:color="1B3A5C"/>
              <w:left w:val="single" w:sz="1" w:space="0" w:color="1B3A5C"/>
              <w:bottom w:val="single" w:sz="1" w:space="0" w:color="1B3A5C"/>
              <w:right w:val="single" w:sz="1" w:space="0" w:color="1B3A5C"/>
            </w:tcBorders>
            <w:shd w:val="clear" w:color="1B3A5C" w:fill="1B3A5C"/>
          </w:tcPr>
          <w:p w14:paraId="31F777A1"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2024 Result</w:t>
            </w:r>
          </w:p>
        </w:tc>
        <w:tc>
          <w:tcPr>
            <w:tcW w:w="1700" w:type="dxa"/>
            <w:tcBorders>
              <w:top w:val="single" w:sz="1" w:space="0" w:color="1B3A5C"/>
              <w:left w:val="single" w:sz="1" w:space="0" w:color="1B3A5C"/>
              <w:bottom w:val="single" w:sz="1" w:space="0" w:color="1B3A5C"/>
              <w:right w:val="single" w:sz="1" w:space="0" w:color="1B3A5C"/>
            </w:tcBorders>
            <w:shd w:val="clear" w:color="1B3A5C" w:fill="1B3A5C"/>
          </w:tcPr>
          <w:p w14:paraId="7DB51E65"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2025 Calculation</w:t>
            </w:r>
          </w:p>
        </w:tc>
        <w:tc>
          <w:tcPr>
            <w:tcW w:w="900" w:type="dxa"/>
            <w:tcBorders>
              <w:top w:val="single" w:sz="1" w:space="0" w:color="1B3A5C"/>
              <w:left w:val="single" w:sz="1" w:space="0" w:color="1B3A5C"/>
              <w:bottom w:val="single" w:sz="1" w:space="0" w:color="1B3A5C"/>
              <w:right w:val="single" w:sz="1" w:space="0" w:color="1B3A5C"/>
            </w:tcBorders>
            <w:shd w:val="clear" w:color="1B3A5C" w:fill="1B3A5C"/>
          </w:tcPr>
          <w:p w14:paraId="285C10C3"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2025 Result</w:t>
            </w:r>
          </w:p>
        </w:tc>
      </w:tr>
      <w:tr w:rsidR="00C43D55" w:rsidRPr="003B5052" w14:paraId="7E7F7D47" w14:textId="77777777" w:rsidTr="0058588E">
        <w:tc>
          <w:tcPr>
            <w:tcW w:w="1600" w:type="dxa"/>
            <w:tcBorders>
              <w:top w:val="single" w:sz="1" w:space="0" w:color="CCCCCC"/>
              <w:left w:val="single" w:sz="1" w:space="0" w:color="CCCCCC"/>
              <w:bottom w:val="single" w:sz="1" w:space="0" w:color="CCCCCC"/>
              <w:right w:val="single" w:sz="1" w:space="0" w:color="CCCCCC"/>
            </w:tcBorders>
            <w:shd w:val="clear" w:color="FFFFFF" w:fill="FFFFFF"/>
          </w:tcPr>
          <w:p w14:paraId="4F650832"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Return on Equity</w:t>
            </w:r>
          </w:p>
        </w:tc>
        <w:tc>
          <w:tcPr>
            <w:tcW w:w="1800" w:type="dxa"/>
            <w:tcBorders>
              <w:top w:val="single" w:sz="1" w:space="0" w:color="CCCCCC"/>
              <w:left w:val="single" w:sz="1" w:space="0" w:color="CCCCCC"/>
              <w:bottom w:val="single" w:sz="1" w:space="0" w:color="CCCCCC"/>
              <w:right w:val="single" w:sz="1" w:space="0" w:color="CCCCCC"/>
            </w:tcBorders>
            <w:shd w:val="clear" w:color="FFFFFF" w:fill="FFFFFF"/>
          </w:tcPr>
          <w:p w14:paraId="71F83583"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PAT / Avg. Ord. Equity</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5A29CA24"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5,518 / ((47,365+47,365)/2)</w:t>
            </w:r>
          </w:p>
        </w:tc>
        <w:tc>
          <w:tcPr>
            <w:tcW w:w="900" w:type="dxa"/>
            <w:tcBorders>
              <w:top w:val="single" w:sz="1" w:space="0" w:color="CCCCCC"/>
              <w:left w:val="single" w:sz="1" w:space="0" w:color="CCCCCC"/>
              <w:bottom w:val="single" w:sz="1" w:space="0" w:color="CCCCCC"/>
              <w:right w:val="single" w:sz="1" w:space="0" w:color="CCCCCC"/>
            </w:tcBorders>
            <w:shd w:val="clear" w:color="FFFFFF" w:fill="FFFFFF"/>
          </w:tcPr>
          <w:p w14:paraId="103CA21F"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11.7%</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012426FA"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4,477 / ((39,521+47,365)/2)</w:t>
            </w:r>
          </w:p>
        </w:tc>
        <w:tc>
          <w:tcPr>
            <w:tcW w:w="900" w:type="dxa"/>
            <w:tcBorders>
              <w:top w:val="single" w:sz="1" w:space="0" w:color="CCCCCC"/>
              <w:left w:val="single" w:sz="1" w:space="0" w:color="CCCCCC"/>
              <w:bottom w:val="single" w:sz="1" w:space="0" w:color="CCCCCC"/>
              <w:right w:val="single" w:sz="1" w:space="0" w:color="CCCCCC"/>
            </w:tcBorders>
            <w:shd w:val="clear" w:color="FFFFFF" w:fill="FFFFFF"/>
          </w:tcPr>
          <w:p w14:paraId="62F802A2"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10.3%</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5F89FB6F"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4,757 / ((41,721+39,521)/2)</w:t>
            </w:r>
          </w:p>
        </w:tc>
        <w:tc>
          <w:tcPr>
            <w:tcW w:w="900" w:type="dxa"/>
            <w:tcBorders>
              <w:top w:val="single" w:sz="1" w:space="0" w:color="CCCCCC"/>
              <w:left w:val="single" w:sz="1" w:space="0" w:color="CCCCCC"/>
              <w:bottom w:val="single" w:sz="1" w:space="0" w:color="CCCCCC"/>
              <w:right w:val="single" w:sz="1" w:space="0" w:color="CCCCCC"/>
            </w:tcBorders>
            <w:shd w:val="clear" w:color="FFFFFF" w:fill="FFFFFF"/>
          </w:tcPr>
          <w:p w14:paraId="4B7FBCEC"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11.7%</w:t>
            </w:r>
          </w:p>
        </w:tc>
      </w:tr>
      <w:tr w:rsidR="00C43D55" w:rsidRPr="003B5052" w14:paraId="0626DD86" w14:textId="77777777" w:rsidTr="0058588E">
        <w:tc>
          <w:tcPr>
            <w:tcW w:w="1600" w:type="dxa"/>
            <w:tcBorders>
              <w:top w:val="single" w:sz="1" w:space="0" w:color="CCCCCC"/>
              <w:left w:val="single" w:sz="1" w:space="0" w:color="CCCCCC"/>
              <w:bottom w:val="single" w:sz="1" w:space="0" w:color="CCCCCC"/>
              <w:right w:val="single" w:sz="1" w:space="0" w:color="CCCCCC"/>
            </w:tcBorders>
            <w:shd w:val="clear" w:color="D6E4F0" w:fill="D6E4F0"/>
          </w:tcPr>
          <w:p w14:paraId="7BF5FAEF"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Return on Assets</w:t>
            </w:r>
          </w:p>
        </w:tc>
        <w:tc>
          <w:tcPr>
            <w:tcW w:w="1800" w:type="dxa"/>
            <w:tcBorders>
              <w:top w:val="single" w:sz="1" w:space="0" w:color="CCCCCC"/>
              <w:left w:val="single" w:sz="1" w:space="0" w:color="CCCCCC"/>
              <w:bottom w:val="single" w:sz="1" w:space="0" w:color="CCCCCC"/>
              <w:right w:val="single" w:sz="1" w:space="0" w:color="CCCCCC"/>
            </w:tcBorders>
            <w:shd w:val="clear" w:color="D6E4F0" w:fill="D6E4F0"/>
          </w:tcPr>
          <w:p w14:paraId="26A8A3A1"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PAT / Avg. Total Assets</w:t>
            </w:r>
          </w:p>
        </w:tc>
        <w:tc>
          <w:tcPr>
            <w:tcW w:w="1700" w:type="dxa"/>
            <w:tcBorders>
              <w:top w:val="single" w:sz="1" w:space="0" w:color="CCCCCC"/>
              <w:left w:val="single" w:sz="1" w:space="0" w:color="CCCCCC"/>
              <w:bottom w:val="single" w:sz="1" w:space="0" w:color="CCCCCC"/>
              <w:right w:val="single" w:sz="1" w:space="0" w:color="CCCCCC"/>
            </w:tcBorders>
            <w:shd w:val="clear" w:color="D6E4F0" w:fill="D6E4F0"/>
          </w:tcPr>
          <w:p w14:paraId="2E9A1442"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5,518 / 889,931</w:t>
            </w:r>
          </w:p>
        </w:tc>
        <w:tc>
          <w:tcPr>
            <w:tcW w:w="900" w:type="dxa"/>
            <w:tcBorders>
              <w:top w:val="single" w:sz="1" w:space="0" w:color="CCCCCC"/>
              <w:left w:val="single" w:sz="1" w:space="0" w:color="CCCCCC"/>
              <w:bottom w:val="single" w:sz="1" w:space="0" w:color="CCCCCC"/>
              <w:right w:val="single" w:sz="1" w:space="0" w:color="CCCCCC"/>
            </w:tcBorders>
            <w:shd w:val="clear" w:color="D6E4F0" w:fill="D6E4F0"/>
          </w:tcPr>
          <w:p w14:paraId="6807E75D"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0.62%</w:t>
            </w:r>
          </w:p>
        </w:tc>
        <w:tc>
          <w:tcPr>
            <w:tcW w:w="1700" w:type="dxa"/>
            <w:tcBorders>
              <w:top w:val="single" w:sz="1" w:space="0" w:color="CCCCCC"/>
              <w:left w:val="single" w:sz="1" w:space="0" w:color="CCCCCC"/>
              <w:bottom w:val="single" w:sz="1" w:space="0" w:color="CCCCCC"/>
              <w:right w:val="single" w:sz="1" w:space="0" w:color="CCCCCC"/>
            </w:tcBorders>
            <w:shd w:val="clear" w:color="D6E4F0" w:fill="D6E4F0"/>
          </w:tcPr>
          <w:p w14:paraId="1243CE41"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4,477 / 898,314</w:t>
            </w:r>
          </w:p>
        </w:tc>
        <w:tc>
          <w:tcPr>
            <w:tcW w:w="900" w:type="dxa"/>
            <w:tcBorders>
              <w:top w:val="single" w:sz="1" w:space="0" w:color="CCCCCC"/>
              <w:left w:val="single" w:sz="1" w:space="0" w:color="CCCCCC"/>
              <w:bottom w:val="single" w:sz="1" w:space="0" w:color="CCCCCC"/>
              <w:right w:val="single" w:sz="1" w:space="0" w:color="CCCCCC"/>
            </w:tcBorders>
            <w:shd w:val="clear" w:color="D6E4F0" w:fill="D6E4F0"/>
          </w:tcPr>
          <w:p w14:paraId="4E4C4391"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0.50%</w:t>
            </w:r>
          </w:p>
        </w:tc>
        <w:tc>
          <w:tcPr>
            <w:tcW w:w="1700" w:type="dxa"/>
            <w:tcBorders>
              <w:top w:val="single" w:sz="1" w:space="0" w:color="CCCCCC"/>
              <w:left w:val="single" w:sz="1" w:space="0" w:color="CCCCCC"/>
              <w:bottom w:val="single" w:sz="1" w:space="0" w:color="CCCCCC"/>
              <w:right w:val="single" w:sz="1" w:space="0" w:color="CCCCCC"/>
            </w:tcBorders>
            <w:shd w:val="clear" w:color="D6E4F0" w:fill="D6E4F0"/>
          </w:tcPr>
          <w:p w14:paraId="5EC8F51B"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4,757 / 925,385</w:t>
            </w:r>
          </w:p>
        </w:tc>
        <w:tc>
          <w:tcPr>
            <w:tcW w:w="900" w:type="dxa"/>
            <w:tcBorders>
              <w:top w:val="single" w:sz="1" w:space="0" w:color="CCCCCC"/>
              <w:left w:val="single" w:sz="1" w:space="0" w:color="CCCCCC"/>
              <w:bottom w:val="single" w:sz="1" w:space="0" w:color="CCCCCC"/>
              <w:right w:val="single" w:sz="1" w:space="0" w:color="CCCCCC"/>
            </w:tcBorders>
            <w:shd w:val="clear" w:color="D6E4F0" w:fill="D6E4F0"/>
          </w:tcPr>
          <w:p w14:paraId="5E6FE812"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0.51%</w:t>
            </w:r>
          </w:p>
        </w:tc>
      </w:tr>
      <w:tr w:rsidR="00C43D55" w:rsidRPr="003B5052" w14:paraId="5C78E968" w14:textId="77777777" w:rsidTr="0058588E">
        <w:tc>
          <w:tcPr>
            <w:tcW w:w="1600" w:type="dxa"/>
            <w:tcBorders>
              <w:top w:val="single" w:sz="1" w:space="0" w:color="CCCCCC"/>
              <w:left w:val="single" w:sz="1" w:space="0" w:color="CCCCCC"/>
              <w:bottom w:val="single" w:sz="1" w:space="0" w:color="CCCCCC"/>
              <w:right w:val="single" w:sz="1" w:space="0" w:color="CCCCCC"/>
            </w:tcBorders>
            <w:shd w:val="clear" w:color="FFFFFF" w:fill="FFFFFF"/>
          </w:tcPr>
          <w:p w14:paraId="1C0D0F23" w14:textId="77777777" w:rsidR="00C43D55" w:rsidRPr="003B5052" w:rsidRDefault="00C43D55" w:rsidP="003B5052">
            <w:pPr>
              <w:spacing w:line="360" w:lineRule="auto"/>
              <w:rPr>
                <w:rFonts w:ascii="Times New Roman" w:hAnsi="Times New Roman" w:cs="Times New Roman"/>
              </w:rPr>
            </w:pPr>
            <w:proofErr w:type="spellStart"/>
            <w:r w:rsidRPr="003B5052">
              <w:rPr>
                <w:rFonts w:ascii="Times New Roman" w:hAnsi="Times New Roman" w:cs="Times New Roman"/>
              </w:rPr>
              <w:t>RoTE</w:t>
            </w:r>
            <w:proofErr w:type="spellEnd"/>
            <w:r w:rsidRPr="003B5052">
              <w:rPr>
                <w:rFonts w:ascii="Times New Roman" w:hAnsi="Times New Roman" w:cs="Times New Roman"/>
              </w:rPr>
              <w:t xml:space="preserve"> (Reported APM)</w:t>
            </w:r>
          </w:p>
        </w:tc>
        <w:tc>
          <w:tcPr>
            <w:tcW w:w="1800" w:type="dxa"/>
            <w:tcBorders>
              <w:top w:val="single" w:sz="1" w:space="0" w:color="CCCCCC"/>
              <w:left w:val="single" w:sz="1" w:space="0" w:color="CCCCCC"/>
              <w:bottom w:val="single" w:sz="1" w:space="0" w:color="CCCCCC"/>
              <w:right w:val="single" w:sz="1" w:space="0" w:color="CCCCCC"/>
            </w:tcBorders>
            <w:shd w:val="clear" w:color="FFFFFF" w:fill="FFFFFF"/>
          </w:tcPr>
          <w:p w14:paraId="3C0A60B2" w14:textId="77777777" w:rsidR="00C43D55" w:rsidRPr="003B5052" w:rsidRDefault="00C43D55" w:rsidP="003B5052">
            <w:pPr>
              <w:spacing w:line="360" w:lineRule="auto"/>
              <w:rPr>
                <w:rFonts w:ascii="Times New Roman" w:hAnsi="Times New Roman" w:cs="Times New Roman"/>
              </w:rPr>
            </w:pPr>
            <w:proofErr w:type="spellStart"/>
            <w:r w:rsidRPr="003B5052">
              <w:rPr>
                <w:rFonts w:ascii="Times New Roman" w:hAnsi="Times New Roman" w:cs="Times New Roman"/>
              </w:rPr>
              <w:t>Adj.PAT</w:t>
            </w:r>
            <w:proofErr w:type="spellEnd"/>
            <w:r w:rsidRPr="003B5052">
              <w:rPr>
                <w:rFonts w:ascii="Times New Roman" w:hAnsi="Times New Roman" w:cs="Times New Roman"/>
              </w:rPr>
              <w:t xml:space="preserve"> / Avg. Tangible Eq.</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752C623B"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 by LBG</w:t>
            </w:r>
          </w:p>
        </w:tc>
        <w:tc>
          <w:tcPr>
            <w:tcW w:w="900" w:type="dxa"/>
            <w:tcBorders>
              <w:top w:val="single" w:sz="1" w:space="0" w:color="CCCCCC"/>
              <w:left w:val="single" w:sz="1" w:space="0" w:color="CCCCCC"/>
              <w:bottom w:val="single" w:sz="1" w:space="0" w:color="CCCCCC"/>
              <w:right w:val="single" w:sz="1" w:space="0" w:color="CCCCCC"/>
            </w:tcBorders>
            <w:shd w:val="clear" w:color="FFFFFF" w:fill="FFFFFF"/>
          </w:tcPr>
          <w:p w14:paraId="42C15BE8"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15.8%</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0EEFB178"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 by LBG</w:t>
            </w:r>
          </w:p>
        </w:tc>
        <w:tc>
          <w:tcPr>
            <w:tcW w:w="900" w:type="dxa"/>
            <w:tcBorders>
              <w:top w:val="single" w:sz="1" w:space="0" w:color="CCCCCC"/>
              <w:left w:val="single" w:sz="1" w:space="0" w:color="CCCCCC"/>
              <w:bottom w:val="single" w:sz="1" w:space="0" w:color="CCCCCC"/>
              <w:right w:val="single" w:sz="1" w:space="0" w:color="CCCCCC"/>
            </w:tcBorders>
            <w:shd w:val="clear" w:color="FFFFFF" w:fill="FFFFFF"/>
          </w:tcPr>
          <w:p w14:paraId="1C78086F"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12.3%</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43E85ADF"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 by LBG</w:t>
            </w:r>
          </w:p>
        </w:tc>
        <w:tc>
          <w:tcPr>
            <w:tcW w:w="900" w:type="dxa"/>
            <w:tcBorders>
              <w:top w:val="single" w:sz="1" w:space="0" w:color="CCCCCC"/>
              <w:left w:val="single" w:sz="1" w:space="0" w:color="CCCCCC"/>
              <w:bottom w:val="single" w:sz="1" w:space="0" w:color="CCCCCC"/>
              <w:right w:val="single" w:sz="1" w:space="0" w:color="CCCCCC"/>
            </w:tcBorders>
            <w:shd w:val="clear" w:color="FFFFFF" w:fill="FFFFFF"/>
          </w:tcPr>
          <w:p w14:paraId="43F300F7"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12.9%</w:t>
            </w:r>
          </w:p>
        </w:tc>
      </w:tr>
      <w:tr w:rsidR="00C43D55" w:rsidRPr="003B5052" w14:paraId="2D906484" w14:textId="77777777" w:rsidTr="0058588E">
        <w:tc>
          <w:tcPr>
            <w:tcW w:w="1600" w:type="dxa"/>
            <w:tcBorders>
              <w:top w:val="single" w:sz="1" w:space="0" w:color="CCCCCC"/>
              <w:left w:val="single" w:sz="1" w:space="0" w:color="CCCCCC"/>
              <w:bottom w:val="single" w:sz="1" w:space="0" w:color="CCCCCC"/>
              <w:right w:val="single" w:sz="1" w:space="0" w:color="CCCCCC"/>
            </w:tcBorders>
            <w:shd w:val="clear" w:color="D6E4F0" w:fill="D6E4F0"/>
          </w:tcPr>
          <w:p w14:paraId="259F2748"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Net Profit Margin</w:t>
            </w:r>
          </w:p>
        </w:tc>
        <w:tc>
          <w:tcPr>
            <w:tcW w:w="1800" w:type="dxa"/>
            <w:tcBorders>
              <w:top w:val="single" w:sz="1" w:space="0" w:color="CCCCCC"/>
              <w:left w:val="single" w:sz="1" w:space="0" w:color="CCCCCC"/>
              <w:bottom w:val="single" w:sz="1" w:space="0" w:color="CCCCCC"/>
              <w:right w:val="single" w:sz="1" w:space="0" w:color="CCCCCC"/>
            </w:tcBorders>
            <w:shd w:val="clear" w:color="D6E4F0" w:fill="D6E4F0"/>
          </w:tcPr>
          <w:p w14:paraId="65B2A93B"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PAT / Total Income</w:t>
            </w:r>
          </w:p>
        </w:tc>
        <w:tc>
          <w:tcPr>
            <w:tcW w:w="1700" w:type="dxa"/>
            <w:tcBorders>
              <w:top w:val="single" w:sz="1" w:space="0" w:color="CCCCCC"/>
              <w:left w:val="single" w:sz="1" w:space="0" w:color="CCCCCC"/>
              <w:bottom w:val="single" w:sz="1" w:space="0" w:color="CCCCCC"/>
              <w:right w:val="single" w:sz="1" w:space="0" w:color="CCCCCC"/>
            </w:tcBorders>
            <w:shd w:val="clear" w:color="D6E4F0" w:fill="D6E4F0"/>
          </w:tcPr>
          <w:p w14:paraId="12131F7E"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5,518 / 18,629</w:t>
            </w:r>
          </w:p>
        </w:tc>
        <w:tc>
          <w:tcPr>
            <w:tcW w:w="900" w:type="dxa"/>
            <w:tcBorders>
              <w:top w:val="single" w:sz="1" w:space="0" w:color="CCCCCC"/>
              <w:left w:val="single" w:sz="1" w:space="0" w:color="CCCCCC"/>
              <w:bottom w:val="single" w:sz="1" w:space="0" w:color="CCCCCC"/>
              <w:right w:val="single" w:sz="1" w:space="0" w:color="CCCCCC"/>
            </w:tcBorders>
            <w:shd w:val="clear" w:color="D6E4F0" w:fill="D6E4F0"/>
          </w:tcPr>
          <w:p w14:paraId="02ABDD33"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29.6%</w:t>
            </w:r>
          </w:p>
        </w:tc>
        <w:tc>
          <w:tcPr>
            <w:tcW w:w="1700" w:type="dxa"/>
            <w:tcBorders>
              <w:top w:val="single" w:sz="1" w:space="0" w:color="CCCCCC"/>
              <w:left w:val="single" w:sz="1" w:space="0" w:color="CCCCCC"/>
              <w:bottom w:val="single" w:sz="1" w:space="0" w:color="CCCCCC"/>
              <w:right w:val="single" w:sz="1" w:space="0" w:color="CCCCCC"/>
            </w:tcBorders>
            <w:shd w:val="clear" w:color="D6E4F0" w:fill="D6E4F0"/>
          </w:tcPr>
          <w:p w14:paraId="16519864"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4,477 / 18,003</w:t>
            </w:r>
          </w:p>
        </w:tc>
        <w:tc>
          <w:tcPr>
            <w:tcW w:w="900" w:type="dxa"/>
            <w:tcBorders>
              <w:top w:val="single" w:sz="1" w:space="0" w:color="CCCCCC"/>
              <w:left w:val="single" w:sz="1" w:space="0" w:color="CCCCCC"/>
              <w:bottom w:val="single" w:sz="1" w:space="0" w:color="CCCCCC"/>
              <w:right w:val="single" w:sz="1" w:space="0" w:color="CCCCCC"/>
            </w:tcBorders>
            <w:shd w:val="clear" w:color="D6E4F0" w:fill="D6E4F0"/>
          </w:tcPr>
          <w:p w14:paraId="534FE3E9"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24.9%</w:t>
            </w:r>
          </w:p>
        </w:tc>
        <w:tc>
          <w:tcPr>
            <w:tcW w:w="1700" w:type="dxa"/>
            <w:tcBorders>
              <w:top w:val="single" w:sz="1" w:space="0" w:color="CCCCCC"/>
              <w:left w:val="single" w:sz="1" w:space="0" w:color="CCCCCC"/>
              <w:bottom w:val="single" w:sz="1" w:space="0" w:color="CCCCCC"/>
              <w:right w:val="single" w:sz="1" w:space="0" w:color="CCCCCC"/>
            </w:tcBorders>
            <w:shd w:val="clear" w:color="D6E4F0" w:fill="D6E4F0"/>
          </w:tcPr>
          <w:p w14:paraId="3AE7393D"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4,757 / 19,422</w:t>
            </w:r>
          </w:p>
        </w:tc>
        <w:tc>
          <w:tcPr>
            <w:tcW w:w="900" w:type="dxa"/>
            <w:tcBorders>
              <w:top w:val="single" w:sz="1" w:space="0" w:color="CCCCCC"/>
              <w:left w:val="single" w:sz="1" w:space="0" w:color="CCCCCC"/>
              <w:bottom w:val="single" w:sz="1" w:space="0" w:color="CCCCCC"/>
              <w:right w:val="single" w:sz="1" w:space="0" w:color="CCCCCC"/>
            </w:tcBorders>
            <w:shd w:val="clear" w:color="D6E4F0" w:fill="D6E4F0"/>
          </w:tcPr>
          <w:p w14:paraId="538B9999"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24.5%</w:t>
            </w:r>
          </w:p>
        </w:tc>
      </w:tr>
      <w:tr w:rsidR="00C43D55" w:rsidRPr="003B5052" w14:paraId="1AD9D8C2" w14:textId="77777777" w:rsidTr="0058588E">
        <w:tc>
          <w:tcPr>
            <w:tcW w:w="1600" w:type="dxa"/>
            <w:tcBorders>
              <w:top w:val="single" w:sz="1" w:space="0" w:color="CCCCCC"/>
              <w:left w:val="single" w:sz="1" w:space="0" w:color="CCCCCC"/>
              <w:bottom w:val="single" w:sz="1" w:space="0" w:color="CCCCCC"/>
              <w:right w:val="single" w:sz="1" w:space="0" w:color="CCCCCC"/>
            </w:tcBorders>
            <w:shd w:val="clear" w:color="FFFFFF" w:fill="FFFFFF"/>
          </w:tcPr>
          <w:p w14:paraId="176CDEF1"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Pre-Tax Margin</w:t>
            </w:r>
          </w:p>
        </w:tc>
        <w:tc>
          <w:tcPr>
            <w:tcW w:w="1800" w:type="dxa"/>
            <w:tcBorders>
              <w:top w:val="single" w:sz="1" w:space="0" w:color="CCCCCC"/>
              <w:left w:val="single" w:sz="1" w:space="0" w:color="CCCCCC"/>
              <w:bottom w:val="single" w:sz="1" w:space="0" w:color="CCCCCC"/>
              <w:right w:val="single" w:sz="1" w:space="0" w:color="CCCCCC"/>
            </w:tcBorders>
            <w:shd w:val="clear" w:color="FFFFFF" w:fill="FFFFFF"/>
          </w:tcPr>
          <w:p w14:paraId="46B185DD"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PBT / Total Income</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23693F9C"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7,503 / 18,629</w:t>
            </w:r>
          </w:p>
        </w:tc>
        <w:tc>
          <w:tcPr>
            <w:tcW w:w="900" w:type="dxa"/>
            <w:tcBorders>
              <w:top w:val="single" w:sz="1" w:space="0" w:color="CCCCCC"/>
              <w:left w:val="single" w:sz="1" w:space="0" w:color="CCCCCC"/>
              <w:bottom w:val="single" w:sz="1" w:space="0" w:color="CCCCCC"/>
              <w:right w:val="single" w:sz="1" w:space="0" w:color="CCCCCC"/>
            </w:tcBorders>
            <w:shd w:val="clear" w:color="FFFFFF" w:fill="FFFFFF"/>
          </w:tcPr>
          <w:p w14:paraId="17BA12B9"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40.3%</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586D0EE2"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5,971 / 18,003</w:t>
            </w:r>
          </w:p>
        </w:tc>
        <w:tc>
          <w:tcPr>
            <w:tcW w:w="900" w:type="dxa"/>
            <w:tcBorders>
              <w:top w:val="single" w:sz="1" w:space="0" w:color="CCCCCC"/>
              <w:left w:val="single" w:sz="1" w:space="0" w:color="CCCCCC"/>
              <w:bottom w:val="single" w:sz="1" w:space="0" w:color="CCCCCC"/>
              <w:right w:val="single" w:sz="1" w:space="0" w:color="CCCCCC"/>
            </w:tcBorders>
            <w:shd w:val="clear" w:color="FFFFFF" w:fill="FFFFFF"/>
          </w:tcPr>
          <w:p w14:paraId="6AE0DF79"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33.2%</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4FEA09F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6,661 / 19,422</w:t>
            </w:r>
          </w:p>
        </w:tc>
        <w:tc>
          <w:tcPr>
            <w:tcW w:w="900" w:type="dxa"/>
            <w:tcBorders>
              <w:top w:val="single" w:sz="1" w:space="0" w:color="CCCCCC"/>
              <w:left w:val="single" w:sz="1" w:space="0" w:color="CCCCCC"/>
              <w:bottom w:val="single" w:sz="1" w:space="0" w:color="CCCCCC"/>
              <w:right w:val="single" w:sz="1" w:space="0" w:color="CCCCCC"/>
            </w:tcBorders>
            <w:shd w:val="clear" w:color="FFFFFF" w:fill="FFFFFF"/>
          </w:tcPr>
          <w:p w14:paraId="608CF683"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34.3%</w:t>
            </w:r>
          </w:p>
        </w:tc>
      </w:tr>
      <w:tr w:rsidR="00C43D55" w:rsidRPr="003B5052" w14:paraId="49169F42" w14:textId="77777777" w:rsidTr="0058588E">
        <w:tc>
          <w:tcPr>
            <w:tcW w:w="1600" w:type="dxa"/>
            <w:tcBorders>
              <w:top w:val="single" w:sz="1" w:space="0" w:color="CCCCCC"/>
              <w:left w:val="single" w:sz="1" w:space="0" w:color="CCCCCC"/>
              <w:bottom w:val="single" w:sz="1" w:space="0" w:color="CCCCCC"/>
              <w:right w:val="single" w:sz="1" w:space="0" w:color="CCCCCC"/>
            </w:tcBorders>
            <w:shd w:val="clear" w:color="D6E4F0" w:fill="D6E4F0"/>
          </w:tcPr>
          <w:p w14:paraId="325D43CC"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Banking NIM (APM)</w:t>
            </w:r>
          </w:p>
        </w:tc>
        <w:tc>
          <w:tcPr>
            <w:tcW w:w="1800" w:type="dxa"/>
            <w:tcBorders>
              <w:top w:val="single" w:sz="1" w:space="0" w:color="CCCCCC"/>
              <w:left w:val="single" w:sz="1" w:space="0" w:color="CCCCCC"/>
              <w:bottom w:val="single" w:sz="1" w:space="0" w:color="CCCCCC"/>
              <w:right w:val="single" w:sz="1" w:space="0" w:color="CCCCCC"/>
            </w:tcBorders>
            <w:shd w:val="clear" w:color="D6E4F0" w:fill="D6E4F0"/>
          </w:tcPr>
          <w:p w14:paraId="3EFEC13A"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NII / Avg. IE Banking Assets</w:t>
            </w:r>
          </w:p>
        </w:tc>
        <w:tc>
          <w:tcPr>
            <w:tcW w:w="1700" w:type="dxa"/>
            <w:tcBorders>
              <w:top w:val="single" w:sz="1" w:space="0" w:color="CCCCCC"/>
              <w:left w:val="single" w:sz="1" w:space="0" w:color="CCCCCC"/>
              <w:bottom w:val="single" w:sz="1" w:space="0" w:color="CCCCCC"/>
              <w:right w:val="single" w:sz="1" w:space="0" w:color="CCCCCC"/>
            </w:tcBorders>
            <w:shd w:val="clear" w:color="D6E4F0" w:fill="D6E4F0"/>
          </w:tcPr>
          <w:p w14:paraId="4E4798EC"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 by LBG</w:t>
            </w:r>
          </w:p>
        </w:tc>
        <w:tc>
          <w:tcPr>
            <w:tcW w:w="900" w:type="dxa"/>
            <w:tcBorders>
              <w:top w:val="single" w:sz="1" w:space="0" w:color="CCCCCC"/>
              <w:left w:val="single" w:sz="1" w:space="0" w:color="CCCCCC"/>
              <w:bottom w:val="single" w:sz="1" w:space="0" w:color="CCCCCC"/>
              <w:right w:val="single" w:sz="1" w:space="0" w:color="CCCCCC"/>
            </w:tcBorders>
            <w:shd w:val="clear" w:color="D6E4F0" w:fill="D6E4F0"/>
          </w:tcPr>
          <w:p w14:paraId="2BC2812F"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~3.22%</w:t>
            </w:r>
          </w:p>
        </w:tc>
        <w:tc>
          <w:tcPr>
            <w:tcW w:w="1700" w:type="dxa"/>
            <w:tcBorders>
              <w:top w:val="single" w:sz="1" w:space="0" w:color="CCCCCC"/>
              <w:left w:val="single" w:sz="1" w:space="0" w:color="CCCCCC"/>
              <w:bottom w:val="single" w:sz="1" w:space="0" w:color="CCCCCC"/>
              <w:right w:val="single" w:sz="1" w:space="0" w:color="CCCCCC"/>
            </w:tcBorders>
            <w:shd w:val="clear" w:color="D6E4F0" w:fill="D6E4F0"/>
          </w:tcPr>
          <w:p w14:paraId="5FE2ADAE"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 by LBG</w:t>
            </w:r>
          </w:p>
        </w:tc>
        <w:tc>
          <w:tcPr>
            <w:tcW w:w="900" w:type="dxa"/>
            <w:tcBorders>
              <w:top w:val="single" w:sz="1" w:space="0" w:color="CCCCCC"/>
              <w:left w:val="single" w:sz="1" w:space="0" w:color="CCCCCC"/>
              <w:bottom w:val="single" w:sz="1" w:space="0" w:color="CCCCCC"/>
              <w:right w:val="single" w:sz="1" w:space="0" w:color="CCCCCC"/>
            </w:tcBorders>
            <w:shd w:val="clear" w:color="D6E4F0" w:fill="D6E4F0"/>
          </w:tcPr>
          <w:p w14:paraId="162DE29A"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2.95%</w:t>
            </w:r>
          </w:p>
        </w:tc>
        <w:tc>
          <w:tcPr>
            <w:tcW w:w="1700" w:type="dxa"/>
            <w:tcBorders>
              <w:top w:val="single" w:sz="1" w:space="0" w:color="CCCCCC"/>
              <w:left w:val="single" w:sz="1" w:space="0" w:color="CCCCCC"/>
              <w:bottom w:val="single" w:sz="1" w:space="0" w:color="CCCCCC"/>
              <w:right w:val="single" w:sz="1" w:space="0" w:color="CCCCCC"/>
            </w:tcBorders>
            <w:shd w:val="clear" w:color="D6E4F0" w:fill="D6E4F0"/>
          </w:tcPr>
          <w:p w14:paraId="795AE11E"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 by LBG</w:t>
            </w:r>
          </w:p>
        </w:tc>
        <w:tc>
          <w:tcPr>
            <w:tcW w:w="900" w:type="dxa"/>
            <w:tcBorders>
              <w:top w:val="single" w:sz="1" w:space="0" w:color="CCCCCC"/>
              <w:left w:val="single" w:sz="1" w:space="0" w:color="CCCCCC"/>
              <w:bottom w:val="single" w:sz="1" w:space="0" w:color="CCCCCC"/>
              <w:right w:val="single" w:sz="1" w:space="0" w:color="CCCCCC"/>
            </w:tcBorders>
            <w:shd w:val="clear" w:color="D6E4F0" w:fill="D6E4F0"/>
          </w:tcPr>
          <w:p w14:paraId="2E7B3E6D"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3.06%</w:t>
            </w:r>
          </w:p>
        </w:tc>
      </w:tr>
      <w:tr w:rsidR="00C43D55" w:rsidRPr="003B5052" w14:paraId="3A3EB6E2" w14:textId="77777777" w:rsidTr="0058588E">
        <w:tc>
          <w:tcPr>
            <w:tcW w:w="1600" w:type="dxa"/>
            <w:tcBorders>
              <w:top w:val="single" w:sz="1" w:space="0" w:color="CCCCCC"/>
              <w:left w:val="single" w:sz="1" w:space="0" w:color="CCCCCC"/>
              <w:bottom w:val="single" w:sz="1" w:space="0" w:color="CCCCCC"/>
              <w:right w:val="single" w:sz="1" w:space="0" w:color="CCCCCC"/>
            </w:tcBorders>
            <w:shd w:val="clear" w:color="FFFFFF" w:fill="FFFFFF"/>
          </w:tcPr>
          <w:p w14:paraId="03E881A5" w14:textId="77777777" w:rsidR="00C43D55" w:rsidRPr="003B5052" w:rsidRDefault="00C43D55" w:rsidP="003B5052">
            <w:pPr>
              <w:spacing w:line="360" w:lineRule="auto"/>
              <w:rPr>
                <w:rFonts w:ascii="Times New Roman" w:hAnsi="Times New Roman" w:cs="Times New Roman"/>
              </w:rPr>
            </w:pPr>
            <w:proofErr w:type="spellStart"/>
            <w:r w:rsidRPr="003B5052">
              <w:rPr>
                <w:rFonts w:ascii="Times New Roman" w:hAnsi="Times New Roman" w:cs="Times New Roman"/>
              </w:rPr>
              <w:t>Cost:Income</w:t>
            </w:r>
            <w:proofErr w:type="spellEnd"/>
            <w:r w:rsidRPr="003B5052">
              <w:rPr>
                <w:rFonts w:ascii="Times New Roman" w:hAnsi="Times New Roman" w:cs="Times New Roman"/>
              </w:rPr>
              <w:t xml:space="preserve"> (Stat.)</w:t>
            </w:r>
          </w:p>
        </w:tc>
        <w:tc>
          <w:tcPr>
            <w:tcW w:w="1800" w:type="dxa"/>
            <w:tcBorders>
              <w:top w:val="single" w:sz="1" w:space="0" w:color="CCCCCC"/>
              <w:left w:val="single" w:sz="1" w:space="0" w:color="CCCCCC"/>
              <w:bottom w:val="single" w:sz="1" w:space="0" w:color="CCCCCC"/>
              <w:right w:val="single" w:sz="1" w:space="0" w:color="CCCCCC"/>
            </w:tcBorders>
            <w:shd w:val="clear" w:color="FFFFFF" w:fill="FFFFFF"/>
          </w:tcPr>
          <w:p w14:paraId="09C2422E"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Op. Expenses / Total Income</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7C718AC4"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10,823 / 18,629</w:t>
            </w:r>
          </w:p>
        </w:tc>
        <w:tc>
          <w:tcPr>
            <w:tcW w:w="900" w:type="dxa"/>
            <w:tcBorders>
              <w:top w:val="single" w:sz="1" w:space="0" w:color="CCCCCC"/>
              <w:left w:val="single" w:sz="1" w:space="0" w:color="CCCCCC"/>
              <w:bottom w:val="single" w:sz="1" w:space="0" w:color="CCCCCC"/>
              <w:right w:val="single" w:sz="1" w:space="0" w:color="CCCCCC"/>
            </w:tcBorders>
            <w:shd w:val="clear" w:color="FFFFFF" w:fill="FFFFFF"/>
          </w:tcPr>
          <w:p w14:paraId="2AE579EA"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58.1%</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4082D17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11,601 / 18,003</w:t>
            </w:r>
          </w:p>
        </w:tc>
        <w:tc>
          <w:tcPr>
            <w:tcW w:w="900" w:type="dxa"/>
            <w:tcBorders>
              <w:top w:val="single" w:sz="1" w:space="0" w:color="CCCCCC"/>
              <w:left w:val="single" w:sz="1" w:space="0" w:color="CCCCCC"/>
              <w:bottom w:val="single" w:sz="1" w:space="0" w:color="CCCCCC"/>
              <w:right w:val="single" w:sz="1" w:space="0" w:color="CCCCCC"/>
            </w:tcBorders>
            <w:shd w:val="clear" w:color="FFFFFF" w:fill="FFFFFF"/>
          </w:tcPr>
          <w:p w14:paraId="75AA7255"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64.4%</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26F1183F"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11,966 / 19,422</w:t>
            </w:r>
          </w:p>
        </w:tc>
        <w:tc>
          <w:tcPr>
            <w:tcW w:w="900" w:type="dxa"/>
            <w:tcBorders>
              <w:top w:val="single" w:sz="1" w:space="0" w:color="CCCCCC"/>
              <w:left w:val="single" w:sz="1" w:space="0" w:color="CCCCCC"/>
              <w:bottom w:val="single" w:sz="1" w:space="0" w:color="CCCCCC"/>
              <w:right w:val="single" w:sz="1" w:space="0" w:color="CCCCCC"/>
            </w:tcBorders>
            <w:shd w:val="clear" w:color="FFFFFF" w:fill="FFFFFF"/>
          </w:tcPr>
          <w:p w14:paraId="0A3BFBFC"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61.6%</w:t>
            </w:r>
          </w:p>
        </w:tc>
      </w:tr>
      <w:tr w:rsidR="00C43D55" w:rsidRPr="003B5052" w14:paraId="523C8C71" w14:textId="77777777" w:rsidTr="0058588E">
        <w:tc>
          <w:tcPr>
            <w:tcW w:w="1600" w:type="dxa"/>
            <w:tcBorders>
              <w:top w:val="single" w:sz="1" w:space="0" w:color="CCCCCC"/>
              <w:left w:val="single" w:sz="1" w:space="0" w:color="CCCCCC"/>
              <w:bottom w:val="single" w:sz="1" w:space="0" w:color="CCCCCC"/>
              <w:right w:val="single" w:sz="1" w:space="0" w:color="CCCCCC"/>
            </w:tcBorders>
            <w:shd w:val="clear" w:color="D6E4F0" w:fill="D6E4F0"/>
          </w:tcPr>
          <w:p w14:paraId="12FAC8C2"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Effective Tax Rate</w:t>
            </w:r>
          </w:p>
        </w:tc>
        <w:tc>
          <w:tcPr>
            <w:tcW w:w="1800" w:type="dxa"/>
            <w:tcBorders>
              <w:top w:val="single" w:sz="1" w:space="0" w:color="CCCCCC"/>
              <w:left w:val="single" w:sz="1" w:space="0" w:color="CCCCCC"/>
              <w:bottom w:val="single" w:sz="1" w:space="0" w:color="CCCCCC"/>
              <w:right w:val="single" w:sz="1" w:space="0" w:color="CCCCCC"/>
            </w:tcBorders>
            <w:shd w:val="clear" w:color="D6E4F0" w:fill="D6E4F0"/>
          </w:tcPr>
          <w:p w14:paraId="39F466FC"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Tax / PBT</w:t>
            </w:r>
          </w:p>
        </w:tc>
        <w:tc>
          <w:tcPr>
            <w:tcW w:w="1700" w:type="dxa"/>
            <w:tcBorders>
              <w:top w:val="single" w:sz="1" w:space="0" w:color="CCCCCC"/>
              <w:left w:val="single" w:sz="1" w:space="0" w:color="CCCCCC"/>
              <w:bottom w:val="single" w:sz="1" w:space="0" w:color="CCCCCC"/>
              <w:right w:val="single" w:sz="1" w:space="0" w:color="CCCCCC"/>
            </w:tcBorders>
            <w:shd w:val="clear" w:color="D6E4F0" w:fill="D6E4F0"/>
          </w:tcPr>
          <w:p w14:paraId="701FA75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1,985 / 7,503</w:t>
            </w:r>
          </w:p>
        </w:tc>
        <w:tc>
          <w:tcPr>
            <w:tcW w:w="900" w:type="dxa"/>
            <w:tcBorders>
              <w:top w:val="single" w:sz="1" w:space="0" w:color="CCCCCC"/>
              <w:left w:val="single" w:sz="1" w:space="0" w:color="CCCCCC"/>
              <w:bottom w:val="single" w:sz="1" w:space="0" w:color="CCCCCC"/>
              <w:right w:val="single" w:sz="1" w:space="0" w:color="CCCCCC"/>
            </w:tcBorders>
            <w:shd w:val="clear" w:color="D6E4F0" w:fill="D6E4F0"/>
          </w:tcPr>
          <w:p w14:paraId="09638DA0"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26.5%</w:t>
            </w:r>
          </w:p>
        </w:tc>
        <w:tc>
          <w:tcPr>
            <w:tcW w:w="1700" w:type="dxa"/>
            <w:tcBorders>
              <w:top w:val="single" w:sz="1" w:space="0" w:color="CCCCCC"/>
              <w:left w:val="single" w:sz="1" w:space="0" w:color="CCCCCC"/>
              <w:bottom w:val="single" w:sz="1" w:space="0" w:color="CCCCCC"/>
              <w:right w:val="single" w:sz="1" w:space="0" w:color="CCCCCC"/>
            </w:tcBorders>
            <w:shd w:val="clear" w:color="D6E4F0" w:fill="D6E4F0"/>
          </w:tcPr>
          <w:p w14:paraId="4B3CDE82"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1,494 / 5,971</w:t>
            </w:r>
          </w:p>
        </w:tc>
        <w:tc>
          <w:tcPr>
            <w:tcW w:w="900" w:type="dxa"/>
            <w:tcBorders>
              <w:top w:val="single" w:sz="1" w:space="0" w:color="CCCCCC"/>
              <w:left w:val="single" w:sz="1" w:space="0" w:color="CCCCCC"/>
              <w:bottom w:val="single" w:sz="1" w:space="0" w:color="CCCCCC"/>
              <w:right w:val="single" w:sz="1" w:space="0" w:color="CCCCCC"/>
            </w:tcBorders>
            <w:shd w:val="clear" w:color="D6E4F0" w:fill="D6E4F0"/>
          </w:tcPr>
          <w:p w14:paraId="79310195"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25.0%</w:t>
            </w:r>
          </w:p>
        </w:tc>
        <w:tc>
          <w:tcPr>
            <w:tcW w:w="1700" w:type="dxa"/>
            <w:tcBorders>
              <w:top w:val="single" w:sz="1" w:space="0" w:color="CCCCCC"/>
              <w:left w:val="single" w:sz="1" w:space="0" w:color="CCCCCC"/>
              <w:bottom w:val="single" w:sz="1" w:space="0" w:color="CCCCCC"/>
              <w:right w:val="single" w:sz="1" w:space="0" w:color="CCCCCC"/>
            </w:tcBorders>
            <w:shd w:val="clear" w:color="D6E4F0" w:fill="D6E4F0"/>
          </w:tcPr>
          <w:p w14:paraId="6816A198"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1,904 / 6,661</w:t>
            </w:r>
          </w:p>
        </w:tc>
        <w:tc>
          <w:tcPr>
            <w:tcW w:w="900" w:type="dxa"/>
            <w:tcBorders>
              <w:top w:val="single" w:sz="1" w:space="0" w:color="CCCCCC"/>
              <w:left w:val="single" w:sz="1" w:space="0" w:color="CCCCCC"/>
              <w:bottom w:val="single" w:sz="1" w:space="0" w:color="CCCCCC"/>
              <w:right w:val="single" w:sz="1" w:space="0" w:color="CCCCCC"/>
            </w:tcBorders>
            <w:shd w:val="clear" w:color="D6E4F0" w:fill="D6E4F0"/>
          </w:tcPr>
          <w:p w14:paraId="474236C9"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28.6%</w:t>
            </w:r>
          </w:p>
        </w:tc>
      </w:tr>
      <w:tr w:rsidR="00C43D55" w:rsidRPr="003B5052" w14:paraId="5B1ED26B" w14:textId="77777777" w:rsidTr="0058588E">
        <w:tc>
          <w:tcPr>
            <w:tcW w:w="1600" w:type="dxa"/>
            <w:tcBorders>
              <w:top w:val="single" w:sz="1" w:space="0" w:color="CCCCCC"/>
              <w:left w:val="single" w:sz="1" w:space="0" w:color="CCCCCC"/>
              <w:bottom w:val="single" w:sz="1" w:space="0" w:color="CCCCCC"/>
              <w:right w:val="single" w:sz="1" w:space="0" w:color="CCCCCC"/>
            </w:tcBorders>
            <w:shd w:val="clear" w:color="FFFFFF" w:fill="FFFFFF"/>
          </w:tcPr>
          <w:p w14:paraId="77E4B991"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AQR (Statutory)</w:t>
            </w:r>
          </w:p>
        </w:tc>
        <w:tc>
          <w:tcPr>
            <w:tcW w:w="1800" w:type="dxa"/>
            <w:tcBorders>
              <w:top w:val="single" w:sz="1" w:space="0" w:color="CCCCCC"/>
              <w:left w:val="single" w:sz="1" w:space="0" w:color="CCCCCC"/>
              <w:bottom w:val="single" w:sz="1" w:space="0" w:color="CCCCCC"/>
              <w:right w:val="single" w:sz="1" w:space="0" w:color="CCCCCC"/>
            </w:tcBorders>
            <w:shd w:val="clear" w:color="FFFFFF" w:fill="FFFFFF"/>
          </w:tcPr>
          <w:p w14:paraId="1CAFECCF"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Impairment / Avg. Loans</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241C81DD"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303 / 459,857</w:t>
            </w:r>
          </w:p>
        </w:tc>
        <w:tc>
          <w:tcPr>
            <w:tcW w:w="900" w:type="dxa"/>
            <w:tcBorders>
              <w:top w:val="single" w:sz="1" w:space="0" w:color="CCCCCC"/>
              <w:left w:val="single" w:sz="1" w:space="0" w:color="CCCCCC"/>
              <w:bottom w:val="single" w:sz="1" w:space="0" w:color="CCCCCC"/>
              <w:right w:val="single" w:sz="1" w:space="0" w:color="CCCCCC"/>
            </w:tcBorders>
            <w:shd w:val="clear" w:color="FFFFFF" w:fill="FFFFFF"/>
          </w:tcPr>
          <w:p w14:paraId="74AECBC1"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0.07%</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70CBAE7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431 / 459,857</w:t>
            </w:r>
          </w:p>
        </w:tc>
        <w:tc>
          <w:tcPr>
            <w:tcW w:w="900" w:type="dxa"/>
            <w:tcBorders>
              <w:top w:val="single" w:sz="1" w:space="0" w:color="CCCCCC"/>
              <w:left w:val="single" w:sz="1" w:space="0" w:color="CCCCCC"/>
              <w:bottom w:val="single" w:sz="1" w:space="0" w:color="CCCCCC"/>
              <w:right w:val="single" w:sz="1" w:space="0" w:color="CCCCCC"/>
            </w:tcBorders>
            <w:shd w:val="clear" w:color="FFFFFF" w:fill="FFFFFF"/>
          </w:tcPr>
          <w:p w14:paraId="50F0CEBD"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0.09%</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41381BD3"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795 / 470,660</w:t>
            </w:r>
          </w:p>
        </w:tc>
        <w:tc>
          <w:tcPr>
            <w:tcW w:w="900" w:type="dxa"/>
            <w:tcBorders>
              <w:top w:val="single" w:sz="1" w:space="0" w:color="CCCCCC"/>
              <w:left w:val="single" w:sz="1" w:space="0" w:color="CCCCCC"/>
              <w:bottom w:val="single" w:sz="1" w:space="0" w:color="CCCCCC"/>
              <w:right w:val="single" w:sz="1" w:space="0" w:color="CCCCCC"/>
            </w:tcBorders>
            <w:shd w:val="clear" w:color="FFFFFF" w:fill="FFFFFF"/>
          </w:tcPr>
          <w:p w14:paraId="20904E7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0.17%</w:t>
            </w:r>
          </w:p>
        </w:tc>
      </w:tr>
    </w:tbl>
    <w:p w14:paraId="487B2CA3" w14:textId="77777777" w:rsidR="00C43D55" w:rsidRPr="003B5052" w:rsidRDefault="00C43D55" w:rsidP="003B5052">
      <w:pPr>
        <w:spacing w:line="360" w:lineRule="auto"/>
        <w:rPr>
          <w:rFonts w:ascii="Times New Roman" w:hAnsi="Times New Roman" w:cs="Times New Roman"/>
        </w:rPr>
      </w:pPr>
    </w:p>
    <w:p w14:paraId="386C33EB"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Appendix B: Liquidity Ratio Workings</w:t>
      </w:r>
    </w:p>
    <w:p w14:paraId="2A109BE2" w14:textId="77777777" w:rsidR="00C43D55" w:rsidRPr="003B5052" w:rsidRDefault="00C43D55" w:rsidP="003B5052">
      <w:pPr>
        <w:spacing w:line="360" w:lineRule="auto"/>
        <w:rPr>
          <w:rFonts w:ascii="Times New Roman" w:hAnsi="Times New Roman" w:cs="Times New Roman"/>
        </w:rPr>
      </w:pPr>
    </w:p>
    <w:tbl>
      <w:tblPr>
        <w:tblW w:w="10200" w:type="dxa"/>
        <w:tblBorders>
          <w:top w:val="single" w:sz="1" w:space="0" w:color="AAAAAA"/>
          <w:left w:val="single" w:sz="1" w:space="0" w:color="AAAAA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1800"/>
        <w:gridCol w:w="1800"/>
        <w:gridCol w:w="1800"/>
      </w:tblGrid>
      <w:tr w:rsidR="00C43D55" w:rsidRPr="003B5052" w14:paraId="6E248D16" w14:textId="77777777" w:rsidTr="0058588E">
        <w:trPr>
          <w:tblHeader/>
        </w:trPr>
        <w:tc>
          <w:tcPr>
            <w:tcW w:w="2200" w:type="dxa"/>
            <w:tcBorders>
              <w:top w:val="single" w:sz="1" w:space="0" w:color="1B3A5C"/>
              <w:left w:val="single" w:sz="1" w:space="0" w:color="1B3A5C"/>
              <w:bottom w:val="single" w:sz="1" w:space="0" w:color="1B3A5C"/>
              <w:right w:val="single" w:sz="1" w:space="0" w:color="1B3A5C"/>
            </w:tcBorders>
            <w:shd w:val="clear" w:color="1B3A5C" w:fill="1B3A5C"/>
          </w:tcPr>
          <w:p w14:paraId="5A38FAF3"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Ratio</w:t>
            </w:r>
          </w:p>
        </w:tc>
        <w:tc>
          <w:tcPr>
            <w:tcW w:w="2600" w:type="dxa"/>
            <w:tcBorders>
              <w:top w:val="single" w:sz="1" w:space="0" w:color="1B3A5C"/>
              <w:left w:val="single" w:sz="1" w:space="0" w:color="1B3A5C"/>
              <w:bottom w:val="single" w:sz="1" w:space="0" w:color="1B3A5C"/>
              <w:right w:val="single" w:sz="1" w:space="0" w:color="1B3A5C"/>
            </w:tcBorders>
            <w:shd w:val="clear" w:color="1B3A5C" w:fill="1B3A5C"/>
          </w:tcPr>
          <w:p w14:paraId="570031EA"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Formula</w:t>
            </w:r>
          </w:p>
        </w:tc>
        <w:tc>
          <w:tcPr>
            <w:tcW w:w="1800" w:type="dxa"/>
            <w:tcBorders>
              <w:top w:val="single" w:sz="1" w:space="0" w:color="1B3A5C"/>
              <w:left w:val="single" w:sz="1" w:space="0" w:color="1B3A5C"/>
              <w:bottom w:val="single" w:sz="1" w:space="0" w:color="1B3A5C"/>
              <w:right w:val="single" w:sz="1" w:space="0" w:color="1B3A5C"/>
            </w:tcBorders>
            <w:shd w:val="clear" w:color="1B3A5C" w:fill="1B3A5C"/>
          </w:tcPr>
          <w:p w14:paraId="3D87BE97"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2023</w:t>
            </w:r>
          </w:p>
        </w:tc>
        <w:tc>
          <w:tcPr>
            <w:tcW w:w="1800" w:type="dxa"/>
            <w:tcBorders>
              <w:top w:val="single" w:sz="1" w:space="0" w:color="1B3A5C"/>
              <w:left w:val="single" w:sz="1" w:space="0" w:color="1B3A5C"/>
              <w:bottom w:val="single" w:sz="1" w:space="0" w:color="1B3A5C"/>
              <w:right w:val="single" w:sz="1" w:space="0" w:color="1B3A5C"/>
            </w:tcBorders>
            <w:shd w:val="clear" w:color="1B3A5C" w:fill="1B3A5C"/>
          </w:tcPr>
          <w:p w14:paraId="1BA785DE"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2024</w:t>
            </w:r>
          </w:p>
        </w:tc>
        <w:tc>
          <w:tcPr>
            <w:tcW w:w="1800" w:type="dxa"/>
            <w:tcBorders>
              <w:top w:val="single" w:sz="1" w:space="0" w:color="1B3A5C"/>
              <w:left w:val="single" w:sz="1" w:space="0" w:color="1B3A5C"/>
              <w:bottom w:val="single" w:sz="1" w:space="0" w:color="1B3A5C"/>
              <w:right w:val="single" w:sz="1" w:space="0" w:color="1B3A5C"/>
            </w:tcBorders>
            <w:shd w:val="clear" w:color="1B3A5C" w:fill="1B3A5C"/>
          </w:tcPr>
          <w:p w14:paraId="04C7556B"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2025</w:t>
            </w:r>
          </w:p>
        </w:tc>
      </w:tr>
      <w:tr w:rsidR="00C43D55" w:rsidRPr="003B5052" w14:paraId="0C3EE7E7" w14:textId="77777777" w:rsidTr="0058588E">
        <w:tc>
          <w:tcPr>
            <w:tcW w:w="2200" w:type="dxa"/>
            <w:tcBorders>
              <w:top w:val="single" w:sz="1" w:space="0" w:color="CCCCCC"/>
              <w:left w:val="single" w:sz="1" w:space="0" w:color="CCCCCC"/>
              <w:bottom w:val="single" w:sz="1" w:space="0" w:color="CCCCCC"/>
              <w:right w:val="single" w:sz="1" w:space="0" w:color="CCCCCC"/>
            </w:tcBorders>
            <w:shd w:val="clear" w:color="FFFFFF" w:fill="FFFFFF"/>
          </w:tcPr>
          <w:p w14:paraId="0B456D12"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Loan-to-Deposit Ratio</w:t>
            </w:r>
          </w:p>
        </w:tc>
        <w:tc>
          <w:tcPr>
            <w:tcW w:w="2600" w:type="dxa"/>
            <w:tcBorders>
              <w:top w:val="single" w:sz="1" w:space="0" w:color="CCCCCC"/>
              <w:left w:val="single" w:sz="1" w:space="0" w:color="CCCCCC"/>
              <w:bottom w:val="single" w:sz="1" w:space="0" w:color="CCCCCC"/>
              <w:right w:val="single" w:sz="1" w:space="0" w:color="CCCCCC"/>
            </w:tcBorders>
            <w:shd w:val="clear" w:color="FFFFFF" w:fill="FFFFFF"/>
          </w:tcPr>
          <w:p w14:paraId="01760A8F"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Loans / Customer Deposits</w:t>
            </w:r>
          </w:p>
        </w:tc>
        <w:tc>
          <w:tcPr>
            <w:tcW w:w="1800" w:type="dxa"/>
            <w:tcBorders>
              <w:top w:val="single" w:sz="1" w:space="0" w:color="CCCCCC"/>
              <w:left w:val="single" w:sz="1" w:space="0" w:color="CCCCCC"/>
              <w:bottom w:val="single" w:sz="1" w:space="0" w:color="CCCCCC"/>
              <w:right w:val="single" w:sz="1" w:space="0" w:color="CCCCCC"/>
            </w:tcBorders>
            <w:shd w:val="clear" w:color="FFFFFF" w:fill="FFFFFF"/>
          </w:tcPr>
          <w:p w14:paraId="287FBA3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459,857 / ~490,000 = ~93%</w:t>
            </w:r>
          </w:p>
        </w:tc>
        <w:tc>
          <w:tcPr>
            <w:tcW w:w="1800" w:type="dxa"/>
            <w:tcBorders>
              <w:top w:val="single" w:sz="1" w:space="0" w:color="CCCCCC"/>
              <w:left w:val="single" w:sz="1" w:space="0" w:color="CCCCCC"/>
              <w:bottom w:val="single" w:sz="1" w:space="0" w:color="CCCCCC"/>
              <w:right w:val="single" w:sz="1" w:space="0" w:color="CCCCCC"/>
            </w:tcBorders>
            <w:shd w:val="clear" w:color="FFFFFF" w:fill="FFFFFF"/>
          </w:tcPr>
          <w:p w14:paraId="47176E2D"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459,857 / 482,745 = 95.3%</w:t>
            </w:r>
          </w:p>
        </w:tc>
        <w:tc>
          <w:tcPr>
            <w:tcW w:w="1800" w:type="dxa"/>
            <w:tcBorders>
              <w:top w:val="single" w:sz="1" w:space="0" w:color="CCCCCC"/>
              <w:left w:val="single" w:sz="1" w:space="0" w:color="CCCCCC"/>
              <w:bottom w:val="single" w:sz="1" w:space="0" w:color="CCCCCC"/>
              <w:right w:val="single" w:sz="1" w:space="0" w:color="CCCCCC"/>
            </w:tcBorders>
            <w:shd w:val="clear" w:color="FFFFFF" w:fill="FFFFFF"/>
          </w:tcPr>
          <w:p w14:paraId="68EAA167"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481,463 / 496,457 = 97.0%</w:t>
            </w:r>
          </w:p>
        </w:tc>
      </w:tr>
      <w:tr w:rsidR="00C43D55" w:rsidRPr="003B5052" w14:paraId="56B90A0B" w14:textId="77777777" w:rsidTr="0058588E">
        <w:tc>
          <w:tcPr>
            <w:tcW w:w="2200" w:type="dxa"/>
            <w:tcBorders>
              <w:top w:val="single" w:sz="1" w:space="0" w:color="CCCCCC"/>
              <w:left w:val="single" w:sz="1" w:space="0" w:color="CCCCCC"/>
              <w:bottom w:val="single" w:sz="1" w:space="0" w:color="CCCCCC"/>
              <w:right w:val="single" w:sz="1" w:space="0" w:color="CCCCCC"/>
            </w:tcBorders>
            <w:shd w:val="clear" w:color="D6E4F0" w:fill="D6E4F0"/>
          </w:tcPr>
          <w:p w14:paraId="64534994"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LCR (Reported)</w:t>
            </w:r>
          </w:p>
        </w:tc>
        <w:tc>
          <w:tcPr>
            <w:tcW w:w="2600" w:type="dxa"/>
            <w:tcBorders>
              <w:top w:val="single" w:sz="1" w:space="0" w:color="CCCCCC"/>
              <w:left w:val="single" w:sz="1" w:space="0" w:color="CCCCCC"/>
              <w:bottom w:val="single" w:sz="1" w:space="0" w:color="CCCCCC"/>
              <w:right w:val="single" w:sz="1" w:space="0" w:color="CCCCCC"/>
            </w:tcBorders>
            <w:shd w:val="clear" w:color="D6E4F0" w:fill="D6E4F0"/>
          </w:tcPr>
          <w:p w14:paraId="6A3AA99A"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HQLA / 30-day stress outflows</w:t>
            </w:r>
          </w:p>
        </w:tc>
        <w:tc>
          <w:tcPr>
            <w:tcW w:w="1800" w:type="dxa"/>
            <w:tcBorders>
              <w:top w:val="single" w:sz="1" w:space="0" w:color="CCCCCC"/>
              <w:left w:val="single" w:sz="1" w:space="0" w:color="CCCCCC"/>
              <w:bottom w:val="single" w:sz="1" w:space="0" w:color="CCCCCC"/>
              <w:right w:val="single" w:sz="1" w:space="0" w:color="CCCCCC"/>
            </w:tcBorders>
            <w:shd w:val="clear" w:color="D6E4F0" w:fill="D6E4F0"/>
          </w:tcPr>
          <w:p w14:paraId="678955EE"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~150% (prior AR)</w:t>
            </w:r>
          </w:p>
        </w:tc>
        <w:tc>
          <w:tcPr>
            <w:tcW w:w="1800" w:type="dxa"/>
            <w:tcBorders>
              <w:top w:val="single" w:sz="1" w:space="0" w:color="CCCCCC"/>
              <w:left w:val="single" w:sz="1" w:space="0" w:color="CCCCCC"/>
              <w:bottom w:val="single" w:sz="1" w:space="0" w:color="CCCCCC"/>
              <w:right w:val="single" w:sz="1" w:space="0" w:color="CCCCCC"/>
            </w:tcBorders>
            <w:shd w:val="clear" w:color="D6E4F0" w:fill="D6E4F0"/>
          </w:tcPr>
          <w:p w14:paraId="1AB27543"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146%</w:t>
            </w:r>
          </w:p>
        </w:tc>
        <w:tc>
          <w:tcPr>
            <w:tcW w:w="1800" w:type="dxa"/>
            <w:tcBorders>
              <w:top w:val="single" w:sz="1" w:space="0" w:color="CCCCCC"/>
              <w:left w:val="single" w:sz="1" w:space="0" w:color="CCCCCC"/>
              <w:bottom w:val="single" w:sz="1" w:space="0" w:color="CCCCCC"/>
              <w:right w:val="single" w:sz="1" w:space="0" w:color="CCCCCC"/>
            </w:tcBorders>
            <w:shd w:val="clear" w:color="D6E4F0" w:fill="D6E4F0"/>
          </w:tcPr>
          <w:p w14:paraId="4B495119"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145%</w:t>
            </w:r>
          </w:p>
        </w:tc>
      </w:tr>
      <w:tr w:rsidR="00C43D55" w:rsidRPr="003B5052" w14:paraId="0DC5A4CA" w14:textId="77777777" w:rsidTr="0058588E">
        <w:tc>
          <w:tcPr>
            <w:tcW w:w="2200" w:type="dxa"/>
            <w:tcBorders>
              <w:top w:val="single" w:sz="1" w:space="0" w:color="CCCCCC"/>
              <w:left w:val="single" w:sz="1" w:space="0" w:color="CCCCCC"/>
              <w:bottom w:val="single" w:sz="1" w:space="0" w:color="CCCCCC"/>
              <w:right w:val="single" w:sz="1" w:space="0" w:color="CCCCCC"/>
            </w:tcBorders>
            <w:shd w:val="clear" w:color="FFFFFF" w:fill="FFFFFF"/>
          </w:tcPr>
          <w:p w14:paraId="13C3194C"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NSFR (Reported)</w:t>
            </w:r>
          </w:p>
        </w:tc>
        <w:tc>
          <w:tcPr>
            <w:tcW w:w="2600" w:type="dxa"/>
            <w:tcBorders>
              <w:top w:val="single" w:sz="1" w:space="0" w:color="CCCCCC"/>
              <w:left w:val="single" w:sz="1" w:space="0" w:color="CCCCCC"/>
              <w:bottom w:val="single" w:sz="1" w:space="0" w:color="CCCCCC"/>
              <w:right w:val="single" w:sz="1" w:space="0" w:color="CCCCCC"/>
            </w:tcBorders>
            <w:shd w:val="clear" w:color="FFFFFF" w:fill="FFFFFF"/>
          </w:tcPr>
          <w:p w14:paraId="3EAE2F28"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Available SF / Required SF</w:t>
            </w:r>
          </w:p>
        </w:tc>
        <w:tc>
          <w:tcPr>
            <w:tcW w:w="1800" w:type="dxa"/>
            <w:tcBorders>
              <w:top w:val="single" w:sz="1" w:space="0" w:color="CCCCCC"/>
              <w:left w:val="single" w:sz="1" w:space="0" w:color="CCCCCC"/>
              <w:bottom w:val="single" w:sz="1" w:space="0" w:color="CCCCCC"/>
              <w:right w:val="single" w:sz="1" w:space="0" w:color="CCCCCC"/>
            </w:tcBorders>
            <w:shd w:val="clear" w:color="FFFFFF" w:fill="FFFFFF"/>
          </w:tcPr>
          <w:p w14:paraId="3B53F45D"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Not disclosed</w:t>
            </w:r>
          </w:p>
        </w:tc>
        <w:tc>
          <w:tcPr>
            <w:tcW w:w="1800" w:type="dxa"/>
            <w:tcBorders>
              <w:top w:val="single" w:sz="1" w:space="0" w:color="CCCCCC"/>
              <w:left w:val="single" w:sz="1" w:space="0" w:color="CCCCCC"/>
              <w:bottom w:val="single" w:sz="1" w:space="0" w:color="CCCCCC"/>
              <w:right w:val="single" w:sz="1" w:space="0" w:color="CCCCCC"/>
            </w:tcBorders>
            <w:shd w:val="clear" w:color="FFFFFF" w:fill="FFFFFF"/>
          </w:tcPr>
          <w:p w14:paraId="1ED25DAB"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129%</w:t>
            </w:r>
          </w:p>
        </w:tc>
        <w:tc>
          <w:tcPr>
            <w:tcW w:w="1800" w:type="dxa"/>
            <w:tcBorders>
              <w:top w:val="single" w:sz="1" w:space="0" w:color="CCCCCC"/>
              <w:left w:val="single" w:sz="1" w:space="0" w:color="CCCCCC"/>
              <w:bottom w:val="single" w:sz="1" w:space="0" w:color="CCCCCC"/>
              <w:right w:val="single" w:sz="1" w:space="0" w:color="CCCCCC"/>
            </w:tcBorders>
            <w:shd w:val="clear" w:color="FFFFFF" w:fill="FFFFFF"/>
          </w:tcPr>
          <w:p w14:paraId="07602059"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124%</w:t>
            </w:r>
          </w:p>
        </w:tc>
      </w:tr>
      <w:tr w:rsidR="00C43D55" w:rsidRPr="003B5052" w14:paraId="09148D69" w14:textId="77777777" w:rsidTr="0058588E">
        <w:tc>
          <w:tcPr>
            <w:tcW w:w="2200" w:type="dxa"/>
            <w:tcBorders>
              <w:top w:val="single" w:sz="1" w:space="0" w:color="CCCCCC"/>
              <w:left w:val="single" w:sz="1" w:space="0" w:color="CCCCCC"/>
              <w:bottom w:val="single" w:sz="1" w:space="0" w:color="CCCCCC"/>
              <w:right w:val="single" w:sz="1" w:space="0" w:color="CCCCCC"/>
            </w:tcBorders>
            <w:shd w:val="clear" w:color="D6E4F0" w:fill="D6E4F0"/>
          </w:tcPr>
          <w:p w14:paraId="724FA488"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Cash at Central Banks (£m)</w:t>
            </w:r>
          </w:p>
        </w:tc>
        <w:tc>
          <w:tcPr>
            <w:tcW w:w="2600" w:type="dxa"/>
            <w:tcBorders>
              <w:top w:val="single" w:sz="1" w:space="0" w:color="CCCCCC"/>
              <w:left w:val="single" w:sz="1" w:space="0" w:color="CCCCCC"/>
              <w:bottom w:val="single" w:sz="1" w:space="0" w:color="CCCCCC"/>
              <w:right w:val="single" w:sz="1" w:space="0" w:color="CCCCCC"/>
            </w:tcBorders>
            <w:shd w:val="clear" w:color="D6E4F0" w:fill="D6E4F0"/>
          </w:tcPr>
          <w:p w14:paraId="7467FCB9"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Balance sheet line item</w:t>
            </w:r>
          </w:p>
        </w:tc>
        <w:tc>
          <w:tcPr>
            <w:tcW w:w="1800" w:type="dxa"/>
            <w:tcBorders>
              <w:top w:val="single" w:sz="1" w:space="0" w:color="CCCCCC"/>
              <w:left w:val="single" w:sz="1" w:space="0" w:color="CCCCCC"/>
              <w:bottom w:val="single" w:sz="1" w:space="0" w:color="CCCCCC"/>
              <w:right w:val="single" w:sz="1" w:space="0" w:color="CCCCCC"/>
            </w:tcBorders>
            <w:shd w:val="clear" w:color="D6E4F0" w:fill="D6E4F0"/>
          </w:tcPr>
          <w:p w14:paraId="54574735"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~88,838 (total cash)</w:t>
            </w:r>
          </w:p>
        </w:tc>
        <w:tc>
          <w:tcPr>
            <w:tcW w:w="1800" w:type="dxa"/>
            <w:tcBorders>
              <w:top w:val="single" w:sz="1" w:space="0" w:color="CCCCCC"/>
              <w:left w:val="single" w:sz="1" w:space="0" w:color="CCCCCC"/>
              <w:bottom w:val="single" w:sz="1" w:space="0" w:color="CCCCCC"/>
              <w:right w:val="single" w:sz="1" w:space="0" w:color="CCCCCC"/>
            </w:tcBorders>
            <w:shd w:val="clear" w:color="D6E4F0" w:fill="D6E4F0"/>
          </w:tcPr>
          <w:p w14:paraId="33539BCA"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62,705</w:t>
            </w:r>
          </w:p>
        </w:tc>
        <w:tc>
          <w:tcPr>
            <w:tcW w:w="1800" w:type="dxa"/>
            <w:tcBorders>
              <w:top w:val="single" w:sz="1" w:space="0" w:color="CCCCCC"/>
              <w:left w:val="single" w:sz="1" w:space="0" w:color="CCCCCC"/>
              <w:bottom w:val="single" w:sz="1" w:space="0" w:color="CCCCCC"/>
              <w:right w:val="single" w:sz="1" w:space="0" w:color="CCCCCC"/>
            </w:tcBorders>
            <w:shd w:val="clear" w:color="D6E4F0" w:fill="D6E4F0"/>
          </w:tcPr>
          <w:p w14:paraId="298C5E90"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56,661</w:t>
            </w:r>
          </w:p>
        </w:tc>
      </w:tr>
      <w:tr w:rsidR="00C43D55" w:rsidRPr="003B5052" w14:paraId="1178F25C" w14:textId="77777777" w:rsidTr="0058588E">
        <w:tc>
          <w:tcPr>
            <w:tcW w:w="2200" w:type="dxa"/>
            <w:tcBorders>
              <w:top w:val="single" w:sz="1" w:space="0" w:color="CCCCCC"/>
              <w:left w:val="single" w:sz="1" w:space="0" w:color="CCCCCC"/>
              <w:bottom w:val="single" w:sz="1" w:space="0" w:color="CCCCCC"/>
              <w:right w:val="single" w:sz="1" w:space="0" w:color="CCCCCC"/>
            </w:tcBorders>
            <w:shd w:val="clear" w:color="FFFFFF" w:fill="FFFFFF"/>
          </w:tcPr>
          <w:p w14:paraId="7481B97A"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Deposit-Loan Gap (£m)</w:t>
            </w:r>
          </w:p>
        </w:tc>
        <w:tc>
          <w:tcPr>
            <w:tcW w:w="2600" w:type="dxa"/>
            <w:tcBorders>
              <w:top w:val="single" w:sz="1" w:space="0" w:color="CCCCCC"/>
              <w:left w:val="single" w:sz="1" w:space="0" w:color="CCCCCC"/>
              <w:bottom w:val="single" w:sz="1" w:space="0" w:color="CCCCCC"/>
              <w:right w:val="single" w:sz="1" w:space="0" w:color="CCCCCC"/>
            </w:tcBorders>
            <w:shd w:val="clear" w:color="FFFFFF" w:fill="FFFFFF"/>
          </w:tcPr>
          <w:p w14:paraId="2FB5705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Deposits − Loans</w:t>
            </w:r>
          </w:p>
        </w:tc>
        <w:tc>
          <w:tcPr>
            <w:tcW w:w="1800" w:type="dxa"/>
            <w:tcBorders>
              <w:top w:val="single" w:sz="1" w:space="0" w:color="CCCCCC"/>
              <w:left w:val="single" w:sz="1" w:space="0" w:color="CCCCCC"/>
              <w:bottom w:val="single" w:sz="1" w:space="0" w:color="CCCCCC"/>
              <w:right w:val="single" w:sz="1" w:space="0" w:color="CCCCCC"/>
            </w:tcBorders>
            <w:shd w:val="clear" w:color="FFFFFF" w:fill="FFFFFF"/>
          </w:tcPr>
          <w:p w14:paraId="5EA36630"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~30,000</w:t>
            </w:r>
          </w:p>
        </w:tc>
        <w:tc>
          <w:tcPr>
            <w:tcW w:w="1800" w:type="dxa"/>
            <w:tcBorders>
              <w:top w:val="single" w:sz="1" w:space="0" w:color="CCCCCC"/>
              <w:left w:val="single" w:sz="1" w:space="0" w:color="CCCCCC"/>
              <w:bottom w:val="single" w:sz="1" w:space="0" w:color="CCCCCC"/>
              <w:right w:val="single" w:sz="1" w:space="0" w:color="CCCCCC"/>
            </w:tcBorders>
            <w:shd w:val="clear" w:color="FFFFFF" w:fill="FFFFFF"/>
          </w:tcPr>
          <w:p w14:paraId="3D941C33"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22,888</w:t>
            </w:r>
          </w:p>
        </w:tc>
        <w:tc>
          <w:tcPr>
            <w:tcW w:w="1800" w:type="dxa"/>
            <w:tcBorders>
              <w:top w:val="single" w:sz="1" w:space="0" w:color="CCCCCC"/>
              <w:left w:val="single" w:sz="1" w:space="0" w:color="CCCCCC"/>
              <w:bottom w:val="single" w:sz="1" w:space="0" w:color="CCCCCC"/>
              <w:right w:val="single" w:sz="1" w:space="0" w:color="CCCCCC"/>
            </w:tcBorders>
            <w:shd w:val="clear" w:color="FFFFFF" w:fill="FFFFFF"/>
          </w:tcPr>
          <w:p w14:paraId="760AA56B"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14,994</w:t>
            </w:r>
          </w:p>
        </w:tc>
      </w:tr>
    </w:tbl>
    <w:p w14:paraId="67F669E5" w14:textId="77777777" w:rsidR="00C43D55" w:rsidRPr="003B5052" w:rsidRDefault="00C43D55" w:rsidP="003B5052">
      <w:pPr>
        <w:spacing w:line="360" w:lineRule="auto"/>
        <w:rPr>
          <w:rFonts w:ascii="Times New Roman" w:hAnsi="Times New Roman" w:cs="Times New Roman"/>
        </w:rPr>
      </w:pPr>
    </w:p>
    <w:p w14:paraId="7349520D"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Appendix C: Solvency Ratio Workings</w:t>
      </w:r>
    </w:p>
    <w:p w14:paraId="5EDDB116" w14:textId="77777777" w:rsidR="00C43D55" w:rsidRPr="003B5052" w:rsidRDefault="00C43D55" w:rsidP="003B5052">
      <w:pPr>
        <w:spacing w:line="360" w:lineRule="auto"/>
        <w:rPr>
          <w:rFonts w:ascii="Times New Roman" w:hAnsi="Times New Roman" w:cs="Times New Roman"/>
        </w:rPr>
      </w:pPr>
    </w:p>
    <w:tbl>
      <w:tblPr>
        <w:tblW w:w="9600" w:type="dxa"/>
        <w:tblBorders>
          <w:top w:val="single" w:sz="1" w:space="0" w:color="AAAAAA"/>
          <w:left w:val="single" w:sz="1" w:space="0" w:color="AAAAA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1600"/>
        <w:gridCol w:w="1600"/>
        <w:gridCol w:w="1600"/>
      </w:tblGrid>
      <w:tr w:rsidR="00C43D55" w:rsidRPr="003B5052" w14:paraId="6DB3B5E4" w14:textId="77777777" w:rsidTr="0058588E">
        <w:trPr>
          <w:tblHeader/>
        </w:trPr>
        <w:tc>
          <w:tcPr>
            <w:tcW w:w="2200" w:type="dxa"/>
            <w:tcBorders>
              <w:top w:val="single" w:sz="1" w:space="0" w:color="1B3A5C"/>
              <w:left w:val="single" w:sz="1" w:space="0" w:color="1B3A5C"/>
              <w:bottom w:val="single" w:sz="1" w:space="0" w:color="1B3A5C"/>
              <w:right w:val="single" w:sz="1" w:space="0" w:color="1B3A5C"/>
            </w:tcBorders>
            <w:shd w:val="clear" w:color="1B3A5C" w:fill="1B3A5C"/>
          </w:tcPr>
          <w:p w14:paraId="79DF764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Ratio</w:t>
            </w:r>
          </w:p>
        </w:tc>
        <w:tc>
          <w:tcPr>
            <w:tcW w:w="2600" w:type="dxa"/>
            <w:tcBorders>
              <w:top w:val="single" w:sz="1" w:space="0" w:color="1B3A5C"/>
              <w:left w:val="single" w:sz="1" w:space="0" w:color="1B3A5C"/>
              <w:bottom w:val="single" w:sz="1" w:space="0" w:color="1B3A5C"/>
              <w:right w:val="single" w:sz="1" w:space="0" w:color="1B3A5C"/>
            </w:tcBorders>
            <w:shd w:val="clear" w:color="1B3A5C" w:fill="1B3A5C"/>
          </w:tcPr>
          <w:p w14:paraId="0CC9611B"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Formula</w:t>
            </w:r>
          </w:p>
        </w:tc>
        <w:tc>
          <w:tcPr>
            <w:tcW w:w="1600" w:type="dxa"/>
            <w:tcBorders>
              <w:top w:val="single" w:sz="1" w:space="0" w:color="1B3A5C"/>
              <w:left w:val="single" w:sz="1" w:space="0" w:color="1B3A5C"/>
              <w:bottom w:val="single" w:sz="1" w:space="0" w:color="1B3A5C"/>
              <w:right w:val="single" w:sz="1" w:space="0" w:color="1B3A5C"/>
            </w:tcBorders>
            <w:shd w:val="clear" w:color="1B3A5C" w:fill="1B3A5C"/>
          </w:tcPr>
          <w:p w14:paraId="249EFE1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2023</w:t>
            </w:r>
          </w:p>
        </w:tc>
        <w:tc>
          <w:tcPr>
            <w:tcW w:w="1600" w:type="dxa"/>
            <w:tcBorders>
              <w:top w:val="single" w:sz="1" w:space="0" w:color="1B3A5C"/>
              <w:left w:val="single" w:sz="1" w:space="0" w:color="1B3A5C"/>
              <w:bottom w:val="single" w:sz="1" w:space="0" w:color="1B3A5C"/>
              <w:right w:val="single" w:sz="1" w:space="0" w:color="1B3A5C"/>
            </w:tcBorders>
            <w:shd w:val="clear" w:color="1B3A5C" w:fill="1B3A5C"/>
          </w:tcPr>
          <w:p w14:paraId="02864B17"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2024</w:t>
            </w:r>
          </w:p>
        </w:tc>
        <w:tc>
          <w:tcPr>
            <w:tcW w:w="1600" w:type="dxa"/>
            <w:tcBorders>
              <w:top w:val="single" w:sz="1" w:space="0" w:color="1B3A5C"/>
              <w:left w:val="single" w:sz="1" w:space="0" w:color="1B3A5C"/>
              <w:bottom w:val="single" w:sz="1" w:space="0" w:color="1B3A5C"/>
              <w:right w:val="single" w:sz="1" w:space="0" w:color="1B3A5C"/>
            </w:tcBorders>
            <w:shd w:val="clear" w:color="1B3A5C" w:fill="1B3A5C"/>
          </w:tcPr>
          <w:p w14:paraId="74FB7490"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2025</w:t>
            </w:r>
          </w:p>
        </w:tc>
      </w:tr>
      <w:tr w:rsidR="00C43D55" w:rsidRPr="003B5052" w14:paraId="42B25E48" w14:textId="77777777" w:rsidTr="0058588E">
        <w:tc>
          <w:tcPr>
            <w:tcW w:w="2200" w:type="dxa"/>
            <w:tcBorders>
              <w:top w:val="single" w:sz="1" w:space="0" w:color="CCCCCC"/>
              <w:left w:val="single" w:sz="1" w:space="0" w:color="CCCCCC"/>
              <w:bottom w:val="single" w:sz="1" w:space="0" w:color="CCCCCC"/>
              <w:right w:val="single" w:sz="1" w:space="0" w:color="CCCCCC"/>
            </w:tcBorders>
            <w:shd w:val="clear" w:color="FFFFFF" w:fill="FFFFFF"/>
          </w:tcPr>
          <w:p w14:paraId="2255ED3B"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CET1 Ratio (Statutory)</w:t>
            </w:r>
          </w:p>
        </w:tc>
        <w:tc>
          <w:tcPr>
            <w:tcW w:w="2600" w:type="dxa"/>
            <w:tcBorders>
              <w:top w:val="single" w:sz="1" w:space="0" w:color="CCCCCC"/>
              <w:left w:val="single" w:sz="1" w:space="0" w:color="CCCCCC"/>
              <w:bottom w:val="single" w:sz="1" w:space="0" w:color="CCCCCC"/>
              <w:right w:val="single" w:sz="1" w:space="0" w:color="CCCCCC"/>
            </w:tcBorders>
            <w:shd w:val="clear" w:color="FFFFFF" w:fill="FFFFFF"/>
          </w:tcPr>
          <w:p w14:paraId="557ABE95"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CET1 Capital / RWAs</w:t>
            </w:r>
          </w:p>
        </w:tc>
        <w:tc>
          <w:tcPr>
            <w:tcW w:w="1600" w:type="dxa"/>
            <w:tcBorders>
              <w:top w:val="single" w:sz="1" w:space="0" w:color="CCCCCC"/>
              <w:left w:val="single" w:sz="1" w:space="0" w:color="CCCCCC"/>
              <w:bottom w:val="single" w:sz="1" w:space="0" w:color="CCCCCC"/>
              <w:right w:val="single" w:sz="1" w:space="0" w:color="CCCCCC"/>
            </w:tcBorders>
            <w:shd w:val="clear" w:color="FFFFFF" w:fill="FFFFFF"/>
          </w:tcPr>
          <w:p w14:paraId="60EE454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 13.7%</w:t>
            </w:r>
          </w:p>
        </w:tc>
        <w:tc>
          <w:tcPr>
            <w:tcW w:w="1600" w:type="dxa"/>
            <w:tcBorders>
              <w:top w:val="single" w:sz="1" w:space="0" w:color="CCCCCC"/>
              <w:left w:val="single" w:sz="1" w:space="0" w:color="CCCCCC"/>
              <w:bottom w:val="single" w:sz="1" w:space="0" w:color="CCCCCC"/>
              <w:right w:val="single" w:sz="1" w:space="0" w:color="CCCCCC"/>
            </w:tcBorders>
            <w:shd w:val="clear" w:color="FFFFFF" w:fill="FFFFFF"/>
          </w:tcPr>
          <w:p w14:paraId="2FE484E5"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 14.2%</w:t>
            </w:r>
          </w:p>
        </w:tc>
        <w:tc>
          <w:tcPr>
            <w:tcW w:w="1600" w:type="dxa"/>
            <w:tcBorders>
              <w:top w:val="single" w:sz="1" w:space="0" w:color="CCCCCC"/>
              <w:left w:val="single" w:sz="1" w:space="0" w:color="CCCCCC"/>
              <w:bottom w:val="single" w:sz="1" w:space="0" w:color="CCCCCC"/>
              <w:right w:val="single" w:sz="1" w:space="0" w:color="CCCCCC"/>
            </w:tcBorders>
            <w:shd w:val="clear" w:color="FFFFFF" w:fill="FFFFFF"/>
          </w:tcPr>
          <w:p w14:paraId="6CCAFF55"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 14.0%</w:t>
            </w:r>
          </w:p>
        </w:tc>
      </w:tr>
      <w:tr w:rsidR="00C43D55" w:rsidRPr="003B5052" w14:paraId="02ACB980" w14:textId="77777777" w:rsidTr="0058588E">
        <w:tc>
          <w:tcPr>
            <w:tcW w:w="2200" w:type="dxa"/>
            <w:tcBorders>
              <w:top w:val="single" w:sz="1" w:space="0" w:color="CCCCCC"/>
              <w:left w:val="single" w:sz="1" w:space="0" w:color="CCCCCC"/>
              <w:bottom w:val="single" w:sz="1" w:space="0" w:color="CCCCCC"/>
              <w:right w:val="single" w:sz="1" w:space="0" w:color="CCCCCC"/>
            </w:tcBorders>
            <w:shd w:val="clear" w:color="D6E4F0" w:fill="D6E4F0"/>
          </w:tcPr>
          <w:p w14:paraId="4FD7DA7B"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Pro-Forma CET1</w:t>
            </w:r>
          </w:p>
        </w:tc>
        <w:tc>
          <w:tcPr>
            <w:tcW w:w="2600" w:type="dxa"/>
            <w:tcBorders>
              <w:top w:val="single" w:sz="1" w:space="0" w:color="CCCCCC"/>
              <w:left w:val="single" w:sz="1" w:space="0" w:color="CCCCCC"/>
              <w:bottom w:val="single" w:sz="1" w:space="0" w:color="CCCCCC"/>
              <w:right w:val="single" w:sz="1" w:space="0" w:color="CCCCCC"/>
            </w:tcBorders>
            <w:shd w:val="clear" w:color="D6E4F0" w:fill="D6E4F0"/>
          </w:tcPr>
          <w:p w14:paraId="26E570DC"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Post-buyback CET1 / RWAs</w:t>
            </w:r>
          </w:p>
        </w:tc>
        <w:tc>
          <w:tcPr>
            <w:tcW w:w="1600" w:type="dxa"/>
            <w:tcBorders>
              <w:top w:val="single" w:sz="1" w:space="0" w:color="CCCCCC"/>
              <w:left w:val="single" w:sz="1" w:space="0" w:color="CCCCCC"/>
              <w:bottom w:val="single" w:sz="1" w:space="0" w:color="CCCCCC"/>
              <w:right w:val="single" w:sz="1" w:space="0" w:color="CCCCCC"/>
            </w:tcBorders>
            <w:shd w:val="clear" w:color="D6E4F0" w:fill="D6E4F0"/>
          </w:tcPr>
          <w:p w14:paraId="4B276909"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 13.7%</w:t>
            </w:r>
          </w:p>
        </w:tc>
        <w:tc>
          <w:tcPr>
            <w:tcW w:w="1600" w:type="dxa"/>
            <w:tcBorders>
              <w:top w:val="single" w:sz="1" w:space="0" w:color="CCCCCC"/>
              <w:left w:val="single" w:sz="1" w:space="0" w:color="CCCCCC"/>
              <w:bottom w:val="single" w:sz="1" w:space="0" w:color="CCCCCC"/>
              <w:right w:val="single" w:sz="1" w:space="0" w:color="CCCCCC"/>
            </w:tcBorders>
            <w:shd w:val="clear" w:color="D6E4F0" w:fill="D6E4F0"/>
          </w:tcPr>
          <w:p w14:paraId="41F55230"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 13.5%</w:t>
            </w:r>
          </w:p>
        </w:tc>
        <w:tc>
          <w:tcPr>
            <w:tcW w:w="1600" w:type="dxa"/>
            <w:tcBorders>
              <w:top w:val="single" w:sz="1" w:space="0" w:color="CCCCCC"/>
              <w:left w:val="single" w:sz="1" w:space="0" w:color="CCCCCC"/>
              <w:bottom w:val="single" w:sz="1" w:space="0" w:color="CCCCCC"/>
              <w:right w:val="single" w:sz="1" w:space="0" w:color="CCCCCC"/>
            </w:tcBorders>
            <w:shd w:val="clear" w:color="D6E4F0" w:fill="D6E4F0"/>
          </w:tcPr>
          <w:p w14:paraId="7B5EE60F"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 13.2%</w:t>
            </w:r>
          </w:p>
        </w:tc>
      </w:tr>
      <w:tr w:rsidR="00C43D55" w:rsidRPr="003B5052" w14:paraId="72109811" w14:textId="77777777" w:rsidTr="0058588E">
        <w:tc>
          <w:tcPr>
            <w:tcW w:w="2200" w:type="dxa"/>
            <w:tcBorders>
              <w:top w:val="single" w:sz="1" w:space="0" w:color="CCCCCC"/>
              <w:left w:val="single" w:sz="1" w:space="0" w:color="CCCCCC"/>
              <w:bottom w:val="single" w:sz="1" w:space="0" w:color="CCCCCC"/>
              <w:right w:val="single" w:sz="1" w:space="0" w:color="CCCCCC"/>
            </w:tcBorders>
            <w:shd w:val="clear" w:color="FFFFFF" w:fill="FFFFFF"/>
          </w:tcPr>
          <w:p w14:paraId="37551447"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UK Leverage Ratio</w:t>
            </w:r>
          </w:p>
        </w:tc>
        <w:tc>
          <w:tcPr>
            <w:tcW w:w="2600" w:type="dxa"/>
            <w:tcBorders>
              <w:top w:val="single" w:sz="1" w:space="0" w:color="CCCCCC"/>
              <w:left w:val="single" w:sz="1" w:space="0" w:color="CCCCCC"/>
              <w:bottom w:val="single" w:sz="1" w:space="0" w:color="CCCCCC"/>
              <w:right w:val="single" w:sz="1" w:space="0" w:color="CCCCCC"/>
            </w:tcBorders>
            <w:shd w:val="clear" w:color="FFFFFF" w:fill="FFFFFF"/>
          </w:tcPr>
          <w:p w14:paraId="55F7CB2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Tier 1 Capital / Total Exposure</w:t>
            </w:r>
          </w:p>
        </w:tc>
        <w:tc>
          <w:tcPr>
            <w:tcW w:w="1600" w:type="dxa"/>
            <w:tcBorders>
              <w:top w:val="single" w:sz="1" w:space="0" w:color="CCCCCC"/>
              <w:left w:val="single" w:sz="1" w:space="0" w:color="CCCCCC"/>
              <w:bottom w:val="single" w:sz="1" w:space="0" w:color="CCCCCC"/>
              <w:right w:val="single" w:sz="1" w:space="0" w:color="CCCCCC"/>
            </w:tcBorders>
            <w:shd w:val="clear" w:color="FFFFFF" w:fill="FFFFFF"/>
          </w:tcPr>
          <w:p w14:paraId="1E395C1B"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Not disclosed</w:t>
            </w:r>
          </w:p>
        </w:tc>
        <w:tc>
          <w:tcPr>
            <w:tcW w:w="1600" w:type="dxa"/>
            <w:tcBorders>
              <w:top w:val="single" w:sz="1" w:space="0" w:color="CCCCCC"/>
              <w:left w:val="single" w:sz="1" w:space="0" w:color="CCCCCC"/>
              <w:bottom w:val="single" w:sz="1" w:space="0" w:color="CCCCCC"/>
              <w:right w:val="single" w:sz="1" w:space="0" w:color="CCCCCC"/>
            </w:tcBorders>
            <w:shd w:val="clear" w:color="FFFFFF" w:fill="FFFFFF"/>
          </w:tcPr>
          <w:p w14:paraId="198F2F7C"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 5.5%</w:t>
            </w:r>
          </w:p>
        </w:tc>
        <w:tc>
          <w:tcPr>
            <w:tcW w:w="1600" w:type="dxa"/>
            <w:tcBorders>
              <w:top w:val="single" w:sz="1" w:space="0" w:color="CCCCCC"/>
              <w:left w:val="single" w:sz="1" w:space="0" w:color="CCCCCC"/>
              <w:bottom w:val="single" w:sz="1" w:space="0" w:color="CCCCCC"/>
              <w:right w:val="single" w:sz="1" w:space="0" w:color="CCCCCC"/>
            </w:tcBorders>
            <w:shd w:val="clear" w:color="FFFFFF" w:fill="FFFFFF"/>
          </w:tcPr>
          <w:p w14:paraId="251D59F3"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 5.4%</w:t>
            </w:r>
          </w:p>
        </w:tc>
      </w:tr>
      <w:tr w:rsidR="00C43D55" w:rsidRPr="003B5052" w14:paraId="5BAC6D0B" w14:textId="77777777" w:rsidTr="0058588E">
        <w:tc>
          <w:tcPr>
            <w:tcW w:w="2200" w:type="dxa"/>
            <w:tcBorders>
              <w:top w:val="single" w:sz="1" w:space="0" w:color="CCCCCC"/>
              <w:left w:val="single" w:sz="1" w:space="0" w:color="CCCCCC"/>
              <w:bottom w:val="single" w:sz="1" w:space="0" w:color="CCCCCC"/>
              <w:right w:val="single" w:sz="1" w:space="0" w:color="CCCCCC"/>
            </w:tcBorders>
            <w:shd w:val="clear" w:color="D6E4F0" w:fill="D6E4F0"/>
          </w:tcPr>
          <w:p w14:paraId="01A6A763"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Debt-to-Equity Ratio</w:t>
            </w:r>
          </w:p>
        </w:tc>
        <w:tc>
          <w:tcPr>
            <w:tcW w:w="2600" w:type="dxa"/>
            <w:tcBorders>
              <w:top w:val="single" w:sz="1" w:space="0" w:color="CCCCCC"/>
              <w:left w:val="single" w:sz="1" w:space="0" w:color="CCCCCC"/>
              <w:bottom w:val="single" w:sz="1" w:space="0" w:color="CCCCCC"/>
              <w:right w:val="single" w:sz="1" w:space="0" w:color="CCCCCC"/>
            </w:tcBorders>
            <w:shd w:val="clear" w:color="D6E4F0" w:fill="D6E4F0"/>
          </w:tcPr>
          <w:p w14:paraId="717020F5"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Total Liabilities / Total Equity</w:t>
            </w:r>
          </w:p>
        </w:tc>
        <w:tc>
          <w:tcPr>
            <w:tcW w:w="1600" w:type="dxa"/>
            <w:tcBorders>
              <w:top w:val="single" w:sz="1" w:space="0" w:color="CCCCCC"/>
              <w:left w:val="single" w:sz="1" w:space="0" w:color="CCCCCC"/>
              <w:bottom w:val="single" w:sz="1" w:space="0" w:color="CCCCCC"/>
              <w:right w:val="single" w:sz="1" w:space="0" w:color="CCCCCC"/>
            </w:tcBorders>
            <w:shd w:val="clear" w:color="D6E4F0" w:fill="D6E4F0"/>
          </w:tcPr>
          <w:p w14:paraId="75AD4658"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842,566 / 47,365 = 17.8x</w:t>
            </w:r>
          </w:p>
        </w:tc>
        <w:tc>
          <w:tcPr>
            <w:tcW w:w="1600" w:type="dxa"/>
            <w:tcBorders>
              <w:top w:val="single" w:sz="1" w:space="0" w:color="CCCCCC"/>
              <w:left w:val="single" w:sz="1" w:space="0" w:color="CCCCCC"/>
              <w:bottom w:val="single" w:sz="1" w:space="0" w:color="CCCCCC"/>
              <w:right w:val="single" w:sz="1" w:space="0" w:color="CCCCCC"/>
            </w:tcBorders>
            <w:shd w:val="clear" w:color="D6E4F0" w:fill="D6E4F0"/>
          </w:tcPr>
          <w:p w14:paraId="1370A691"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860,809 / 45,888 = 18.8x</w:t>
            </w:r>
          </w:p>
        </w:tc>
        <w:tc>
          <w:tcPr>
            <w:tcW w:w="1600" w:type="dxa"/>
            <w:tcBorders>
              <w:top w:val="single" w:sz="1" w:space="0" w:color="CCCCCC"/>
              <w:left w:val="single" w:sz="1" w:space="0" w:color="CCCCCC"/>
              <w:bottom w:val="single" w:sz="1" w:space="0" w:color="CCCCCC"/>
              <w:right w:val="single" w:sz="1" w:space="0" w:color="CCCCCC"/>
            </w:tcBorders>
            <w:shd w:val="clear" w:color="D6E4F0" w:fill="D6E4F0"/>
          </w:tcPr>
          <w:p w14:paraId="63B2C13F"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896,205 / 47,867 = 18.7x</w:t>
            </w:r>
          </w:p>
        </w:tc>
      </w:tr>
      <w:tr w:rsidR="00C43D55" w:rsidRPr="003B5052" w14:paraId="118D829B" w14:textId="77777777" w:rsidTr="0058588E">
        <w:tc>
          <w:tcPr>
            <w:tcW w:w="2200" w:type="dxa"/>
            <w:tcBorders>
              <w:top w:val="single" w:sz="1" w:space="0" w:color="CCCCCC"/>
              <w:left w:val="single" w:sz="1" w:space="0" w:color="CCCCCC"/>
              <w:bottom w:val="single" w:sz="1" w:space="0" w:color="CCCCCC"/>
              <w:right w:val="single" w:sz="1" w:space="0" w:color="CCCCCC"/>
            </w:tcBorders>
            <w:shd w:val="clear" w:color="FFFFFF" w:fill="FFFFFF"/>
          </w:tcPr>
          <w:p w14:paraId="00E03310"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Equity Multiplier</w:t>
            </w:r>
          </w:p>
        </w:tc>
        <w:tc>
          <w:tcPr>
            <w:tcW w:w="2600" w:type="dxa"/>
            <w:tcBorders>
              <w:top w:val="single" w:sz="1" w:space="0" w:color="CCCCCC"/>
              <w:left w:val="single" w:sz="1" w:space="0" w:color="CCCCCC"/>
              <w:bottom w:val="single" w:sz="1" w:space="0" w:color="CCCCCC"/>
              <w:right w:val="single" w:sz="1" w:space="0" w:color="CCCCCC"/>
            </w:tcBorders>
            <w:shd w:val="clear" w:color="FFFFFF" w:fill="FFFFFF"/>
          </w:tcPr>
          <w:p w14:paraId="3413AE27"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Total Assets / Total Equity</w:t>
            </w:r>
          </w:p>
        </w:tc>
        <w:tc>
          <w:tcPr>
            <w:tcW w:w="1600" w:type="dxa"/>
            <w:tcBorders>
              <w:top w:val="single" w:sz="1" w:space="0" w:color="CCCCCC"/>
              <w:left w:val="single" w:sz="1" w:space="0" w:color="CCCCCC"/>
              <w:bottom w:val="single" w:sz="1" w:space="0" w:color="CCCCCC"/>
              <w:right w:val="single" w:sz="1" w:space="0" w:color="CCCCCC"/>
            </w:tcBorders>
            <w:shd w:val="clear" w:color="FFFFFF" w:fill="FFFFFF"/>
          </w:tcPr>
          <w:p w14:paraId="720CD0A1"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889,931 / 47,365 = 18.8x</w:t>
            </w:r>
          </w:p>
        </w:tc>
        <w:tc>
          <w:tcPr>
            <w:tcW w:w="1600" w:type="dxa"/>
            <w:tcBorders>
              <w:top w:val="single" w:sz="1" w:space="0" w:color="CCCCCC"/>
              <w:left w:val="single" w:sz="1" w:space="0" w:color="CCCCCC"/>
              <w:bottom w:val="single" w:sz="1" w:space="0" w:color="CCCCCC"/>
              <w:right w:val="single" w:sz="1" w:space="0" w:color="CCCCCC"/>
            </w:tcBorders>
            <w:shd w:val="clear" w:color="FFFFFF" w:fill="FFFFFF"/>
          </w:tcPr>
          <w:p w14:paraId="70AC9A3F"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906,697 / 45,888 = 19.8x</w:t>
            </w:r>
          </w:p>
        </w:tc>
        <w:tc>
          <w:tcPr>
            <w:tcW w:w="1600" w:type="dxa"/>
            <w:tcBorders>
              <w:top w:val="single" w:sz="1" w:space="0" w:color="CCCCCC"/>
              <w:left w:val="single" w:sz="1" w:space="0" w:color="CCCCCC"/>
              <w:bottom w:val="single" w:sz="1" w:space="0" w:color="CCCCCC"/>
              <w:right w:val="single" w:sz="1" w:space="0" w:color="CCCCCC"/>
            </w:tcBorders>
            <w:shd w:val="clear" w:color="FFFFFF" w:fill="FFFFFF"/>
          </w:tcPr>
          <w:p w14:paraId="28A65EBF"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944,072 / 47,867 = 19.7x</w:t>
            </w:r>
          </w:p>
        </w:tc>
      </w:tr>
    </w:tbl>
    <w:p w14:paraId="7CD83724" w14:textId="77777777" w:rsidR="00C43D55" w:rsidRPr="003B5052" w:rsidRDefault="00C43D55" w:rsidP="003B5052">
      <w:pPr>
        <w:spacing w:line="360" w:lineRule="auto"/>
        <w:rPr>
          <w:rFonts w:ascii="Times New Roman" w:hAnsi="Times New Roman" w:cs="Times New Roman"/>
        </w:rPr>
      </w:pPr>
    </w:p>
    <w:p w14:paraId="0DC8612F"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lastRenderedPageBreak/>
        <w:t>Appendix D: Investor Ratio Workings</w:t>
      </w:r>
    </w:p>
    <w:p w14:paraId="5B44FA5A" w14:textId="77777777" w:rsidR="00C43D55" w:rsidRPr="003B5052" w:rsidRDefault="00C43D55" w:rsidP="003B5052">
      <w:pPr>
        <w:spacing w:line="360" w:lineRule="auto"/>
        <w:rPr>
          <w:rFonts w:ascii="Times New Roman" w:hAnsi="Times New Roman" w:cs="Times New Roman"/>
        </w:rPr>
      </w:pPr>
    </w:p>
    <w:tbl>
      <w:tblPr>
        <w:tblW w:w="10900" w:type="dxa"/>
        <w:tblBorders>
          <w:top w:val="single" w:sz="1" w:space="0" w:color="AAAAAA"/>
          <w:left w:val="single" w:sz="1" w:space="0" w:color="AAAAA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5"/>
        <w:gridCol w:w="2730"/>
        <w:gridCol w:w="1365"/>
        <w:gridCol w:w="706"/>
        <w:gridCol w:w="1666"/>
        <w:gridCol w:w="706"/>
        <w:gridCol w:w="1666"/>
        <w:gridCol w:w="706"/>
      </w:tblGrid>
      <w:tr w:rsidR="00C43D55" w:rsidRPr="003B5052" w14:paraId="2785E75C" w14:textId="77777777" w:rsidTr="0058588E">
        <w:trPr>
          <w:tblHeader/>
        </w:trPr>
        <w:tc>
          <w:tcPr>
            <w:tcW w:w="1600" w:type="dxa"/>
            <w:tcBorders>
              <w:top w:val="single" w:sz="1" w:space="0" w:color="1B3A5C"/>
              <w:left w:val="single" w:sz="1" w:space="0" w:color="1B3A5C"/>
              <w:bottom w:val="single" w:sz="1" w:space="0" w:color="1B3A5C"/>
              <w:right w:val="single" w:sz="1" w:space="0" w:color="1B3A5C"/>
            </w:tcBorders>
            <w:shd w:val="clear" w:color="1B3A5C" w:fill="1B3A5C"/>
          </w:tcPr>
          <w:p w14:paraId="004523F8"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Ratio</w:t>
            </w:r>
          </w:p>
        </w:tc>
        <w:tc>
          <w:tcPr>
            <w:tcW w:w="1800" w:type="dxa"/>
            <w:tcBorders>
              <w:top w:val="single" w:sz="1" w:space="0" w:color="1B3A5C"/>
              <w:left w:val="single" w:sz="1" w:space="0" w:color="1B3A5C"/>
              <w:bottom w:val="single" w:sz="1" w:space="0" w:color="1B3A5C"/>
              <w:right w:val="single" w:sz="1" w:space="0" w:color="1B3A5C"/>
            </w:tcBorders>
            <w:shd w:val="clear" w:color="1B3A5C" w:fill="1B3A5C"/>
          </w:tcPr>
          <w:p w14:paraId="77818954"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Formula</w:t>
            </w:r>
          </w:p>
        </w:tc>
        <w:tc>
          <w:tcPr>
            <w:tcW w:w="1700" w:type="dxa"/>
            <w:tcBorders>
              <w:top w:val="single" w:sz="1" w:space="0" w:color="1B3A5C"/>
              <w:left w:val="single" w:sz="1" w:space="0" w:color="1B3A5C"/>
              <w:bottom w:val="single" w:sz="1" w:space="0" w:color="1B3A5C"/>
              <w:right w:val="single" w:sz="1" w:space="0" w:color="1B3A5C"/>
            </w:tcBorders>
            <w:shd w:val="clear" w:color="1B3A5C" w:fill="1B3A5C"/>
          </w:tcPr>
          <w:p w14:paraId="3F7E4A1D"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2023 Calculation</w:t>
            </w:r>
          </w:p>
        </w:tc>
        <w:tc>
          <w:tcPr>
            <w:tcW w:w="800" w:type="dxa"/>
            <w:tcBorders>
              <w:top w:val="single" w:sz="1" w:space="0" w:color="1B3A5C"/>
              <w:left w:val="single" w:sz="1" w:space="0" w:color="1B3A5C"/>
              <w:bottom w:val="single" w:sz="1" w:space="0" w:color="1B3A5C"/>
              <w:right w:val="single" w:sz="1" w:space="0" w:color="1B3A5C"/>
            </w:tcBorders>
            <w:shd w:val="clear" w:color="1B3A5C" w:fill="1B3A5C"/>
          </w:tcPr>
          <w:p w14:paraId="6AEE004B"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Result</w:t>
            </w:r>
          </w:p>
        </w:tc>
        <w:tc>
          <w:tcPr>
            <w:tcW w:w="1700" w:type="dxa"/>
            <w:tcBorders>
              <w:top w:val="single" w:sz="1" w:space="0" w:color="1B3A5C"/>
              <w:left w:val="single" w:sz="1" w:space="0" w:color="1B3A5C"/>
              <w:bottom w:val="single" w:sz="1" w:space="0" w:color="1B3A5C"/>
              <w:right w:val="single" w:sz="1" w:space="0" w:color="1B3A5C"/>
            </w:tcBorders>
            <w:shd w:val="clear" w:color="1B3A5C" w:fill="1B3A5C"/>
          </w:tcPr>
          <w:p w14:paraId="478E1B35"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2024 Calculation</w:t>
            </w:r>
          </w:p>
        </w:tc>
        <w:tc>
          <w:tcPr>
            <w:tcW w:w="800" w:type="dxa"/>
            <w:tcBorders>
              <w:top w:val="single" w:sz="1" w:space="0" w:color="1B3A5C"/>
              <w:left w:val="single" w:sz="1" w:space="0" w:color="1B3A5C"/>
              <w:bottom w:val="single" w:sz="1" w:space="0" w:color="1B3A5C"/>
              <w:right w:val="single" w:sz="1" w:space="0" w:color="1B3A5C"/>
            </w:tcBorders>
            <w:shd w:val="clear" w:color="1B3A5C" w:fill="1B3A5C"/>
          </w:tcPr>
          <w:p w14:paraId="31B691B4"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Result</w:t>
            </w:r>
          </w:p>
        </w:tc>
        <w:tc>
          <w:tcPr>
            <w:tcW w:w="1700" w:type="dxa"/>
            <w:tcBorders>
              <w:top w:val="single" w:sz="1" w:space="0" w:color="1B3A5C"/>
              <w:left w:val="single" w:sz="1" w:space="0" w:color="1B3A5C"/>
              <w:bottom w:val="single" w:sz="1" w:space="0" w:color="1B3A5C"/>
              <w:right w:val="single" w:sz="1" w:space="0" w:color="1B3A5C"/>
            </w:tcBorders>
            <w:shd w:val="clear" w:color="1B3A5C" w:fill="1B3A5C"/>
          </w:tcPr>
          <w:p w14:paraId="44006AE0"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2025 Calculation</w:t>
            </w:r>
          </w:p>
        </w:tc>
        <w:tc>
          <w:tcPr>
            <w:tcW w:w="800" w:type="dxa"/>
            <w:tcBorders>
              <w:top w:val="single" w:sz="1" w:space="0" w:color="1B3A5C"/>
              <w:left w:val="single" w:sz="1" w:space="0" w:color="1B3A5C"/>
              <w:bottom w:val="single" w:sz="1" w:space="0" w:color="1B3A5C"/>
              <w:right w:val="single" w:sz="1" w:space="0" w:color="1B3A5C"/>
            </w:tcBorders>
            <w:shd w:val="clear" w:color="1B3A5C" w:fill="1B3A5C"/>
          </w:tcPr>
          <w:p w14:paraId="5F10EDF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Result</w:t>
            </w:r>
          </w:p>
        </w:tc>
      </w:tr>
      <w:tr w:rsidR="00C43D55" w:rsidRPr="003B5052" w14:paraId="1D694575" w14:textId="77777777" w:rsidTr="0058588E">
        <w:tc>
          <w:tcPr>
            <w:tcW w:w="1600" w:type="dxa"/>
            <w:tcBorders>
              <w:top w:val="single" w:sz="1" w:space="0" w:color="CCCCCC"/>
              <w:left w:val="single" w:sz="1" w:space="0" w:color="CCCCCC"/>
              <w:bottom w:val="single" w:sz="1" w:space="0" w:color="CCCCCC"/>
              <w:right w:val="single" w:sz="1" w:space="0" w:color="CCCCCC"/>
            </w:tcBorders>
            <w:shd w:val="clear" w:color="FFFFFF" w:fill="FFFFFF"/>
          </w:tcPr>
          <w:p w14:paraId="57098AF7"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Basic EPS</w:t>
            </w:r>
          </w:p>
        </w:tc>
        <w:tc>
          <w:tcPr>
            <w:tcW w:w="1800" w:type="dxa"/>
            <w:tcBorders>
              <w:top w:val="single" w:sz="1" w:space="0" w:color="CCCCCC"/>
              <w:left w:val="single" w:sz="1" w:space="0" w:color="CCCCCC"/>
              <w:bottom w:val="single" w:sz="1" w:space="0" w:color="CCCCCC"/>
              <w:right w:val="single" w:sz="1" w:space="0" w:color="CCCCCC"/>
            </w:tcBorders>
            <w:shd w:val="clear" w:color="FFFFFF" w:fill="FFFFFF"/>
          </w:tcPr>
          <w:p w14:paraId="2424F7B4"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 xml:space="preserve">Profit </w:t>
            </w:r>
            <w:proofErr w:type="spellStart"/>
            <w:r w:rsidRPr="003B5052">
              <w:rPr>
                <w:rFonts w:ascii="Times New Roman" w:hAnsi="Times New Roman" w:cs="Times New Roman"/>
              </w:rPr>
              <w:t>attr</w:t>
            </w:r>
            <w:proofErr w:type="spellEnd"/>
            <w:r w:rsidRPr="003B5052">
              <w:rPr>
                <w:rFonts w:ascii="Times New Roman" w:hAnsi="Times New Roman" w:cs="Times New Roman"/>
              </w:rPr>
              <w:t>. / WANOS</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393F834A"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4,933m / 64,953m</w:t>
            </w:r>
          </w:p>
        </w:tc>
        <w:tc>
          <w:tcPr>
            <w:tcW w:w="800" w:type="dxa"/>
            <w:tcBorders>
              <w:top w:val="single" w:sz="1" w:space="0" w:color="CCCCCC"/>
              <w:left w:val="single" w:sz="1" w:space="0" w:color="CCCCCC"/>
              <w:bottom w:val="single" w:sz="1" w:space="0" w:color="CCCCCC"/>
              <w:right w:val="single" w:sz="1" w:space="0" w:color="CCCCCC"/>
            </w:tcBorders>
            <w:shd w:val="clear" w:color="FFFFFF" w:fill="FFFFFF"/>
          </w:tcPr>
          <w:p w14:paraId="549C91FC"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7.6p</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1599642A"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3,923m / 62,413m</w:t>
            </w:r>
          </w:p>
        </w:tc>
        <w:tc>
          <w:tcPr>
            <w:tcW w:w="800" w:type="dxa"/>
            <w:tcBorders>
              <w:top w:val="single" w:sz="1" w:space="0" w:color="CCCCCC"/>
              <w:left w:val="single" w:sz="1" w:space="0" w:color="CCCCCC"/>
              <w:bottom w:val="single" w:sz="1" w:space="0" w:color="CCCCCC"/>
              <w:right w:val="single" w:sz="1" w:space="0" w:color="CCCCCC"/>
            </w:tcBorders>
            <w:shd w:val="clear" w:color="FFFFFF" w:fill="FFFFFF"/>
          </w:tcPr>
          <w:p w14:paraId="38A45D2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6.3p</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149655FF"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4,196m / 59,790m</w:t>
            </w:r>
          </w:p>
        </w:tc>
        <w:tc>
          <w:tcPr>
            <w:tcW w:w="800" w:type="dxa"/>
            <w:tcBorders>
              <w:top w:val="single" w:sz="1" w:space="0" w:color="CCCCCC"/>
              <w:left w:val="single" w:sz="1" w:space="0" w:color="CCCCCC"/>
              <w:bottom w:val="single" w:sz="1" w:space="0" w:color="CCCCCC"/>
              <w:right w:val="single" w:sz="1" w:space="0" w:color="CCCCCC"/>
            </w:tcBorders>
            <w:shd w:val="clear" w:color="FFFFFF" w:fill="FFFFFF"/>
          </w:tcPr>
          <w:p w14:paraId="666DCD49"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7.0p</w:t>
            </w:r>
          </w:p>
        </w:tc>
      </w:tr>
      <w:tr w:rsidR="00C43D55" w:rsidRPr="003B5052" w14:paraId="51604034" w14:textId="77777777" w:rsidTr="0058588E">
        <w:tc>
          <w:tcPr>
            <w:tcW w:w="1600" w:type="dxa"/>
            <w:tcBorders>
              <w:top w:val="single" w:sz="1" w:space="0" w:color="CCCCCC"/>
              <w:left w:val="single" w:sz="1" w:space="0" w:color="CCCCCC"/>
              <w:bottom w:val="single" w:sz="1" w:space="0" w:color="CCCCCC"/>
              <w:right w:val="single" w:sz="1" w:space="0" w:color="CCCCCC"/>
            </w:tcBorders>
            <w:shd w:val="clear" w:color="D6E4F0" w:fill="D6E4F0"/>
          </w:tcPr>
          <w:p w14:paraId="6A9A6E78"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DPS (ordinary)</w:t>
            </w:r>
          </w:p>
        </w:tc>
        <w:tc>
          <w:tcPr>
            <w:tcW w:w="1800" w:type="dxa"/>
            <w:tcBorders>
              <w:top w:val="single" w:sz="1" w:space="0" w:color="CCCCCC"/>
              <w:left w:val="single" w:sz="1" w:space="0" w:color="CCCCCC"/>
              <w:bottom w:val="single" w:sz="1" w:space="0" w:color="CCCCCC"/>
              <w:right w:val="single" w:sz="1" w:space="0" w:color="CCCCCC"/>
            </w:tcBorders>
            <w:shd w:val="clear" w:color="D6E4F0" w:fill="D6E4F0"/>
          </w:tcPr>
          <w:p w14:paraId="418CF10C"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Total div. / shares</w:t>
            </w:r>
          </w:p>
        </w:tc>
        <w:tc>
          <w:tcPr>
            <w:tcW w:w="1700" w:type="dxa"/>
            <w:tcBorders>
              <w:top w:val="single" w:sz="1" w:space="0" w:color="CCCCCC"/>
              <w:left w:val="single" w:sz="1" w:space="0" w:color="CCCCCC"/>
              <w:bottom w:val="single" w:sz="1" w:space="0" w:color="CCCCCC"/>
              <w:right w:val="single" w:sz="1" w:space="0" w:color="CCCCCC"/>
            </w:tcBorders>
            <w:shd w:val="clear" w:color="D6E4F0" w:fill="D6E4F0"/>
          </w:tcPr>
          <w:p w14:paraId="57083213"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w:t>
            </w:r>
          </w:p>
        </w:tc>
        <w:tc>
          <w:tcPr>
            <w:tcW w:w="800" w:type="dxa"/>
            <w:tcBorders>
              <w:top w:val="single" w:sz="1" w:space="0" w:color="CCCCCC"/>
              <w:left w:val="single" w:sz="1" w:space="0" w:color="CCCCCC"/>
              <w:bottom w:val="single" w:sz="1" w:space="0" w:color="CCCCCC"/>
              <w:right w:val="single" w:sz="1" w:space="0" w:color="CCCCCC"/>
            </w:tcBorders>
            <w:shd w:val="clear" w:color="D6E4F0" w:fill="D6E4F0"/>
          </w:tcPr>
          <w:p w14:paraId="7075DF23"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2.76p</w:t>
            </w:r>
          </w:p>
        </w:tc>
        <w:tc>
          <w:tcPr>
            <w:tcW w:w="1700" w:type="dxa"/>
            <w:tcBorders>
              <w:top w:val="single" w:sz="1" w:space="0" w:color="CCCCCC"/>
              <w:left w:val="single" w:sz="1" w:space="0" w:color="CCCCCC"/>
              <w:bottom w:val="single" w:sz="1" w:space="0" w:color="CCCCCC"/>
              <w:right w:val="single" w:sz="1" w:space="0" w:color="CCCCCC"/>
            </w:tcBorders>
            <w:shd w:val="clear" w:color="D6E4F0" w:fill="D6E4F0"/>
          </w:tcPr>
          <w:p w14:paraId="74FE328E"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w:t>
            </w:r>
          </w:p>
        </w:tc>
        <w:tc>
          <w:tcPr>
            <w:tcW w:w="800" w:type="dxa"/>
            <w:tcBorders>
              <w:top w:val="single" w:sz="1" w:space="0" w:color="CCCCCC"/>
              <w:left w:val="single" w:sz="1" w:space="0" w:color="CCCCCC"/>
              <w:bottom w:val="single" w:sz="1" w:space="0" w:color="CCCCCC"/>
              <w:right w:val="single" w:sz="1" w:space="0" w:color="CCCCCC"/>
            </w:tcBorders>
            <w:shd w:val="clear" w:color="D6E4F0" w:fill="D6E4F0"/>
          </w:tcPr>
          <w:p w14:paraId="56E660B4"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3.17p</w:t>
            </w:r>
          </w:p>
        </w:tc>
        <w:tc>
          <w:tcPr>
            <w:tcW w:w="1700" w:type="dxa"/>
            <w:tcBorders>
              <w:top w:val="single" w:sz="1" w:space="0" w:color="CCCCCC"/>
              <w:left w:val="single" w:sz="1" w:space="0" w:color="CCCCCC"/>
              <w:bottom w:val="single" w:sz="1" w:space="0" w:color="CCCCCC"/>
              <w:right w:val="single" w:sz="1" w:space="0" w:color="CCCCCC"/>
            </w:tcBorders>
            <w:shd w:val="clear" w:color="D6E4F0" w:fill="D6E4F0"/>
          </w:tcPr>
          <w:p w14:paraId="5F18C19D"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w:t>
            </w:r>
          </w:p>
        </w:tc>
        <w:tc>
          <w:tcPr>
            <w:tcW w:w="800" w:type="dxa"/>
            <w:tcBorders>
              <w:top w:val="single" w:sz="1" w:space="0" w:color="CCCCCC"/>
              <w:left w:val="single" w:sz="1" w:space="0" w:color="CCCCCC"/>
              <w:bottom w:val="single" w:sz="1" w:space="0" w:color="CCCCCC"/>
              <w:right w:val="single" w:sz="1" w:space="0" w:color="CCCCCC"/>
            </w:tcBorders>
            <w:shd w:val="clear" w:color="D6E4F0" w:fill="D6E4F0"/>
          </w:tcPr>
          <w:p w14:paraId="53C8974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3.65p</w:t>
            </w:r>
          </w:p>
        </w:tc>
      </w:tr>
      <w:tr w:rsidR="00C43D55" w:rsidRPr="003B5052" w14:paraId="4DBA793A" w14:textId="77777777" w:rsidTr="0058588E">
        <w:tc>
          <w:tcPr>
            <w:tcW w:w="1600" w:type="dxa"/>
            <w:tcBorders>
              <w:top w:val="single" w:sz="1" w:space="0" w:color="CCCCCC"/>
              <w:left w:val="single" w:sz="1" w:space="0" w:color="CCCCCC"/>
              <w:bottom w:val="single" w:sz="1" w:space="0" w:color="CCCCCC"/>
              <w:right w:val="single" w:sz="1" w:space="0" w:color="CCCCCC"/>
            </w:tcBorders>
            <w:shd w:val="clear" w:color="FFFFFF" w:fill="FFFFFF"/>
          </w:tcPr>
          <w:p w14:paraId="748BFAAE"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DPS Growth</w:t>
            </w:r>
          </w:p>
        </w:tc>
        <w:tc>
          <w:tcPr>
            <w:tcW w:w="1800" w:type="dxa"/>
            <w:tcBorders>
              <w:top w:val="single" w:sz="1" w:space="0" w:color="CCCCCC"/>
              <w:left w:val="single" w:sz="1" w:space="0" w:color="CCCCCC"/>
              <w:bottom w:val="single" w:sz="1" w:space="0" w:color="CCCCCC"/>
              <w:right w:val="single" w:sz="1" w:space="0" w:color="CCCCCC"/>
            </w:tcBorders>
            <w:shd w:val="clear" w:color="FFFFFF" w:fill="FFFFFF"/>
          </w:tcPr>
          <w:p w14:paraId="391CE5B7"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w:t>
            </w:r>
            <w:proofErr w:type="spellStart"/>
            <w:r w:rsidRPr="003B5052">
              <w:rPr>
                <w:rFonts w:ascii="Times New Roman" w:hAnsi="Times New Roman" w:cs="Times New Roman"/>
              </w:rPr>
              <w:t>DPS_t</w:t>
            </w:r>
            <w:proofErr w:type="spellEnd"/>
            <w:r w:rsidRPr="003B5052">
              <w:rPr>
                <w:rFonts w:ascii="Times New Roman" w:hAnsi="Times New Roman" w:cs="Times New Roman"/>
              </w:rPr>
              <w:t>−DPS_{t-1})/DPS_{t-1}</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24A564BD"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N/A</w:t>
            </w:r>
          </w:p>
        </w:tc>
        <w:tc>
          <w:tcPr>
            <w:tcW w:w="800" w:type="dxa"/>
            <w:tcBorders>
              <w:top w:val="single" w:sz="1" w:space="0" w:color="CCCCCC"/>
              <w:left w:val="single" w:sz="1" w:space="0" w:color="CCCCCC"/>
              <w:bottom w:val="single" w:sz="1" w:space="0" w:color="CCCCCC"/>
              <w:right w:val="single" w:sz="1" w:space="0" w:color="CCCCCC"/>
            </w:tcBorders>
            <w:shd w:val="clear" w:color="FFFFFF" w:fill="FFFFFF"/>
          </w:tcPr>
          <w:p w14:paraId="78167688"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N/A</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10CE3160"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(3.17−2.76)/2.76</w:t>
            </w:r>
          </w:p>
        </w:tc>
        <w:tc>
          <w:tcPr>
            <w:tcW w:w="800" w:type="dxa"/>
            <w:tcBorders>
              <w:top w:val="single" w:sz="1" w:space="0" w:color="CCCCCC"/>
              <w:left w:val="single" w:sz="1" w:space="0" w:color="CCCCCC"/>
              <w:bottom w:val="single" w:sz="1" w:space="0" w:color="CCCCCC"/>
              <w:right w:val="single" w:sz="1" w:space="0" w:color="CCCCCC"/>
            </w:tcBorders>
            <w:shd w:val="clear" w:color="FFFFFF" w:fill="FFFFFF"/>
          </w:tcPr>
          <w:p w14:paraId="5148EDFD"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14.9%</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75DEF300"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(3.65−3.17)/3.17</w:t>
            </w:r>
          </w:p>
        </w:tc>
        <w:tc>
          <w:tcPr>
            <w:tcW w:w="800" w:type="dxa"/>
            <w:tcBorders>
              <w:top w:val="single" w:sz="1" w:space="0" w:color="CCCCCC"/>
              <w:left w:val="single" w:sz="1" w:space="0" w:color="CCCCCC"/>
              <w:bottom w:val="single" w:sz="1" w:space="0" w:color="CCCCCC"/>
              <w:right w:val="single" w:sz="1" w:space="0" w:color="CCCCCC"/>
            </w:tcBorders>
            <w:shd w:val="clear" w:color="FFFFFF" w:fill="FFFFFF"/>
          </w:tcPr>
          <w:p w14:paraId="051D3D04"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15.1%</w:t>
            </w:r>
          </w:p>
        </w:tc>
      </w:tr>
      <w:tr w:rsidR="00C43D55" w:rsidRPr="003B5052" w14:paraId="0A51362D" w14:textId="77777777" w:rsidTr="0058588E">
        <w:tc>
          <w:tcPr>
            <w:tcW w:w="1600" w:type="dxa"/>
            <w:tcBorders>
              <w:top w:val="single" w:sz="1" w:space="0" w:color="CCCCCC"/>
              <w:left w:val="single" w:sz="1" w:space="0" w:color="CCCCCC"/>
              <w:bottom w:val="single" w:sz="1" w:space="0" w:color="CCCCCC"/>
              <w:right w:val="single" w:sz="1" w:space="0" w:color="CCCCCC"/>
            </w:tcBorders>
            <w:shd w:val="clear" w:color="D6E4F0" w:fill="D6E4F0"/>
          </w:tcPr>
          <w:p w14:paraId="05C97772"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Dividend Payout Ratio</w:t>
            </w:r>
          </w:p>
        </w:tc>
        <w:tc>
          <w:tcPr>
            <w:tcW w:w="1800" w:type="dxa"/>
            <w:tcBorders>
              <w:top w:val="single" w:sz="1" w:space="0" w:color="CCCCCC"/>
              <w:left w:val="single" w:sz="1" w:space="0" w:color="CCCCCC"/>
              <w:bottom w:val="single" w:sz="1" w:space="0" w:color="CCCCCC"/>
              <w:right w:val="single" w:sz="1" w:space="0" w:color="CCCCCC"/>
            </w:tcBorders>
            <w:shd w:val="clear" w:color="D6E4F0" w:fill="D6E4F0"/>
          </w:tcPr>
          <w:p w14:paraId="1CF80DEF"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DPS / EPS</w:t>
            </w:r>
          </w:p>
        </w:tc>
        <w:tc>
          <w:tcPr>
            <w:tcW w:w="1700" w:type="dxa"/>
            <w:tcBorders>
              <w:top w:val="single" w:sz="1" w:space="0" w:color="CCCCCC"/>
              <w:left w:val="single" w:sz="1" w:space="0" w:color="CCCCCC"/>
              <w:bottom w:val="single" w:sz="1" w:space="0" w:color="CCCCCC"/>
              <w:right w:val="single" w:sz="1" w:space="0" w:color="CCCCCC"/>
            </w:tcBorders>
            <w:shd w:val="clear" w:color="D6E4F0" w:fill="D6E4F0"/>
          </w:tcPr>
          <w:p w14:paraId="733B422B"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2.76 / 7.6</w:t>
            </w:r>
          </w:p>
        </w:tc>
        <w:tc>
          <w:tcPr>
            <w:tcW w:w="800" w:type="dxa"/>
            <w:tcBorders>
              <w:top w:val="single" w:sz="1" w:space="0" w:color="CCCCCC"/>
              <w:left w:val="single" w:sz="1" w:space="0" w:color="CCCCCC"/>
              <w:bottom w:val="single" w:sz="1" w:space="0" w:color="CCCCCC"/>
              <w:right w:val="single" w:sz="1" w:space="0" w:color="CCCCCC"/>
            </w:tcBorders>
            <w:shd w:val="clear" w:color="D6E4F0" w:fill="D6E4F0"/>
          </w:tcPr>
          <w:p w14:paraId="43665C3D"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36.3%</w:t>
            </w:r>
          </w:p>
        </w:tc>
        <w:tc>
          <w:tcPr>
            <w:tcW w:w="1700" w:type="dxa"/>
            <w:tcBorders>
              <w:top w:val="single" w:sz="1" w:space="0" w:color="CCCCCC"/>
              <w:left w:val="single" w:sz="1" w:space="0" w:color="CCCCCC"/>
              <w:bottom w:val="single" w:sz="1" w:space="0" w:color="CCCCCC"/>
              <w:right w:val="single" w:sz="1" w:space="0" w:color="CCCCCC"/>
            </w:tcBorders>
            <w:shd w:val="clear" w:color="D6E4F0" w:fill="D6E4F0"/>
          </w:tcPr>
          <w:p w14:paraId="48ED6A4C"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3.17 / 6.3</w:t>
            </w:r>
          </w:p>
        </w:tc>
        <w:tc>
          <w:tcPr>
            <w:tcW w:w="800" w:type="dxa"/>
            <w:tcBorders>
              <w:top w:val="single" w:sz="1" w:space="0" w:color="CCCCCC"/>
              <w:left w:val="single" w:sz="1" w:space="0" w:color="CCCCCC"/>
              <w:bottom w:val="single" w:sz="1" w:space="0" w:color="CCCCCC"/>
              <w:right w:val="single" w:sz="1" w:space="0" w:color="CCCCCC"/>
            </w:tcBorders>
            <w:shd w:val="clear" w:color="D6E4F0" w:fill="D6E4F0"/>
          </w:tcPr>
          <w:p w14:paraId="5713D327"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50.3%</w:t>
            </w:r>
          </w:p>
        </w:tc>
        <w:tc>
          <w:tcPr>
            <w:tcW w:w="1700" w:type="dxa"/>
            <w:tcBorders>
              <w:top w:val="single" w:sz="1" w:space="0" w:color="CCCCCC"/>
              <w:left w:val="single" w:sz="1" w:space="0" w:color="CCCCCC"/>
              <w:bottom w:val="single" w:sz="1" w:space="0" w:color="CCCCCC"/>
              <w:right w:val="single" w:sz="1" w:space="0" w:color="CCCCCC"/>
            </w:tcBorders>
            <w:shd w:val="clear" w:color="D6E4F0" w:fill="D6E4F0"/>
          </w:tcPr>
          <w:p w14:paraId="2E986E70"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3.65 / 7.0</w:t>
            </w:r>
          </w:p>
        </w:tc>
        <w:tc>
          <w:tcPr>
            <w:tcW w:w="800" w:type="dxa"/>
            <w:tcBorders>
              <w:top w:val="single" w:sz="1" w:space="0" w:color="CCCCCC"/>
              <w:left w:val="single" w:sz="1" w:space="0" w:color="CCCCCC"/>
              <w:bottom w:val="single" w:sz="1" w:space="0" w:color="CCCCCC"/>
              <w:right w:val="single" w:sz="1" w:space="0" w:color="CCCCCC"/>
            </w:tcBorders>
            <w:shd w:val="clear" w:color="D6E4F0" w:fill="D6E4F0"/>
          </w:tcPr>
          <w:p w14:paraId="28D18E6A"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52.1%</w:t>
            </w:r>
          </w:p>
        </w:tc>
      </w:tr>
      <w:tr w:rsidR="00C43D55" w:rsidRPr="003B5052" w14:paraId="73770F73" w14:textId="77777777" w:rsidTr="0058588E">
        <w:tc>
          <w:tcPr>
            <w:tcW w:w="1600" w:type="dxa"/>
            <w:tcBorders>
              <w:top w:val="single" w:sz="1" w:space="0" w:color="CCCCCC"/>
              <w:left w:val="single" w:sz="1" w:space="0" w:color="CCCCCC"/>
              <w:bottom w:val="single" w:sz="1" w:space="0" w:color="CCCCCC"/>
              <w:right w:val="single" w:sz="1" w:space="0" w:color="CCCCCC"/>
            </w:tcBorders>
            <w:shd w:val="clear" w:color="FFFFFF" w:fill="FFFFFF"/>
          </w:tcPr>
          <w:p w14:paraId="689822A1"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TNAV Per Share (APM)</w:t>
            </w:r>
          </w:p>
        </w:tc>
        <w:tc>
          <w:tcPr>
            <w:tcW w:w="1800" w:type="dxa"/>
            <w:tcBorders>
              <w:top w:val="single" w:sz="1" w:space="0" w:color="CCCCCC"/>
              <w:left w:val="single" w:sz="1" w:space="0" w:color="CCCCCC"/>
              <w:bottom w:val="single" w:sz="1" w:space="0" w:color="CCCCCC"/>
              <w:right w:val="single" w:sz="1" w:space="0" w:color="CCCCCC"/>
            </w:tcBorders>
            <w:shd w:val="clear" w:color="FFFFFF" w:fill="FFFFFF"/>
          </w:tcPr>
          <w:p w14:paraId="2F7562DD"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(Equity−Intangibles)/Shares</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455E9319"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w:t>
            </w:r>
          </w:p>
        </w:tc>
        <w:tc>
          <w:tcPr>
            <w:tcW w:w="800" w:type="dxa"/>
            <w:tcBorders>
              <w:top w:val="single" w:sz="1" w:space="0" w:color="CCCCCC"/>
              <w:left w:val="single" w:sz="1" w:space="0" w:color="CCCCCC"/>
              <w:bottom w:val="single" w:sz="1" w:space="0" w:color="CCCCCC"/>
              <w:right w:val="single" w:sz="1" w:space="0" w:color="CCCCCC"/>
            </w:tcBorders>
            <w:shd w:val="clear" w:color="FFFFFF" w:fill="FFFFFF"/>
          </w:tcPr>
          <w:p w14:paraId="583E059D"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N/A</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5E6A4893"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w:t>
            </w:r>
          </w:p>
        </w:tc>
        <w:tc>
          <w:tcPr>
            <w:tcW w:w="800" w:type="dxa"/>
            <w:tcBorders>
              <w:top w:val="single" w:sz="1" w:space="0" w:color="CCCCCC"/>
              <w:left w:val="single" w:sz="1" w:space="0" w:color="CCCCCC"/>
              <w:bottom w:val="single" w:sz="1" w:space="0" w:color="CCCCCC"/>
              <w:right w:val="single" w:sz="1" w:space="0" w:color="CCCCCC"/>
            </w:tcBorders>
            <w:shd w:val="clear" w:color="FFFFFF" w:fill="FFFFFF"/>
          </w:tcPr>
          <w:p w14:paraId="2E6F28DD"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52.4p</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797F6A9E"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w:t>
            </w:r>
          </w:p>
        </w:tc>
        <w:tc>
          <w:tcPr>
            <w:tcW w:w="800" w:type="dxa"/>
            <w:tcBorders>
              <w:top w:val="single" w:sz="1" w:space="0" w:color="CCCCCC"/>
              <w:left w:val="single" w:sz="1" w:space="0" w:color="CCCCCC"/>
              <w:bottom w:val="single" w:sz="1" w:space="0" w:color="CCCCCC"/>
              <w:right w:val="single" w:sz="1" w:space="0" w:color="CCCCCC"/>
            </w:tcBorders>
            <w:shd w:val="clear" w:color="FFFFFF" w:fill="FFFFFF"/>
          </w:tcPr>
          <w:p w14:paraId="282A226A"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57.0p</w:t>
            </w:r>
          </w:p>
        </w:tc>
      </w:tr>
      <w:tr w:rsidR="00C43D55" w:rsidRPr="003B5052" w14:paraId="04B06C8B" w14:textId="77777777" w:rsidTr="0058588E">
        <w:tc>
          <w:tcPr>
            <w:tcW w:w="1600" w:type="dxa"/>
            <w:tcBorders>
              <w:top w:val="single" w:sz="1" w:space="0" w:color="CCCCCC"/>
              <w:left w:val="single" w:sz="1" w:space="0" w:color="CCCCCC"/>
              <w:bottom w:val="single" w:sz="1" w:space="0" w:color="CCCCCC"/>
              <w:right w:val="single" w:sz="1" w:space="0" w:color="CCCCCC"/>
            </w:tcBorders>
            <w:shd w:val="clear" w:color="D6E4F0" w:fill="D6E4F0"/>
          </w:tcPr>
          <w:p w14:paraId="3998B1E7"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Total Shareholder Return</w:t>
            </w:r>
          </w:p>
        </w:tc>
        <w:tc>
          <w:tcPr>
            <w:tcW w:w="1800" w:type="dxa"/>
            <w:tcBorders>
              <w:top w:val="single" w:sz="1" w:space="0" w:color="CCCCCC"/>
              <w:left w:val="single" w:sz="1" w:space="0" w:color="CCCCCC"/>
              <w:bottom w:val="single" w:sz="1" w:space="0" w:color="CCCCCC"/>
              <w:right w:val="single" w:sz="1" w:space="0" w:color="CCCCCC"/>
            </w:tcBorders>
            <w:shd w:val="clear" w:color="D6E4F0" w:fill="D6E4F0"/>
          </w:tcPr>
          <w:p w14:paraId="31EDBFF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Price Δ + Dividend / Opening</w:t>
            </w:r>
          </w:p>
        </w:tc>
        <w:tc>
          <w:tcPr>
            <w:tcW w:w="1700" w:type="dxa"/>
            <w:tcBorders>
              <w:top w:val="single" w:sz="1" w:space="0" w:color="CCCCCC"/>
              <w:left w:val="single" w:sz="1" w:space="0" w:color="CCCCCC"/>
              <w:bottom w:val="single" w:sz="1" w:space="0" w:color="CCCCCC"/>
              <w:right w:val="single" w:sz="1" w:space="0" w:color="CCCCCC"/>
            </w:tcBorders>
            <w:shd w:val="clear" w:color="D6E4F0" w:fill="D6E4F0"/>
          </w:tcPr>
          <w:p w14:paraId="08EA206E"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w:t>
            </w:r>
          </w:p>
        </w:tc>
        <w:tc>
          <w:tcPr>
            <w:tcW w:w="800" w:type="dxa"/>
            <w:tcBorders>
              <w:top w:val="single" w:sz="1" w:space="0" w:color="CCCCCC"/>
              <w:left w:val="single" w:sz="1" w:space="0" w:color="CCCCCC"/>
              <w:bottom w:val="single" w:sz="1" w:space="0" w:color="CCCCCC"/>
              <w:right w:val="single" w:sz="1" w:space="0" w:color="CCCCCC"/>
            </w:tcBorders>
            <w:shd w:val="clear" w:color="D6E4F0" w:fill="D6E4F0"/>
          </w:tcPr>
          <w:p w14:paraId="18EACA32"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10.9%</w:t>
            </w:r>
          </w:p>
        </w:tc>
        <w:tc>
          <w:tcPr>
            <w:tcW w:w="1700" w:type="dxa"/>
            <w:tcBorders>
              <w:top w:val="single" w:sz="1" w:space="0" w:color="CCCCCC"/>
              <w:left w:val="single" w:sz="1" w:space="0" w:color="CCCCCC"/>
              <w:bottom w:val="single" w:sz="1" w:space="0" w:color="CCCCCC"/>
              <w:right w:val="single" w:sz="1" w:space="0" w:color="CCCCCC"/>
            </w:tcBorders>
            <w:shd w:val="clear" w:color="D6E4F0" w:fill="D6E4F0"/>
          </w:tcPr>
          <w:p w14:paraId="025B966B"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w:t>
            </w:r>
          </w:p>
        </w:tc>
        <w:tc>
          <w:tcPr>
            <w:tcW w:w="800" w:type="dxa"/>
            <w:tcBorders>
              <w:top w:val="single" w:sz="1" w:space="0" w:color="CCCCCC"/>
              <w:left w:val="single" w:sz="1" w:space="0" w:color="CCCCCC"/>
              <w:bottom w:val="single" w:sz="1" w:space="0" w:color="CCCCCC"/>
              <w:right w:val="single" w:sz="1" w:space="0" w:color="CCCCCC"/>
            </w:tcBorders>
            <w:shd w:val="clear" w:color="D6E4F0" w:fill="D6E4F0"/>
          </w:tcPr>
          <w:p w14:paraId="0EA62778"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21.2%</w:t>
            </w:r>
          </w:p>
        </w:tc>
        <w:tc>
          <w:tcPr>
            <w:tcW w:w="1700" w:type="dxa"/>
            <w:tcBorders>
              <w:top w:val="single" w:sz="1" w:space="0" w:color="CCCCCC"/>
              <w:left w:val="single" w:sz="1" w:space="0" w:color="CCCCCC"/>
              <w:bottom w:val="single" w:sz="1" w:space="0" w:color="CCCCCC"/>
              <w:right w:val="single" w:sz="1" w:space="0" w:color="CCCCCC"/>
            </w:tcBorders>
            <w:shd w:val="clear" w:color="D6E4F0" w:fill="D6E4F0"/>
          </w:tcPr>
          <w:p w14:paraId="1744DA99"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Reported</w:t>
            </w:r>
          </w:p>
        </w:tc>
        <w:tc>
          <w:tcPr>
            <w:tcW w:w="800" w:type="dxa"/>
            <w:tcBorders>
              <w:top w:val="single" w:sz="1" w:space="0" w:color="CCCCCC"/>
              <w:left w:val="single" w:sz="1" w:space="0" w:color="CCCCCC"/>
              <w:bottom w:val="single" w:sz="1" w:space="0" w:color="CCCCCC"/>
              <w:right w:val="single" w:sz="1" w:space="0" w:color="CCCCCC"/>
            </w:tcBorders>
            <w:shd w:val="clear" w:color="D6E4F0" w:fill="D6E4F0"/>
          </w:tcPr>
          <w:p w14:paraId="4782EC4F"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87.9%</w:t>
            </w:r>
          </w:p>
        </w:tc>
      </w:tr>
      <w:tr w:rsidR="00C43D55" w:rsidRPr="003B5052" w14:paraId="4B10BF6B" w14:textId="77777777" w:rsidTr="0058588E">
        <w:tc>
          <w:tcPr>
            <w:tcW w:w="1600" w:type="dxa"/>
            <w:tcBorders>
              <w:top w:val="single" w:sz="1" w:space="0" w:color="CCCCCC"/>
              <w:left w:val="single" w:sz="1" w:space="0" w:color="CCCCCC"/>
              <w:bottom w:val="single" w:sz="1" w:space="0" w:color="CCCCCC"/>
              <w:right w:val="single" w:sz="1" w:space="0" w:color="CCCCCC"/>
            </w:tcBorders>
            <w:shd w:val="clear" w:color="FFFFFF" w:fill="FFFFFF"/>
          </w:tcPr>
          <w:p w14:paraId="7F40BBCD"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Capital Return Yield</w:t>
            </w:r>
          </w:p>
        </w:tc>
        <w:tc>
          <w:tcPr>
            <w:tcW w:w="1800" w:type="dxa"/>
            <w:tcBorders>
              <w:top w:val="single" w:sz="1" w:space="0" w:color="CCCCCC"/>
              <w:left w:val="single" w:sz="1" w:space="0" w:color="CCCCCC"/>
              <w:bottom w:val="single" w:sz="1" w:space="0" w:color="CCCCCC"/>
              <w:right w:val="single" w:sz="1" w:space="0" w:color="CCCCCC"/>
            </w:tcBorders>
            <w:shd w:val="clear" w:color="FFFFFF" w:fill="FFFFFF"/>
          </w:tcPr>
          <w:p w14:paraId="7171A739"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w:t>
            </w:r>
            <w:proofErr w:type="spellStart"/>
            <w:r w:rsidRPr="003B5052">
              <w:rPr>
                <w:rFonts w:ascii="Times New Roman" w:hAnsi="Times New Roman" w:cs="Times New Roman"/>
              </w:rPr>
              <w:t>Div+Buyback</w:t>
            </w:r>
            <w:proofErr w:type="spellEnd"/>
            <w:r w:rsidRPr="003B5052">
              <w:rPr>
                <w:rFonts w:ascii="Times New Roman" w:hAnsi="Times New Roman" w:cs="Times New Roman"/>
              </w:rPr>
              <w:t xml:space="preserve">) / </w:t>
            </w:r>
            <w:proofErr w:type="spellStart"/>
            <w:r w:rsidRPr="003B5052">
              <w:rPr>
                <w:rFonts w:ascii="Times New Roman" w:hAnsi="Times New Roman" w:cs="Times New Roman"/>
              </w:rPr>
              <w:t>Avg</w:t>
            </w:r>
            <w:proofErr w:type="spellEnd"/>
            <w:r w:rsidRPr="003B5052">
              <w:rPr>
                <w:rFonts w:ascii="Times New Roman" w:hAnsi="Times New Roman" w:cs="Times New Roman"/>
              </w:rPr>
              <w:t xml:space="preserve"> Equity</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30292A5F"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3,644 / 47,365</w:t>
            </w:r>
          </w:p>
        </w:tc>
        <w:tc>
          <w:tcPr>
            <w:tcW w:w="800" w:type="dxa"/>
            <w:tcBorders>
              <w:top w:val="single" w:sz="1" w:space="0" w:color="CCCCCC"/>
              <w:left w:val="single" w:sz="1" w:space="0" w:color="CCCCCC"/>
              <w:bottom w:val="single" w:sz="1" w:space="0" w:color="CCCCCC"/>
              <w:right w:val="single" w:sz="1" w:space="0" w:color="CCCCCC"/>
            </w:tcBorders>
            <w:shd w:val="clear" w:color="FFFFFF" w:fill="FFFFFF"/>
          </w:tcPr>
          <w:p w14:paraId="364B514F"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7.7%</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027B1287"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3,839 / 43,443</w:t>
            </w:r>
          </w:p>
        </w:tc>
        <w:tc>
          <w:tcPr>
            <w:tcW w:w="800" w:type="dxa"/>
            <w:tcBorders>
              <w:top w:val="single" w:sz="1" w:space="0" w:color="CCCCCC"/>
              <w:left w:val="single" w:sz="1" w:space="0" w:color="CCCCCC"/>
              <w:bottom w:val="single" w:sz="1" w:space="0" w:color="CCCCCC"/>
              <w:right w:val="single" w:sz="1" w:space="0" w:color="CCCCCC"/>
            </w:tcBorders>
            <w:shd w:val="clear" w:color="FFFFFF" w:fill="FFFFFF"/>
          </w:tcPr>
          <w:p w14:paraId="46827BD1"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8.8%</w:t>
            </w:r>
          </w:p>
        </w:tc>
        <w:tc>
          <w:tcPr>
            <w:tcW w:w="1700" w:type="dxa"/>
            <w:tcBorders>
              <w:top w:val="single" w:sz="1" w:space="0" w:color="CCCCCC"/>
              <w:left w:val="single" w:sz="1" w:space="0" w:color="CCCCCC"/>
              <w:bottom w:val="single" w:sz="1" w:space="0" w:color="CCCCCC"/>
              <w:right w:val="single" w:sz="1" w:space="0" w:color="CCCCCC"/>
            </w:tcBorders>
            <w:shd w:val="clear" w:color="FFFFFF" w:fill="FFFFFF"/>
          </w:tcPr>
          <w:p w14:paraId="16D4D24E"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3,710 / 43,805</w:t>
            </w:r>
          </w:p>
        </w:tc>
        <w:tc>
          <w:tcPr>
            <w:tcW w:w="800" w:type="dxa"/>
            <w:tcBorders>
              <w:top w:val="single" w:sz="1" w:space="0" w:color="CCCCCC"/>
              <w:left w:val="single" w:sz="1" w:space="0" w:color="CCCCCC"/>
              <w:bottom w:val="single" w:sz="1" w:space="0" w:color="CCCCCC"/>
              <w:right w:val="single" w:sz="1" w:space="0" w:color="CCCCCC"/>
            </w:tcBorders>
            <w:shd w:val="clear" w:color="FFFFFF" w:fill="FFFFFF"/>
          </w:tcPr>
          <w:p w14:paraId="7D94A87D"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8.5%</w:t>
            </w:r>
          </w:p>
        </w:tc>
      </w:tr>
    </w:tbl>
    <w:p w14:paraId="5C8C3706" w14:textId="77777777" w:rsidR="00C43D55" w:rsidRPr="003B5052" w:rsidRDefault="00C43D55" w:rsidP="003B5052">
      <w:pPr>
        <w:spacing w:line="360" w:lineRule="auto"/>
        <w:rPr>
          <w:rFonts w:ascii="Times New Roman" w:hAnsi="Times New Roman" w:cs="Times New Roman"/>
        </w:rPr>
      </w:pPr>
    </w:p>
    <w:p w14:paraId="0A27C224"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Appendix E: Cash Flow Summary</w:t>
      </w:r>
    </w:p>
    <w:p w14:paraId="324F9434" w14:textId="77777777" w:rsidR="00C43D55" w:rsidRPr="003B5052" w:rsidRDefault="00C43D55" w:rsidP="003B5052">
      <w:pPr>
        <w:spacing w:line="360" w:lineRule="auto"/>
        <w:rPr>
          <w:rFonts w:ascii="Times New Roman" w:hAnsi="Times New Roman" w:cs="Times New Roman"/>
        </w:rPr>
      </w:pPr>
    </w:p>
    <w:tbl>
      <w:tblPr>
        <w:tblW w:w="8400" w:type="dxa"/>
        <w:tblBorders>
          <w:top w:val="single" w:sz="1" w:space="0" w:color="AAAAAA"/>
          <w:left w:val="single" w:sz="1" w:space="0" w:color="AAAAA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1200"/>
        <w:gridCol w:w="1200"/>
        <w:gridCol w:w="1200"/>
      </w:tblGrid>
      <w:tr w:rsidR="00C43D55" w:rsidRPr="003B5052" w14:paraId="0109E15E" w14:textId="77777777" w:rsidTr="0058588E">
        <w:trPr>
          <w:tblHeader/>
        </w:trPr>
        <w:tc>
          <w:tcPr>
            <w:tcW w:w="2400" w:type="dxa"/>
            <w:tcBorders>
              <w:top w:val="single" w:sz="1" w:space="0" w:color="1B3A5C"/>
              <w:left w:val="single" w:sz="1" w:space="0" w:color="1B3A5C"/>
              <w:bottom w:val="single" w:sz="1" w:space="0" w:color="1B3A5C"/>
              <w:right w:val="single" w:sz="1" w:space="0" w:color="1B3A5C"/>
            </w:tcBorders>
            <w:shd w:val="clear" w:color="1B3A5C" w:fill="1B3A5C"/>
          </w:tcPr>
          <w:p w14:paraId="31F5606A"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Category (£m)</w:t>
            </w:r>
          </w:p>
        </w:tc>
        <w:tc>
          <w:tcPr>
            <w:tcW w:w="1200" w:type="dxa"/>
            <w:tcBorders>
              <w:top w:val="single" w:sz="1" w:space="0" w:color="1B3A5C"/>
              <w:left w:val="single" w:sz="1" w:space="0" w:color="1B3A5C"/>
              <w:bottom w:val="single" w:sz="1" w:space="0" w:color="1B3A5C"/>
              <w:right w:val="single" w:sz="1" w:space="0" w:color="1B3A5C"/>
            </w:tcBorders>
            <w:shd w:val="clear" w:color="1B3A5C" w:fill="1B3A5C"/>
          </w:tcPr>
          <w:p w14:paraId="2D808DF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2023</w:t>
            </w:r>
          </w:p>
        </w:tc>
        <w:tc>
          <w:tcPr>
            <w:tcW w:w="1200" w:type="dxa"/>
            <w:tcBorders>
              <w:top w:val="single" w:sz="1" w:space="0" w:color="1B3A5C"/>
              <w:left w:val="single" w:sz="1" w:space="0" w:color="1B3A5C"/>
              <w:bottom w:val="single" w:sz="1" w:space="0" w:color="1B3A5C"/>
              <w:right w:val="single" w:sz="1" w:space="0" w:color="1B3A5C"/>
            </w:tcBorders>
            <w:shd w:val="clear" w:color="1B3A5C" w:fill="1B3A5C"/>
          </w:tcPr>
          <w:p w14:paraId="37D2ECD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2024</w:t>
            </w:r>
          </w:p>
        </w:tc>
        <w:tc>
          <w:tcPr>
            <w:tcW w:w="1200" w:type="dxa"/>
            <w:tcBorders>
              <w:top w:val="single" w:sz="1" w:space="0" w:color="1B3A5C"/>
              <w:left w:val="single" w:sz="1" w:space="0" w:color="1B3A5C"/>
              <w:bottom w:val="single" w:sz="1" w:space="0" w:color="1B3A5C"/>
              <w:right w:val="single" w:sz="1" w:space="0" w:color="1B3A5C"/>
            </w:tcBorders>
            <w:shd w:val="clear" w:color="1B3A5C" w:fill="1B3A5C"/>
          </w:tcPr>
          <w:p w14:paraId="31D498BF"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YoY Change</w:t>
            </w:r>
          </w:p>
        </w:tc>
        <w:tc>
          <w:tcPr>
            <w:tcW w:w="1200" w:type="dxa"/>
            <w:tcBorders>
              <w:top w:val="single" w:sz="1" w:space="0" w:color="1B3A5C"/>
              <w:left w:val="single" w:sz="1" w:space="0" w:color="1B3A5C"/>
              <w:bottom w:val="single" w:sz="1" w:space="0" w:color="1B3A5C"/>
              <w:right w:val="single" w:sz="1" w:space="0" w:color="1B3A5C"/>
            </w:tcBorders>
            <w:shd w:val="clear" w:color="1B3A5C" w:fill="1B3A5C"/>
          </w:tcPr>
          <w:p w14:paraId="43F4AA68"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2025</w:t>
            </w:r>
          </w:p>
        </w:tc>
        <w:tc>
          <w:tcPr>
            <w:tcW w:w="1200" w:type="dxa"/>
            <w:tcBorders>
              <w:top w:val="single" w:sz="1" w:space="0" w:color="1B3A5C"/>
              <w:left w:val="single" w:sz="1" w:space="0" w:color="1B3A5C"/>
              <w:bottom w:val="single" w:sz="1" w:space="0" w:color="1B3A5C"/>
              <w:right w:val="single" w:sz="1" w:space="0" w:color="1B3A5C"/>
            </w:tcBorders>
            <w:shd w:val="clear" w:color="1B3A5C" w:fill="1B3A5C"/>
          </w:tcPr>
          <w:p w14:paraId="1C3A3B83"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YoY Change</w:t>
            </w:r>
          </w:p>
        </w:tc>
      </w:tr>
      <w:tr w:rsidR="00C43D55" w:rsidRPr="003B5052" w14:paraId="56712DB5" w14:textId="77777777" w:rsidTr="0058588E">
        <w:tc>
          <w:tcPr>
            <w:tcW w:w="2400" w:type="dxa"/>
            <w:tcBorders>
              <w:top w:val="single" w:sz="1" w:space="0" w:color="CCCCCC"/>
              <w:left w:val="single" w:sz="1" w:space="0" w:color="CCCCCC"/>
              <w:bottom w:val="single" w:sz="1" w:space="0" w:color="CCCCCC"/>
              <w:right w:val="single" w:sz="1" w:space="0" w:color="CCCCCC"/>
            </w:tcBorders>
            <w:shd w:val="clear" w:color="FFFFFF" w:fill="FFFFFF"/>
          </w:tcPr>
          <w:p w14:paraId="73177F47"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Net Cash from Operations</w:t>
            </w:r>
          </w:p>
        </w:tc>
        <w:tc>
          <w:tcPr>
            <w:tcW w:w="1200" w:type="dxa"/>
            <w:tcBorders>
              <w:top w:val="single" w:sz="1" w:space="0" w:color="CCCCCC"/>
              <w:left w:val="single" w:sz="1" w:space="0" w:color="CCCCCC"/>
              <w:bottom w:val="single" w:sz="1" w:space="0" w:color="CCCCCC"/>
              <w:right w:val="single" w:sz="1" w:space="0" w:color="CCCCCC"/>
            </w:tcBorders>
            <w:shd w:val="clear" w:color="FFFFFF" w:fill="FFFFFF"/>
          </w:tcPr>
          <w:p w14:paraId="677AC678"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6,810</w:t>
            </w:r>
          </w:p>
        </w:tc>
        <w:tc>
          <w:tcPr>
            <w:tcW w:w="1200" w:type="dxa"/>
            <w:tcBorders>
              <w:top w:val="single" w:sz="1" w:space="0" w:color="CCCCCC"/>
              <w:left w:val="single" w:sz="1" w:space="0" w:color="CCCCCC"/>
              <w:bottom w:val="single" w:sz="1" w:space="0" w:color="CCCCCC"/>
              <w:right w:val="single" w:sz="1" w:space="0" w:color="CCCCCC"/>
            </w:tcBorders>
            <w:shd w:val="clear" w:color="FFFFFF" w:fill="FFFFFF"/>
          </w:tcPr>
          <w:p w14:paraId="6C1CE2C0"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(4,393)</w:t>
            </w:r>
          </w:p>
        </w:tc>
        <w:tc>
          <w:tcPr>
            <w:tcW w:w="1200" w:type="dxa"/>
            <w:tcBorders>
              <w:top w:val="single" w:sz="1" w:space="0" w:color="CCCCCC"/>
              <w:left w:val="single" w:sz="1" w:space="0" w:color="CCCCCC"/>
              <w:bottom w:val="single" w:sz="1" w:space="0" w:color="CCCCCC"/>
              <w:right w:val="single" w:sz="1" w:space="0" w:color="CCCCCC"/>
            </w:tcBorders>
            <w:shd w:val="clear" w:color="FFFFFF" w:fill="FFFFFF"/>
          </w:tcPr>
          <w:p w14:paraId="2B33D4F0"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−164.5%</w:t>
            </w:r>
          </w:p>
        </w:tc>
        <w:tc>
          <w:tcPr>
            <w:tcW w:w="1200" w:type="dxa"/>
            <w:tcBorders>
              <w:top w:val="single" w:sz="1" w:space="0" w:color="CCCCCC"/>
              <w:left w:val="single" w:sz="1" w:space="0" w:color="CCCCCC"/>
              <w:bottom w:val="single" w:sz="1" w:space="0" w:color="CCCCCC"/>
              <w:right w:val="single" w:sz="1" w:space="0" w:color="CCCCCC"/>
            </w:tcBorders>
            <w:shd w:val="clear" w:color="FFFFFF" w:fill="FFFFFF"/>
          </w:tcPr>
          <w:p w14:paraId="7E7CD852"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5,701</w:t>
            </w:r>
          </w:p>
        </w:tc>
        <w:tc>
          <w:tcPr>
            <w:tcW w:w="1200" w:type="dxa"/>
            <w:tcBorders>
              <w:top w:val="single" w:sz="1" w:space="0" w:color="CCCCCC"/>
              <w:left w:val="single" w:sz="1" w:space="0" w:color="CCCCCC"/>
              <w:bottom w:val="single" w:sz="1" w:space="0" w:color="CCCCCC"/>
              <w:right w:val="single" w:sz="1" w:space="0" w:color="CCCCCC"/>
            </w:tcBorders>
            <w:shd w:val="clear" w:color="FFFFFF" w:fill="FFFFFF"/>
          </w:tcPr>
          <w:p w14:paraId="1683B987"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N/M</w:t>
            </w:r>
          </w:p>
        </w:tc>
      </w:tr>
      <w:tr w:rsidR="00C43D55" w:rsidRPr="003B5052" w14:paraId="4B01FFDC" w14:textId="77777777" w:rsidTr="0058588E">
        <w:tc>
          <w:tcPr>
            <w:tcW w:w="2400" w:type="dxa"/>
            <w:tcBorders>
              <w:top w:val="single" w:sz="1" w:space="0" w:color="CCCCCC"/>
              <w:left w:val="single" w:sz="1" w:space="0" w:color="CCCCCC"/>
              <w:bottom w:val="single" w:sz="1" w:space="0" w:color="CCCCCC"/>
              <w:right w:val="single" w:sz="1" w:space="0" w:color="CCCCCC"/>
            </w:tcBorders>
            <w:shd w:val="clear" w:color="D6E4F0" w:fill="D6E4F0"/>
          </w:tcPr>
          <w:p w14:paraId="4EF3656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lastRenderedPageBreak/>
              <w:t>Net Cash from Investing</w:t>
            </w:r>
          </w:p>
        </w:tc>
        <w:tc>
          <w:tcPr>
            <w:tcW w:w="1200" w:type="dxa"/>
            <w:tcBorders>
              <w:top w:val="single" w:sz="1" w:space="0" w:color="CCCCCC"/>
              <w:left w:val="single" w:sz="1" w:space="0" w:color="CCCCCC"/>
              <w:bottom w:val="single" w:sz="1" w:space="0" w:color="CCCCCC"/>
              <w:right w:val="single" w:sz="1" w:space="0" w:color="CCCCCC"/>
            </w:tcBorders>
            <w:shd w:val="clear" w:color="D6E4F0" w:fill="D6E4F0"/>
          </w:tcPr>
          <w:p w14:paraId="6A85E26D"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(9,821)</w:t>
            </w:r>
          </w:p>
        </w:tc>
        <w:tc>
          <w:tcPr>
            <w:tcW w:w="1200" w:type="dxa"/>
            <w:tcBorders>
              <w:top w:val="single" w:sz="1" w:space="0" w:color="CCCCCC"/>
              <w:left w:val="single" w:sz="1" w:space="0" w:color="CCCCCC"/>
              <w:bottom w:val="single" w:sz="1" w:space="0" w:color="CCCCCC"/>
              <w:right w:val="single" w:sz="1" w:space="0" w:color="CCCCCC"/>
            </w:tcBorders>
            <w:shd w:val="clear" w:color="D6E4F0" w:fill="D6E4F0"/>
          </w:tcPr>
          <w:p w14:paraId="2D4C70C7"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(7,691)</w:t>
            </w:r>
          </w:p>
        </w:tc>
        <w:tc>
          <w:tcPr>
            <w:tcW w:w="1200" w:type="dxa"/>
            <w:tcBorders>
              <w:top w:val="single" w:sz="1" w:space="0" w:color="CCCCCC"/>
              <w:left w:val="single" w:sz="1" w:space="0" w:color="CCCCCC"/>
              <w:bottom w:val="single" w:sz="1" w:space="0" w:color="CCCCCC"/>
              <w:right w:val="single" w:sz="1" w:space="0" w:color="CCCCCC"/>
            </w:tcBorders>
            <w:shd w:val="clear" w:color="D6E4F0" w:fill="D6E4F0"/>
          </w:tcPr>
          <w:p w14:paraId="688F3B7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−21.7%</w:t>
            </w:r>
          </w:p>
        </w:tc>
        <w:tc>
          <w:tcPr>
            <w:tcW w:w="1200" w:type="dxa"/>
            <w:tcBorders>
              <w:top w:val="single" w:sz="1" w:space="0" w:color="CCCCCC"/>
              <w:left w:val="single" w:sz="1" w:space="0" w:color="CCCCCC"/>
              <w:bottom w:val="single" w:sz="1" w:space="0" w:color="CCCCCC"/>
              <w:right w:val="single" w:sz="1" w:space="0" w:color="CCCCCC"/>
            </w:tcBorders>
            <w:shd w:val="clear" w:color="D6E4F0" w:fill="D6E4F0"/>
          </w:tcPr>
          <w:p w14:paraId="59E90E69"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(10,189)</w:t>
            </w:r>
          </w:p>
        </w:tc>
        <w:tc>
          <w:tcPr>
            <w:tcW w:w="1200" w:type="dxa"/>
            <w:tcBorders>
              <w:top w:val="single" w:sz="1" w:space="0" w:color="CCCCCC"/>
              <w:left w:val="single" w:sz="1" w:space="0" w:color="CCCCCC"/>
              <w:bottom w:val="single" w:sz="1" w:space="0" w:color="CCCCCC"/>
              <w:right w:val="single" w:sz="1" w:space="0" w:color="CCCCCC"/>
            </w:tcBorders>
            <w:shd w:val="clear" w:color="D6E4F0" w:fill="D6E4F0"/>
          </w:tcPr>
          <w:p w14:paraId="5CDAA53D"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−32.5%</w:t>
            </w:r>
          </w:p>
        </w:tc>
      </w:tr>
      <w:tr w:rsidR="00C43D55" w:rsidRPr="003B5052" w14:paraId="12A0C41B" w14:textId="77777777" w:rsidTr="0058588E">
        <w:tc>
          <w:tcPr>
            <w:tcW w:w="2400" w:type="dxa"/>
            <w:tcBorders>
              <w:top w:val="single" w:sz="1" w:space="0" w:color="CCCCCC"/>
              <w:left w:val="single" w:sz="1" w:space="0" w:color="CCCCCC"/>
              <w:bottom w:val="single" w:sz="1" w:space="0" w:color="CCCCCC"/>
              <w:right w:val="single" w:sz="1" w:space="0" w:color="CCCCCC"/>
            </w:tcBorders>
            <w:shd w:val="clear" w:color="FFFFFF" w:fill="FFFFFF"/>
          </w:tcPr>
          <w:p w14:paraId="26C16793"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Net Cash from Financing</w:t>
            </w:r>
          </w:p>
        </w:tc>
        <w:tc>
          <w:tcPr>
            <w:tcW w:w="1200" w:type="dxa"/>
            <w:tcBorders>
              <w:top w:val="single" w:sz="1" w:space="0" w:color="CCCCCC"/>
              <w:left w:val="single" w:sz="1" w:space="0" w:color="CCCCCC"/>
              <w:bottom w:val="single" w:sz="1" w:space="0" w:color="CCCCCC"/>
              <w:right w:val="single" w:sz="1" w:space="0" w:color="CCCCCC"/>
            </w:tcBorders>
            <w:shd w:val="clear" w:color="FFFFFF" w:fill="FFFFFF"/>
          </w:tcPr>
          <w:p w14:paraId="64AF4545"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(3,500)</w:t>
            </w:r>
          </w:p>
        </w:tc>
        <w:tc>
          <w:tcPr>
            <w:tcW w:w="1200" w:type="dxa"/>
            <w:tcBorders>
              <w:top w:val="single" w:sz="1" w:space="0" w:color="CCCCCC"/>
              <w:left w:val="single" w:sz="1" w:space="0" w:color="CCCCCC"/>
              <w:bottom w:val="single" w:sz="1" w:space="0" w:color="CCCCCC"/>
              <w:right w:val="single" w:sz="1" w:space="0" w:color="CCCCCC"/>
            </w:tcBorders>
            <w:shd w:val="clear" w:color="FFFFFF" w:fill="FFFFFF"/>
          </w:tcPr>
          <w:p w14:paraId="33016439"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(5,931)</w:t>
            </w:r>
          </w:p>
        </w:tc>
        <w:tc>
          <w:tcPr>
            <w:tcW w:w="1200" w:type="dxa"/>
            <w:tcBorders>
              <w:top w:val="single" w:sz="1" w:space="0" w:color="CCCCCC"/>
              <w:left w:val="single" w:sz="1" w:space="0" w:color="CCCCCC"/>
              <w:bottom w:val="single" w:sz="1" w:space="0" w:color="CCCCCC"/>
              <w:right w:val="single" w:sz="1" w:space="0" w:color="CCCCCC"/>
            </w:tcBorders>
            <w:shd w:val="clear" w:color="FFFFFF" w:fill="FFFFFF"/>
          </w:tcPr>
          <w:p w14:paraId="576EB7B9"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−69.5%</w:t>
            </w:r>
          </w:p>
        </w:tc>
        <w:tc>
          <w:tcPr>
            <w:tcW w:w="1200" w:type="dxa"/>
            <w:tcBorders>
              <w:top w:val="single" w:sz="1" w:space="0" w:color="CCCCCC"/>
              <w:left w:val="single" w:sz="1" w:space="0" w:color="CCCCCC"/>
              <w:bottom w:val="single" w:sz="1" w:space="0" w:color="CCCCCC"/>
              <w:right w:val="single" w:sz="1" w:space="0" w:color="CCCCCC"/>
            </w:tcBorders>
            <w:shd w:val="clear" w:color="FFFFFF" w:fill="FFFFFF"/>
          </w:tcPr>
          <w:p w14:paraId="4D8B05F4"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(5,357)</w:t>
            </w:r>
          </w:p>
        </w:tc>
        <w:tc>
          <w:tcPr>
            <w:tcW w:w="1200" w:type="dxa"/>
            <w:tcBorders>
              <w:top w:val="single" w:sz="1" w:space="0" w:color="CCCCCC"/>
              <w:left w:val="single" w:sz="1" w:space="0" w:color="CCCCCC"/>
              <w:bottom w:val="single" w:sz="1" w:space="0" w:color="CCCCCC"/>
              <w:right w:val="single" w:sz="1" w:space="0" w:color="CCCCCC"/>
            </w:tcBorders>
            <w:shd w:val="clear" w:color="FFFFFF" w:fill="FFFFFF"/>
          </w:tcPr>
          <w:p w14:paraId="697041FF"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+9.7%</w:t>
            </w:r>
          </w:p>
        </w:tc>
      </w:tr>
      <w:tr w:rsidR="00C43D55" w:rsidRPr="003B5052" w14:paraId="50BDAD98" w14:textId="77777777" w:rsidTr="0058588E">
        <w:tc>
          <w:tcPr>
            <w:tcW w:w="2400" w:type="dxa"/>
            <w:tcBorders>
              <w:top w:val="single" w:sz="1" w:space="0" w:color="CCCCCC"/>
              <w:left w:val="single" w:sz="1" w:space="0" w:color="CCCCCC"/>
              <w:bottom w:val="single" w:sz="1" w:space="0" w:color="CCCCCC"/>
              <w:right w:val="single" w:sz="1" w:space="0" w:color="CCCCCC"/>
            </w:tcBorders>
            <w:shd w:val="clear" w:color="D6E4F0" w:fill="D6E4F0"/>
          </w:tcPr>
          <w:p w14:paraId="3C900BF0"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Exchange Rate Effects</w:t>
            </w:r>
          </w:p>
        </w:tc>
        <w:tc>
          <w:tcPr>
            <w:tcW w:w="1200" w:type="dxa"/>
            <w:tcBorders>
              <w:top w:val="single" w:sz="1" w:space="0" w:color="CCCCCC"/>
              <w:left w:val="single" w:sz="1" w:space="0" w:color="CCCCCC"/>
              <w:bottom w:val="single" w:sz="1" w:space="0" w:color="CCCCCC"/>
              <w:right w:val="single" w:sz="1" w:space="0" w:color="CCCCCC"/>
            </w:tcBorders>
            <w:shd w:val="clear" w:color="D6E4F0" w:fill="D6E4F0"/>
          </w:tcPr>
          <w:p w14:paraId="7D26BEA4"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(480)</w:t>
            </w:r>
          </w:p>
        </w:tc>
        <w:tc>
          <w:tcPr>
            <w:tcW w:w="1200" w:type="dxa"/>
            <w:tcBorders>
              <w:top w:val="single" w:sz="1" w:space="0" w:color="CCCCCC"/>
              <w:left w:val="single" w:sz="1" w:space="0" w:color="CCCCCC"/>
              <w:bottom w:val="single" w:sz="1" w:space="0" w:color="CCCCCC"/>
              <w:right w:val="single" w:sz="1" w:space="0" w:color="CCCCCC"/>
            </w:tcBorders>
            <w:shd w:val="clear" w:color="D6E4F0" w:fill="D6E4F0"/>
          </w:tcPr>
          <w:p w14:paraId="526C8C38"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(7)</w:t>
            </w:r>
          </w:p>
        </w:tc>
        <w:tc>
          <w:tcPr>
            <w:tcW w:w="1200" w:type="dxa"/>
            <w:tcBorders>
              <w:top w:val="single" w:sz="1" w:space="0" w:color="CCCCCC"/>
              <w:left w:val="single" w:sz="1" w:space="0" w:color="CCCCCC"/>
              <w:bottom w:val="single" w:sz="1" w:space="0" w:color="CCCCCC"/>
              <w:right w:val="single" w:sz="1" w:space="0" w:color="CCCCCC"/>
            </w:tcBorders>
            <w:shd w:val="clear" w:color="D6E4F0" w:fill="D6E4F0"/>
          </w:tcPr>
          <w:p w14:paraId="294C16E3"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N/M</w:t>
            </w:r>
          </w:p>
        </w:tc>
        <w:tc>
          <w:tcPr>
            <w:tcW w:w="1200" w:type="dxa"/>
            <w:tcBorders>
              <w:top w:val="single" w:sz="1" w:space="0" w:color="CCCCCC"/>
              <w:left w:val="single" w:sz="1" w:space="0" w:color="CCCCCC"/>
              <w:bottom w:val="single" w:sz="1" w:space="0" w:color="CCCCCC"/>
              <w:right w:val="single" w:sz="1" w:space="0" w:color="CCCCCC"/>
            </w:tcBorders>
            <w:shd w:val="clear" w:color="D6E4F0" w:fill="D6E4F0"/>
          </w:tcPr>
          <w:p w14:paraId="6716D46F"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(378)</w:t>
            </w:r>
          </w:p>
        </w:tc>
        <w:tc>
          <w:tcPr>
            <w:tcW w:w="1200" w:type="dxa"/>
            <w:tcBorders>
              <w:top w:val="single" w:sz="1" w:space="0" w:color="CCCCCC"/>
              <w:left w:val="single" w:sz="1" w:space="0" w:color="CCCCCC"/>
              <w:bottom w:val="single" w:sz="1" w:space="0" w:color="CCCCCC"/>
              <w:right w:val="single" w:sz="1" w:space="0" w:color="CCCCCC"/>
            </w:tcBorders>
            <w:shd w:val="clear" w:color="D6E4F0" w:fill="D6E4F0"/>
          </w:tcPr>
          <w:p w14:paraId="71E09B9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N/M</w:t>
            </w:r>
          </w:p>
        </w:tc>
      </w:tr>
      <w:tr w:rsidR="00C43D55" w:rsidRPr="003B5052" w14:paraId="71CC38B6" w14:textId="77777777" w:rsidTr="0058588E">
        <w:tc>
          <w:tcPr>
            <w:tcW w:w="2400" w:type="dxa"/>
            <w:tcBorders>
              <w:top w:val="single" w:sz="1" w:space="0" w:color="CCCCCC"/>
              <w:left w:val="single" w:sz="1" w:space="0" w:color="CCCCCC"/>
              <w:bottom w:val="single" w:sz="1" w:space="0" w:color="CCCCCC"/>
              <w:right w:val="single" w:sz="1" w:space="0" w:color="CCCCCC"/>
            </w:tcBorders>
            <w:shd w:val="clear" w:color="FFFFFF" w:fill="FFFFFF"/>
          </w:tcPr>
          <w:p w14:paraId="17B993D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Net Change in Cash</w:t>
            </w:r>
          </w:p>
        </w:tc>
        <w:tc>
          <w:tcPr>
            <w:tcW w:w="1200" w:type="dxa"/>
            <w:tcBorders>
              <w:top w:val="single" w:sz="1" w:space="0" w:color="CCCCCC"/>
              <w:left w:val="single" w:sz="1" w:space="0" w:color="CCCCCC"/>
              <w:bottom w:val="single" w:sz="1" w:space="0" w:color="CCCCCC"/>
              <w:right w:val="single" w:sz="1" w:space="0" w:color="CCCCCC"/>
            </w:tcBorders>
            <w:shd w:val="clear" w:color="FFFFFF" w:fill="FFFFFF"/>
          </w:tcPr>
          <w:p w14:paraId="456936A2"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(6,991)</w:t>
            </w:r>
          </w:p>
        </w:tc>
        <w:tc>
          <w:tcPr>
            <w:tcW w:w="1200" w:type="dxa"/>
            <w:tcBorders>
              <w:top w:val="single" w:sz="1" w:space="0" w:color="CCCCCC"/>
              <w:left w:val="single" w:sz="1" w:space="0" w:color="CCCCCC"/>
              <w:bottom w:val="single" w:sz="1" w:space="0" w:color="CCCCCC"/>
              <w:right w:val="single" w:sz="1" w:space="0" w:color="CCCCCC"/>
            </w:tcBorders>
            <w:shd w:val="clear" w:color="FFFFFF" w:fill="FFFFFF"/>
          </w:tcPr>
          <w:p w14:paraId="7061C009"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(18,022)</w:t>
            </w:r>
          </w:p>
        </w:tc>
        <w:tc>
          <w:tcPr>
            <w:tcW w:w="1200" w:type="dxa"/>
            <w:tcBorders>
              <w:top w:val="single" w:sz="1" w:space="0" w:color="CCCCCC"/>
              <w:left w:val="single" w:sz="1" w:space="0" w:color="CCCCCC"/>
              <w:bottom w:val="single" w:sz="1" w:space="0" w:color="CCCCCC"/>
              <w:right w:val="single" w:sz="1" w:space="0" w:color="CCCCCC"/>
            </w:tcBorders>
            <w:shd w:val="clear" w:color="FFFFFF" w:fill="FFFFFF"/>
          </w:tcPr>
          <w:p w14:paraId="71111BA4"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−157.8%</w:t>
            </w:r>
          </w:p>
        </w:tc>
        <w:tc>
          <w:tcPr>
            <w:tcW w:w="1200" w:type="dxa"/>
            <w:tcBorders>
              <w:top w:val="single" w:sz="1" w:space="0" w:color="CCCCCC"/>
              <w:left w:val="single" w:sz="1" w:space="0" w:color="CCCCCC"/>
              <w:bottom w:val="single" w:sz="1" w:space="0" w:color="CCCCCC"/>
              <w:right w:val="single" w:sz="1" w:space="0" w:color="CCCCCC"/>
            </w:tcBorders>
            <w:shd w:val="clear" w:color="FFFFFF" w:fill="FFFFFF"/>
          </w:tcPr>
          <w:p w14:paraId="385E64E1"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(10,223)</w:t>
            </w:r>
          </w:p>
        </w:tc>
        <w:tc>
          <w:tcPr>
            <w:tcW w:w="1200" w:type="dxa"/>
            <w:tcBorders>
              <w:top w:val="single" w:sz="1" w:space="0" w:color="CCCCCC"/>
              <w:left w:val="single" w:sz="1" w:space="0" w:color="CCCCCC"/>
              <w:bottom w:val="single" w:sz="1" w:space="0" w:color="CCCCCC"/>
              <w:right w:val="single" w:sz="1" w:space="0" w:color="CCCCCC"/>
            </w:tcBorders>
            <w:shd w:val="clear" w:color="FFFFFF" w:fill="FFFFFF"/>
          </w:tcPr>
          <w:p w14:paraId="1850E0C9"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+43.3%</w:t>
            </w:r>
          </w:p>
        </w:tc>
      </w:tr>
      <w:tr w:rsidR="00C43D55" w:rsidRPr="003B5052" w14:paraId="6840D658" w14:textId="77777777" w:rsidTr="0058588E">
        <w:tc>
          <w:tcPr>
            <w:tcW w:w="2400" w:type="dxa"/>
            <w:tcBorders>
              <w:top w:val="single" w:sz="1" w:space="0" w:color="CCCCCC"/>
              <w:left w:val="single" w:sz="1" w:space="0" w:color="CCCCCC"/>
              <w:bottom w:val="single" w:sz="1" w:space="0" w:color="CCCCCC"/>
              <w:right w:val="single" w:sz="1" w:space="0" w:color="CCCCCC"/>
            </w:tcBorders>
            <w:shd w:val="clear" w:color="D6E4F0" w:fill="D6E4F0"/>
          </w:tcPr>
          <w:p w14:paraId="42A89913"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Opening Cash Balance</w:t>
            </w:r>
          </w:p>
        </w:tc>
        <w:tc>
          <w:tcPr>
            <w:tcW w:w="1200" w:type="dxa"/>
            <w:tcBorders>
              <w:top w:val="single" w:sz="1" w:space="0" w:color="CCCCCC"/>
              <w:left w:val="single" w:sz="1" w:space="0" w:color="CCCCCC"/>
              <w:bottom w:val="single" w:sz="1" w:space="0" w:color="CCCCCC"/>
              <w:right w:val="single" w:sz="1" w:space="0" w:color="CCCCCC"/>
            </w:tcBorders>
            <w:shd w:val="clear" w:color="D6E4F0" w:fill="D6E4F0"/>
          </w:tcPr>
          <w:p w14:paraId="59054A9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95,829</w:t>
            </w:r>
          </w:p>
        </w:tc>
        <w:tc>
          <w:tcPr>
            <w:tcW w:w="1200" w:type="dxa"/>
            <w:tcBorders>
              <w:top w:val="single" w:sz="1" w:space="0" w:color="CCCCCC"/>
              <w:left w:val="single" w:sz="1" w:space="0" w:color="CCCCCC"/>
              <w:bottom w:val="single" w:sz="1" w:space="0" w:color="CCCCCC"/>
              <w:right w:val="single" w:sz="1" w:space="0" w:color="CCCCCC"/>
            </w:tcBorders>
            <w:shd w:val="clear" w:color="D6E4F0" w:fill="D6E4F0"/>
          </w:tcPr>
          <w:p w14:paraId="3B0B50C8"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88,838</w:t>
            </w:r>
          </w:p>
        </w:tc>
        <w:tc>
          <w:tcPr>
            <w:tcW w:w="1200" w:type="dxa"/>
            <w:tcBorders>
              <w:top w:val="single" w:sz="1" w:space="0" w:color="CCCCCC"/>
              <w:left w:val="single" w:sz="1" w:space="0" w:color="CCCCCC"/>
              <w:bottom w:val="single" w:sz="1" w:space="0" w:color="CCCCCC"/>
              <w:right w:val="single" w:sz="1" w:space="0" w:color="CCCCCC"/>
            </w:tcBorders>
            <w:shd w:val="clear" w:color="D6E4F0" w:fill="D6E4F0"/>
          </w:tcPr>
          <w:p w14:paraId="3C26DEE6"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−7.3%</w:t>
            </w:r>
          </w:p>
        </w:tc>
        <w:tc>
          <w:tcPr>
            <w:tcW w:w="1200" w:type="dxa"/>
            <w:tcBorders>
              <w:top w:val="single" w:sz="1" w:space="0" w:color="CCCCCC"/>
              <w:left w:val="single" w:sz="1" w:space="0" w:color="CCCCCC"/>
              <w:bottom w:val="single" w:sz="1" w:space="0" w:color="CCCCCC"/>
              <w:right w:val="single" w:sz="1" w:space="0" w:color="CCCCCC"/>
            </w:tcBorders>
            <w:shd w:val="clear" w:color="D6E4F0" w:fill="D6E4F0"/>
          </w:tcPr>
          <w:p w14:paraId="3A41FA04"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70,816</w:t>
            </w:r>
          </w:p>
        </w:tc>
        <w:tc>
          <w:tcPr>
            <w:tcW w:w="1200" w:type="dxa"/>
            <w:tcBorders>
              <w:top w:val="single" w:sz="1" w:space="0" w:color="CCCCCC"/>
              <w:left w:val="single" w:sz="1" w:space="0" w:color="CCCCCC"/>
              <w:bottom w:val="single" w:sz="1" w:space="0" w:color="CCCCCC"/>
              <w:right w:val="single" w:sz="1" w:space="0" w:color="CCCCCC"/>
            </w:tcBorders>
            <w:shd w:val="clear" w:color="D6E4F0" w:fill="D6E4F0"/>
          </w:tcPr>
          <w:p w14:paraId="10214AD7"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−20.3%</w:t>
            </w:r>
          </w:p>
        </w:tc>
      </w:tr>
      <w:tr w:rsidR="00C43D55" w:rsidRPr="003B5052" w14:paraId="5C5C0DA1" w14:textId="77777777" w:rsidTr="0058588E">
        <w:tc>
          <w:tcPr>
            <w:tcW w:w="2400" w:type="dxa"/>
            <w:tcBorders>
              <w:top w:val="single" w:sz="1" w:space="0" w:color="CCCCCC"/>
              <w:left w:val="single" w:sz="1" w:space="0" w:color="CCCCCC"/>
              <w:bottom w:val="single" w:sz="1" w:space="0" w:color="CCCCCC"/>
              <w:right w:val="single" w:sz="1" w:space="0" w:color="CCCCCC"/>
            </w:tcBorders>
            <w:shd w:val="clear" w:color="FFFFFF" w:fill="FFFFFF"/>
          </w:tcPr>
          <w:p w14:paraId="1A6BEFAC"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Closing Cash Balance</w:t>
            </w:r>
          </w:p>
        </w:tc>
        <w:tc>
          <w:tcPr>
            <w:tcW w:w="1200" w:type="dxa"/>
            <w:tcBorders>
              <w:top w:val="single" w:sz="1" w:space="0" w:color="CCCCCC"/>
              <w:left w:val="single" w:sz="1" w:space="0" w:color="CCCCCC"/>
              <w:bottom w:val="single" w:sz="1" w:space="0" w:color="CCCCCC"/>
              <w:right w:val="single" w:sz="1" w:space="0" w:color="CCCCCC"/>
            </w:tcBorders>
            <w:shd w:val="clear" w:color="FFFFFF" w:fill="FFFFFF"/>
          </w:tcPr>
          <w:p w14:paraId="39D65D12"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88,838</w:t>
            </w:r>
          </w:p>
        </w:tc>
        <w:tc>
          <w:tcPr>
            <w:tcW w:w="1200" w:type="dxa"/>
            <w:tcBorders>
              <w:top w:val="single" w:sz="1" w:space="0" w:color="CCCCCC"/>
              <w:left w:val="single" w:sz="1" w:space="0" w:color="CCCCCC"/>
              <w:bottom w:val="single" w:sz="1" w:space="0" w:color="CCCCCC"/>
              <w:right w:val="single" w:sz="1" w:space="0" w:color="CCCCCC"/>
            </w:tcBorders>
            <w:shd w:val="clear" w:color="FFFFFF" w:fill="FFFFFF"/>
          </w:tcPr>
          <w:p w14:paraId="6FBD4F3B"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70,816</w:t>
            </w:r>
          </w:p>
        </w:tc>
        <w:tc>
          <w:tcPr>
            <w:tcW w:w="1200" w:type="dxa"/>
            <w:tcBorders>
              <w:top w:val="single" w:sz="1" w:space="0" w:color="CCCCCC"/>
              <w:left w:val="single" w:sz="1" w:space="0" w:color="CCCCCC"/>
              <w:bottom w:val="single" w:sz="1" w:space="0" w:color="CCCCCC"/>
              <w:right w:val="single" w:sz="1" w:space="0" w:color="CCCCCC"/>
            </w:tcBorders>
            <w:shd w:val="clear" w:color="FFFFFF" w:fill="FFFFFF"/>
          </w:tcPr>
          <w:p w14:paraId="4C958684"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−20.3%</w:t>
            </w:r>
          </w:p>
        </w:tc>
        <w:tc>
          <w:tcPr>
            <w:tcW w:w="1200" w:type="dxa"/>
            <w:tcBorders>
              <w:top w:val="single" w:sz="1" w:space="0" w:color="CCCCCC"/>
              <w:left w:val="single" w:sz="1" w:space="0" w:color="CCCCCC"/>
              <w:bottom w:val="single" w:sz="1" w:space="0" w:color="CCCCCC"/>
              <w:right w:val="single" w:sz="1" w:space="0" w:color="CCCCCC"/>
            </w:tcBorders>
            <w:shd w:val="clear" w:color="FFFFFF" w:fill="FFFFFF"/>
          </w:tcPr>
          <w:p w14:paraId="1F564800"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60,593</w:t>
            </w:r>
          </w:p>
        </w:tc>
        <w:tc>
          <w:tcPr>
            <w:tcW w:w="1200" w:type="dxa"/>
            <w:tcBorders>
              <w:top w:val="single" w:sz="1" w:space="0" w:color="CCCCCC"/>
              <w:left w:val="single" w:sz="1" w:space="0" w:color="CCCCCC"/>
              <w:bottom w:val="single" w:sz="1" w:space="0" w:color="CCCCCC"/>
              <w:right w:val="single" w:sz="1" w:space="0" w:color="CCCCCC"/>
            </w:tcBorders>
            <w:shd w:val="clear" w:color="FFFFFF" w:fill="FFFFFF"/>
          </w:tcPr>
          <w:p w14:paraId="4C14FDDE" w14:textId="77777777" w:rsidR="00C43D55" w:rsidRPr="003B5052" w:rsidRDefault="00C43D55" w:rsidP="003B5052">
            <w:pPr>
              <w:spacing w:line="360" w:lineRule="auto"/>
              <w:rPr>
                <w:rFonts w:ascii="Times New Roman" w:hAnsi="Times New Roman" w:cs="Times New Roman"/>
              </w:rPr>
            </w:pPr>
            <w:r w:rsidRPr="003B5052">
              <w:rPr>
                <w:rFonts w:ascii="Times New Roman" w:hAnsi="Times New Roman" w:cs="Times New Roman"/>
              </w:rPr>
              <w:t>−14.4%</w:t>
            </w:r>
          </w:p>
        </w:tc>
      </w:tr>
    </w:tbl>
    <w:p w14:paraId="1DC14A73" w14:textId="77777777" w:rsidR="00C43D55" w:rsidRPr="003B5052" w:rsidRDefault="00C43D55" w:rsidP="003B5052">
      <w:pPr>
        <w:pBdr>
          <w:top w:val="nil"/>
          <w:left w:val="nil"/>
          <w:bottom w:val="nil"/>
          <w:right w:val="nil"/>
          <w:between w:val="nil"/>
        </w:pBdr>
        <w:spacing w:after="0" w:line="360" w:lineRule="auto"/>
        <w:ind w:left="720" w:hanging="720"/>
        <w:jc w:val="both"/>
        <w:rPr>
          <w:rFonts w:ascii="Times New Roman" w:eastAsia="Times New Roman" w:hAnsi="Times New Roman" w:cs="Times New Roman"/>
          <w:color w:val="000000"/>
        </w:rPr>
      </w:pPr>
    </w:p>
    <w:p w14:paraId="03C0CF3F" w14:textId="77777777" w:rsidR="00542C3D" w:rsidRPr="003B5052" w:rsidRDefault="00542C3D" w:rsidP="003B5052">
      <w:pPr>
        <w:spacing w:line="360" w:lineRule="auto"/>
        <w:jc w:val="both"/>
        <w:rPr>
          <w:rFonts w:ascii="Times New Roman" w:eastAsia="Times New Roman" w:hAnsi="Times New Roman" w:cs="Times New Roman"/>
        </w:rPr>
      </w:pPr>
    </w:p>
    <w:sectPr w:rsidR="00542C3D" w:rsidRPr="003B5052" w:rsidSect="0058588E">
      <w:headerReference w:type="default" r:id="rId3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7973E0" w14:textId="77777777" w:rsidR="00545E76" w:rsidRDefault="00545E76" w:rsidP="0058588E">
      <w:pPr>
        <w:spacing w:after="0" w:line="240" w:lineRule="auto"/>
      </w:pPr>
      <w:r>
        <w:separator/>
      </w:r>
    </w:p>
  </w:endnote>
  <w:endnote w:type="continuationSeparator" w:id="0">
    <w:p w14:paraId="2FA13882" w14:textId="77777777" w:rsidR="00545E76" w:rsidRDefault="00545E76" w:rsidP="00585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embedRegular r:id="rId1" w:fontKey="{98D5BEFB-4250-4CD2-B8F1-FB045D39DB4F}"/>
    <w:embedBold r:id="rId2" w:fontKey="{BAFAE339-177F-48BD-A30D-46C506D2DF2E}"/>
    <w:embedItalic r:id="rId3" w:fontKey="{13CE3B0E-5723-4563-BFB1-3436D6D0F1BC}"/>
    <w:embedBoldItalic r:id="rId4" w:fontKey="{A4FD2524-6816-4A0D-BFA0-4E856563B4FC}"/>
  </w:font>
  <w:font w:name="Play">
    <w:altName w:val="Calibri"/>
    <w:charset w:val="00"/>
    <w:family w:val="auto"/>
    <w:pitch w:val="default"/>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5" w:fontKey="{EB53C5A4-D6AF-4F3B-AF19-B16A727CF3F8}"/>
  </w:font>
  <w:font w:name="Cambria">
    <w:panose1 w:val="02040503050406030204"/>
    <w:charset w:val="00"/>
    <w:family w:val="roman"/>
    <w:pitch w:val="variable"/>
    <w:sig w:usb0="E00002FF" w:usb1="400004FF" w:usb2="00000000" w:usb3="00000000" w:csb0="0000019F" w:csb1="00000000"/>
    <w:embedRegular r:id="rId6" w:fontKey="{E5B0CC8A-7454-4B30-8748-2B0D02DA27B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EA59EC" w14:textId="77777777" w:rsidR="00545E76" w:rsidRDefault="00545E76" w:rsidP="0058588E">
      <w:pPr>
        <w:spacing w:after="0" w:line="240" w:lineRule="auto"/>
      </w:pPr>
      <w:r>
        <w:separator/>
      </w:r>
    </w:p>
  </w:footnote>
  <w:footnote w:type="continuationSeparator" w:id="0">
    <w:p w14:paraId="1A2D4720" w14:textId="77777777" w:rsidR="00545E76" w:rsidRDefault="00545E76" w:rsidP="005858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6E5DF7" w14:textId="77777777" w:rsidR="0058588E" w:rsidRDefault="0058588E" w:rsidP="0058588E">
    <w:pPr>
      <w:jc w:val="right"/>
    </w:pPr>
    <w:r>
      <w:rPr>
        <w:lang w:val="en-GB"/>
      </w:rPr>
      <w:t xml:space="preserve">                                                                                                                                                                                                                                                                                                                                                  </w:t>
    </w:r>
    <w:r>
      <w:rPr>
        <w:b/>
        <w:bCs/>
        <w:sz w:val="18"/>
        <w:szCs w:val="18"/>
      </w:rPr>
      <w:t>17000385</w:t>
    </w:r>
  </w:p>
  <w:p w14:paraId="5F2A0DE1" w14:textId="20681EB2" w:rsidR="0058588E" w:rsidRPr="0058588E" w:rsidRDefault="0058588E">
    <w:pPr>
      <w:pStyle w:val="Header"/>
      <w:rPr>
        <w:lang w:val="en-G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C3D"/>
    <w:rsid w:val="003B5052"/>
    <w:rsid w:val="00542C3D"/>
    <w:rsid w:val="00545E76"/>
    <w:rsid w:val="0058588E"/>
    <w:rsid w:val="00593693"/>
    <w:rsid w:val="00694F00"/>
    <w:rsid w:val="00827786"/>
    <w:rsid w:val="00A30192"/>
    <w:rsid w:val="00BD256B"/>
    <w:rsid w:val="00C43D55"/>
    <w:rsid w:val="00DB3C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91A4B"/>
  <w15:docId w15:val="{2F367154-C939-A84D-8F6A-E25A93905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sz w:val="24"/>
        <w:szCs w:val="24"/>
        <w:lang w:val="en-IN" w:eastAsia="en-GB" w:bidi="ar-SA"/>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character" w:styleId="Hyperlink">
    <w:name w:val="Hyperlink"/>
    <w:basedOn w:val="DefaultParagraphFont"/>
    <w:uiPriority w:val="99"/>
    <w:unhideWhenUsed/>
    <w:rsid w:val="00C43D55"/>
    <w:rPr>
      <w:color w:val="0000FF" w:themeColor="hyperlink"/>
      <w:u w:val="single"/>
    </w:rPr>
  </w:style>
  <w:style w:type="character" w:styleId="UnresolvedMention">
    <w:name w:val="Unresolved Mention"/>
    <w:basedOn w:val="DefaultParagraphFont"/>
    <w:uiPriority w:val="99"/>
    <w:semiHidden/>
    <w:unhideWhenUsed/>
    <w:rsid w:val="00C43D55"/>
    <w:rPr>
      <w:color w:val="605E5C"/>
      <w:shd w:val="clear" w:color="auto" w:fill="E1DFDD"/>
    </w:rPr>
  </w:style>
  <w:style w:type="paragraph" w:styleId="NormalWeb">
    <w:name w:val="Normal (Web)"/>
    <w:basedOn w:val="Normal"/>
    <w:uiPriority w:val="99"/>
    <w:unhideWhenUsed/>
    <w:rsid w:val="00BD256B"/>
    <w:pPr>
      <w:spacing w:before="100" w:beforeAutospacing="1" w:after="100" w:afterAutospacing="1" w:line="240" w:lineRule="auto"/>
    </w:pPr>
    <w:rPr>
      <w:rFonts w:ascii="Times New Roman" w:eastAsia="Times New Roman" w:hAnsi="Times New Roman" w:cs="Times New Roman"/>
    </w:rPr>
  </w:style>
  <w:style w:type="paragraph" w:styleId="Header">
    <w:name w:val="header"/>
    <w:basedOn w:val="Normal"/>
    <w:link w:val="HeaderChar"/>
    <w:uiPriority w:val="99"/>
    <w:unhideWhenUsed/>
    <w:rsid w:val="005858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588E"/>
  </w:style>
  <w:style w:type="paragraph" w:styleId="Footer">
    <w:name w:val="footer"/>
    <w:basedOn w:val="Normal"/>
    <w:link w:val="FooterChar"/>
    <w:uiPriority w:val="99"/>
    <w:unhideWhenUsed/>
    <w:rsid w:val="005858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588E"/>
  </w:style>
  <w:style w:type="paragraph" w:styleId="Caption">
    <w:name w:val="caption"/>
    <w:basedOn w:val="Normal"/>
    <w:next w:val="Normal"/>
    <w:uiPriority w:val="35"/>
    <w:unhideWhenUsed/>
    <w:qFormat/>
    <w:rsid w:val="0058588E"/>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58588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lloydsbankinggroup.com/investors/annual-report.html" TargetMode="External"/><Relationship Id="rId3" Type="http://schemas.openxmlformats.org/officeDocument/2006/relationships/settings" Target="settings.xml"/><Relationship Id="rId21" Type="http://schemas.openxmlformats.org/officeDocument/2006/relationships/hyperlink" Target="https://www.bis.org/publ/arpdf/ar2024e2.pdf"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lloydsbankinggroup.com/investors/annual-report/annual-report-archive/annual-report-2023.htm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bis.org/bcbs/publ/d558.pdf" TargetMode="External"/><Relationship Id="rId29" Type="http://schemas.openxmlformats.org/officeDocument/2006/relationships/hyperlink" Target="https://www.ons.gov.uk/economy/inflationandpriceindices/bulletins/consumerpriceinflation/december2024"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gov.uk/government/publications/autumn-budget-2024"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frc.org.uk/library/standards-codes-policy/corporate-governance/uk-corporate-governance-code/" TargetMode="External"/><Relationship Id="rId28" Type="http://schemas.openxmlformats.org/officeDocument/2006/relationships/hyperlink" Target="https://www.lloydsbankinggroup.com/sustainability/sustainability-report.html" TargetMode="External"/><Relationship Id="rId10" Type="http://schemas.openxmlformats.org/officeDocument/2006/relationships/image" Target="media/image4.png"/><Relationship Id="rId19" Type="http://schemas.openxmlformats.org/officeDocument/2006/relationships/hyperlink" Target="https://www.bankofengland.co.uk/monetary-policy-summary-and-minutes/2025/may-202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fca.org.uk/publication/annual-reports/annual-report-2023-24.pdf" TargetMode="External"/><Relationship Id="rId27" Type="http://schemas.openxmlformats.org/officeDocument/2006/relationships/hyperlink" Target="https://www.lloydsbankinggroup.com/investors.html" TargetMode="External"/><Relationship Id="rId30"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0807E-BE8C-4C69-8384-4836E7A5E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21</Pages>
  <Words>3864</Words>
  <Characters>22030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10</cp:revision>
  <dcterms:created xsi:type="dcterms:W3CDTF">2026-08-19T14:11:00Z</dcterms:created>
  <dcterms:modified xsi:type="dcterms:W3CDTF">2026-08-19T16:43:00Z</dcterms:modified>
</cp:coreProperties>
</file>