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Enhancing Stock Market Prediction Using Multimodal Deep Learning and Explainable AI: A NIFTY 50 Case Study</w:t>
      </w:r>
    </w:p>
    <w:p>
      <w:pPr>
        <w:jc w:val="center"/>
      </w:pPr>
      <w:r>
        <w:rPr>
          <w:b/>
        </w:rPr>
        <w:t>Anish Grandhe, Karthik Peetela</w:t>
        <w:br/>
      </w:r>
      <w:r>
        <w:t>Under the Guidance of Ms. Soume Sanyal</w:t>
        <w:br/>
      </w:r>
      <w:r>
        <w:t>Department of Computer Science and Engineering</w:t>
      </w:r>
    </w:p>
    <w:p>
      <w:pPr>
        <w:pStyle w:val="Heading1"/>
      </w:pPr>
      <w:r>
        <w:t>Abstract</w:t>
      </w:r>
    </w:p>
    <w:p>
      <w:r>
        <w:t>Stock market prediction remains a formidable challenge in financial analytics due to the stochastic nature of asset prices and the complex interplay of diverse influencing factors. Traditional models often struggle to integrate heterogeneous data sources effectively and fail to provide transparent mechanisms for risk assessment. This paper presents a novel Multimodal Temporal Convolutional Network (TCN) framework tailored for the Indian NIFTY 50 index. The proposed system integrates six heterogeneous data inputs—price history, technical indicators, news sentiment, social media sentiment, Environmental, Social, and Governance (ESG) factors, and macroeconomic variables. We employ a specialized architecture comprising TCN branches for numerical time-series, DistilBERT-based transformers for textual sentiment, and Multi-Layer Perceptrons (MLPs) for static regime features. An Adaptive Fusion Gate dynamically weights these modalities based on real-time market conditions. Uniquely, the model features a dual-output head that predicts future prices while simultaneously evaluating risk through volatility and Sharpe ratio metrics. Experimental results demonstrate that our approach achieves a Mean Absolute Error (MAE) of 1.23, significantly outperforming a baseline LSTM model (MAE 1.45), while providing actionable, risk-adjusted trading signals.</w:t>
      </w:r>
    </w:p>
    <w:p>
      <w:r>
        <w:rPr>
          <w:b/>
        </w:rPr>
        <w:t xml:space="preserve">Keywords: </w:t>
      </w:r>
      <w:r>
        <w:t>Stock Market Prediction, Multimodal Deep Learning, Temporal Convolutional Network (TCN), Sentiment Analysis, Risk Analytics, Explainable AI, NIFTY 50.</w:t>
      </w:r>
    </w:p>
    <w:p>
      <w:pPr>
        <w:pStyle w:val="Heading1"/>
      </w:pPr>
      <w:r>
        <w:t>1. Introduction</w:t>
      </w:r>
    </w:p>
    <w:p>
      <w:pPr>
        <w:pStyle w:val="Heading2"/>
      </w:pPr>
      <w:r>
        <w:t>1.1 Motivation</w:t>
      </w:r>
    </w:p>
    <w:p>
      <w:r>
        <w:t>Financial markets are dynamic ecosystems driven by a myriad of factors ranging from historical price trends to global geopolitical events and investor psychology. A truly effective prediction system has the potential to transform investment strategies by anticipating major market moves and minimizing risks. However, despite rapid advancements in Artificial Intelligence (AI), there is a distinct lack of widely deployed solutions capable of blending heterogeneous data sources—such as numerical market data and unstructured textual sentiment—into a unified, transparent forecast. Bridging this gap is essential for developing "institutional-grade" analytics accessible to retail investors.</w:t>
      </w:r>
    </w:p>
    <w:p>
      <w:pPr>
        <w:pStyle w:val="Heading2"/>
      </w:pPr>
      <w:r>
        <w:t>1.2 Problem Statement</w:t>
      </w:r>
    </w:p>
    <w:p>
      <w:r>
        <w:t>Predicting the stock market is one of the most demanding tasks in financial analytics. Standard models, such as standalone Recurrent Neural Networks (RNNs) or statistical methods like ARIMA, suffer from critical limitations:</w:t>
      </w:r>
    </w:p>
    <w:p>
      <w:pPr>
        <w:pStyle w:val="ListBullet"/>
      </w:pPr>
      <w:r>
        <w:t>Inability to Integrate Diverse Data: They struggle to make sense of interacting factors like prices, trading volumes, and external news events simultaneously.</w:t>
      </w:r>
    </w:p>
    <w:p>
      <w:pPr>
        <w:pStyle w:val="ListBullet"/>
      </w:pPr>
      <w:r>
        <w:t>Lack of Adaptability: Existing models often fail to adapt to changing market regimes (e.g., from bull to bear markets).</w:t>
      </w:r>
    </w:p>
    <w:p>
      <w:pPr>
        <w:pStyle w:val="ListBullet"/>
      </w:pPr>
      <w:r>
        <w:t>Opacity: Many deep learning models operate as "black boxes," offering no insight into why a prediction was made, which hinders trust among investors and regulators.</w:t>
      </w:r>
    </w:p>
    <w:p>
      <w:pPr>
        <w:pStyle w:val="ListBullet"/>
      </w:pPr>
      <w:r>
        <w:t>Absence of Joint Risk Modeling: Most systems focus solely on price minimization (e.g., MSE loss) without explicitly accounting for risk metrics like volatility or confidence intervals.</w:t>
      </w:r>
    </w:p>
    <w:p>
      <w:r>
        <w:t>This paper addresses these issues by proposing a multimodal, interpretative, and risk-aware framework specifically designed for the Indian NIFTY 50 market.</w:t>
      </w:r>
    </w:p>
    <w:p>
      <w:pPr>
        <w:pStyle w:val="Heading1"/>
      </w:pPr>
      <w:r>
        <w:t>2. Literature Survey</w:t>
      </w:r>
    </w:p>
    <w:p>
      <w:r>
        <w:t>The evolution of stock market prediction has moved from statistical linearity to complex deep learning architectures.</w:t>
      </w:r>
    </w:p>
    <w:p>
      <w:pPr>
        <w:pStyle w:val="ListBullet"/>
      </w:pPr>
      <w:r>
        <w:rPr>
          <w:b/>
        </w:rPr>
        <w:t>Traditional and Early ML Models:</w:t>
      </w:r>
    </w:p>
    <w:p>
      <w:r>
        <w:t>Early research relied on statistical models like ARIMA and GARCH, which assume linear relationships. Subsequent Machine Learning (ML) approaches such as Support Vector Regression (SVR) introduced non-linearity but lacked the capacity to model long-term temporal dependencies.</w:t>
      </w:r>
    </w:p>
    <w:p>
      <w:pPr>
        <w:pStyle w:val="ListBullet"/>
      </w:pPr>
      <w:r>
        <w:rPr>
          <w:b/>
        </w:rPr>
        <w:t>Deep Learning and Sequence Modeling:</w:t>
      </w:r>
    </w:p>
    <w:p>
      <w:r>
        <w:t>Long Short-Term Memory (LSTM) networks became the standard for time-series forecasting due to their ability to retain memory over sequences. However, recent work by Wang et al. (2020) introduced Stock2Vec, a hybrid framework utilizing Temporal Convolutional Networks (TCNs), arguing that TCNs offer superior parallelization and receptive fields compared to RNNs.</w:t>
      </w:r>
    </w:p>
    <w:p>
      <w:pPr>
        <w:pStyle w:val="ListBullet"/>
      </w:pPr>
      <w:r>
        <w:rPr>
          <w:b/>
        </w:rPr>
        <w:t>Multimodal Approaches:</w:t>
      </w:r>
    </w:p>
    <w:p>
      <w:r>
        <w:t>Shi et al. (2025) explored combining TCNs with LSTMs optimized by genetic algorithms to enhance index prediction. Similarly, Biswas et al. (2025) proposed a dual-output TCN with attention to address both price prediction and risk assessment. Deng et al. (2019) emphasized knowledge-driven prediction to enhance explainability.</w:t>
      </w:r>
    </w:p>
    <w:p>
      <w:pPr>
        <w:pStyle w:val="ListBullet"/>
      </w:pPr>
      <w:r>
        <w:rPr>
          <w:b/>
        </w:rPr>
        <w:t>Gap Analysis:</w:t>
      </w:r>
    </w:p>
    <w:p>
      <w:r>
        <w:t>Existing research often treats stock market prediction as either a purely numerical time-series problem or a textual sentiment classification task, rarely integrating both effectively. While hybrid models like Stock2Vec (Wang et al., 2020) and genetic algorithm-optimized networks (Shi et al., 2025) have shown promise, they exhibit critical limitations:</w:t>
      </w:r>
    </w:p>
    <w:p>
      <w:pPr>
        <w:pStyle w:val="ListBullet"/>
      </w:pPr>
      <w:r>
        <w:t>Geographical Bias: Most studies focus on mature markets like the US (S&amp;P 500) or China (Shanghai Composite), overlooking emerging markets like India's NIFTY 50 which operate under different liquidity and volatility dynamics.</w:t>
      </w:r>
    </w:p>
    <w:p>
      <w:pPr>
        <w:pStyle w:val="ListBullet"/>
      </w:pPr>
      <w:r>
        <w:t>Static Integration: Current multimodal architectures typically employ static concatenation of features, failing to dynamically adapt to changing market regimes where the relevance of 'news' vs. 'technicals' shifts constantly.</w:t>
      </w:r>
    </w:p>
    <w:p>
      <w:pPr>
        <w:pStyle w:val="ListBullet"/>
      </w:pPr>
      <w:r>
        <w:t>Data Scope: The integration of non-traditional alpha sources such as ESG scores remains largely theoretical in deep learning contexts.</w:t>
      </w:r>
    </w:p>
    <w:p>
      <w:pPr>
        <w:pStyle w:val="ListBullet"/>
      </w:pPr>
      <w:r>
        <w:t>Risk Blindness: A significant gap exists in 'risk-aware' AI; most state-of-the-art models optimize solely for point prediction accuracy (MSE/MAE), neglecting the simultaneous estimation of risk metrics like volatility or Sharpe ratio which are crucial for institutional adoption.</w:t>
      </w:r>
    </w:p>
    <w:p>
      <w:r>
        <w:t>This paper addresses these four specific gaps by proposing a dynamically weighted, risk-calibrated, and chemically-inclusive multimodal framework.</w:t>
      </w:r>
    </w:p>
    <w:p>
      <w:pPr>
        <w:pStyle w:val="Heading1"/>
      </w:pPr>
      <w:r>
        <w:t>3. Proposed Model</w:t>
      </w:r>
    </w:p>
    <w:p>
      <w:r>
        <w:t>We propose a Multimodal Temporal Convolutional Network (TCN) that fuses six distinct data sources to generate risk-aware market predictions. The complete architecture is visualized in Figure 1.</w:t>
      </w:r>
    </w:p>
    <w:p>
      <w:r>
        <w:drawing>
          <wp:inline xmlns:a="http://schemas.openxmlformats.org/drawingml/2006/main" xmlns:pic="http://schemas.openxmlformats.org/drawingml/2006/picture">
            <wp:extent cx="5486400" cy="3656171"/>
            <wp:docPr id="1" name="Picture 1"/>
            <wp:cNvGraphicFramePr>
              <a:graphicFrameLocks noChangeAspect="1"/>
            </wp:cNvGraphicFramePr>
            <a:graphic>
              <a:graphicData uri="http://schemas.openxmlformats.org/drawingml/2006/picture">
                <pic:pic>
                  <pic:nvPicPr>
                    <pic:cNvPr id="0" name="model_architecture.jpg"/>
                    <pic:cNvPicPr/>
                  </pic:nvPicPr>
                  <pic:blipFill>
                    <a:blip r:embed="rId9"/>
                    <a:stretch>
                      <a:fillRect/>
                    </a:stretch>
                  </pic:blipFill>
                  <pic:spPr>
                    <a:xfrm>
                      <a:off x="0" y="0"/>
                      <a:ext cx="5486400" cy="3656171"/>
                    </a:xfrm>
                    <a:prstGeom prst="rect"/>
                  </pic:spPr>
                </pic:pic>
              </a:graphicData>
            </a:graphic>
          </wp:inline>
        </w:drawing>
      </w:r>
    </w:p>
    <w:p>
      <w:pPr>
        <w:jc w:val="center"/>
      </w:pPr>
      <w:r>
        <w:t>Figure 1: Proposed Multimodal TCN Architecture</w:t>
      </w:r>
    </w:p>
    <w:p>
      <w:pPr>
        <w:pStyle w:val="Heading2"/>
      </w:pPr>
      <w:r>
        <w:t>3.1 Multi-Source Data Integration</w:t>
      </w:r>
    </w:p>
    <w:p>
      <w:r>
        <w:t>The system ingests six heterogeneous input streams to construct a holistic view of the market state:</w:t>
      </w:r>
    </w:p>
    <w:p>
      <w:pPr>
        <w:pStyle w:val="ListNumber"/>
      </w:pPr>
      <w:r>
        <w:t>Price History: Open, High, Low, Close, Volume (OHLCV) time-series data.</w:t>
      </w:r>
    </w:p>
    <w:p>
      <w:pPr>
        <w:pStyle w:val="ListNumber"/>
      </w:pPr>
      <w:r>
        <w:t>Technical Indicators: Derived features such as Relative Strength Index (RSI), Moving Average Convergence Divergence (MACD), Exponential Moving Average (EMA), and Average True Range (ATR) computed via TA-Lib.</w:t>
      </w:r>
    </w:p>
    <w:p>
      <w:pPr>
        <w:pStyle w:val="ListNumber"/>
      </w:pPr>
      <w:r>
        <w:t>News Sentiment: Quantified sentiment vectors derived from financial news headlines.</w:t>
      </w:r>
    </w:p>
    <w:p>
      <w:pPr>
        <w:pStyle w:val="ListNumber"/>
      </w:pPr>
      <w:r>
        <w:t>Social Media Sentiment: Aggregated investor mood scores from platforms like Twitter/X.</w:t>
      </w:r>
    </w:p>
    <w:p>
      <w:pPr>
        <w:pStyle w:val="ListNumber"/>
      </w:pPr>
      <w:r>
        <w:t>ESG Factors: Environmental, Social, and Governance metrics reflecting long-term sustainability risks.</w:t>
      </w:r>
    </w:p>
    <w:p>
      <w:pPr>
        <w:pStyle w:val="ListNumber"/>
      </w:pPr>
      <w:r>
        <w:t>Macroeconomic Indicators: Broader economic variables (e.g., interest rates, inflation) affecting market regimes.</w:t>
      </w:r>
    </w:p>
    <w:p>
      <w:pPr>
        <w:pStyle w:val="Heading2"/>
      </w:pPr>
      <w:r>
        <w:t>3.2 Specialized Encoding Branches</w:t>
      </w:r>
    </w:p>
    <w:p>
      <w:r>
        <w:t>To handle the varying nature of these inputs, we employ dedicated encoding branches:</w:t>
      </w:r>
    </w:p>
    <w:p>
      <w:pPr>
        <w:pStyle w:val="ListBullet"/>
      </w:pPr>
      <w:r>
        <w:t>TCN Branch: Processes the numerical time-series data (Price + Technicals). TCNs utilize causal dilated convolutions to capture dependencies across different time scales without data leakage.</w:t>
      </w:r>
    </w:p>
    <w:p>
      <w:pPr>
        <w:pStyle w:val="ListBullet"/>
      </w:pPr>
      <w:r>
        <w:t>Transformer Branch: Processes unstructured textual data (News + Social Media) using a DistilBERT-based encoder to produce rich semantic embeddings.</w:t>
      </w:r>
    </w:p>
    <w:p>
      <w:pPr>
        <w:pStyle w:val="ListBullet"/>
      </w:pPr>
      <w:r>
        <w:t>MLP Branch: Processes static or low-frequency tabular data (ESG + Macro) through Multi-Layer Perceptrons to extract regime-specific features.</w:t>
      </w:r>
    </w:p>
    <w:p>
      <w:pPr>
        <w:pStyle w:val="Heading2"/>
      </w:pPr>
      <w:r>
        <w:t>3.3 Adaptive Fusion Gate</w:t>
      </w:r>
    </w:p>
    <w:p>
      <w:r>
        <w:t>A core innovation of our architecture is the Adaptive Fusion Gate. Rather than simple concatenation, this module dynamically assigns weights to each modality's embedding based on the current context. For instance, during high-volatility news events, the gate may weigh the Sentiment embedding higher than technical indicators.</w:t>
      </w:r>
    </w:p>
    <w:p>
      <w:r>
        <w:t>Z_fused = Concat(alpha * E_price, beta * E_text, gamma * E_macro)</w:t>
      </w:r>
    </w:p>
    <w:p>
      <w:r>
        <w:t>where alpha, beta, gamma are learnable gating coefficients.</w:t>
      </w:r>
    </w:p>
    <w:p>
      <w:pPr>
        <w:pStyle w:val="Heading2"/>
      </w:pPr>
      <w:r>
        <w:t>3.4 Dual-Output Head &amp; Risk Pipeline</w:t>
      </w:r>
    </w:p>
    <w:p>
      <w:r>
        <w:t>The fused representation feeds into a dual-head output layer:</w:t>
      </w:r>
    </w:p>
    <w:p>
      <w:pPr>
        <w:pStyle w:val="ListNumber"/>
      </w:pPr>
      <w:r>
        <w:t>Price Prediction Head: Regresses the future NIFTY 50 closing price (or returns).</w:t>
      </w:r>
    </w:p>
    <w:p>
      <w:pPr>
        <w:pStyle w:val="ListNumber"/>
      </w:pPr>
      <w:r>
        <w:t>Risk Assessment Head: Estimates aleatoric uncertainty and volatility metrics (e.g., Sharpe ratio), providing a confidence score for the prediction.</w:t>
      </w:r>
    </w:p>
    <w:p>
      <w:r>
        <w:t>This design ensures that the system outputs not just a number, but a qualified trading signal via a 'deadband' mechanism—trades are only executed if the predicted return exceeds a dynamic threshold defined by the volatility estimate (Position Sizing).</w:t>
      </w:r>
    </w:p>
    <w:p>
      <w:pPr>
        <w:pStyle w:val="Heading1"/>
      </w:pPr>
      <w:r>
        <w:t>4. Methodology</w:t>
      </w:r>
    </w:p>
    <w:p>
      <w:pPr>
        <w:pStyle w:val="Heading2"/>
      </w:pPr>
      <w:r>
        <w:t>4.1 Data Collection &amp; Alignment</w:t>
      </w:r>
    </w:p>
    <w:p>
      <w:r>
        <w:t>Historical OHLCV data for NIFTY 50 constituents is synchronized with technical indicators. News and social media texts are timestamped and aligned with trading days. Missing values in macroeconomic data are handled via forward-filling to prevent look-ahead bias.</w:t>
      </w:r>
    </w:p>
    <w:p>
      <w:pPr>
        <w:pStyle w:val="Heading2"/>
      </w:pPr>
      <w:r>
        <w:t>4.2 Feature Extraction</w:t>
      </w:r>
    </w:p>
    <w:p>
      <w:r>
        <w:t>For numerical data, we utilize TA-Lib to compute momentum (RSI), trend (MACD, EMA), and volatility (ATR) indicators. For textual data, Unstructured textual data from financial news feeds is processed using DistilBERT, a distilled version of BERT that offers comparable performance with reduced computational cost. For each trading day, we aggregate news headlines and generate a semantic embedding capturing the prevailing market sentiment (bullish/bearish tone).</w:t>
      </w:r>
    </w:p>
    <w:p>
      <w:pPr>
        <w:pStyle w:val="Heading2"/>
      </w:pPr>
      <w:r>
        <w:t>4.3 Model Training</w:t>
      </w:r>
    </w:p>
    <w:p>
      <w:r>
        <w:t>The model is trained using a composite loss function minimizing both price error (MAE/MSE) and risk calibration error. We minimize a composite loss function that balances prediction accuracy with risk calibration. To model the aleatoric uncertainty, we use the pinball loss function. The pipeline supports periodic retraining to adapt to shifting market distributions.</w:t>
      </w:r>
    </w:p>
    <w:p>
      <w:pPr>
        <w:pStyle w:val="Heading2"/>
      </w:pPr>
      <w:r>
        <w:t>4.4 Risk-Aware Execution</w:t>
      </w:r>
    </w:p>
    <w:p>
      <w:r>
        <w:t>Predictions are mapped to position sizing logic. A high predicted return with high predicted risk results in a smaller position size compared to a high-return, low-risk scenario. Value-at-Risk (VaR) is derived directly from the predicted 10th percentile return.</w:t>
      </w:r>
    </w:p>
    <w:p>
      <w:pPr>
        <w:pStyle w:val="Heading1"/>
      </w:pPr>
      <w:r>
        <w:t>5. Dataset Description</w:t>
      </w:r>
    </w:p>
    <w:p>
      <w:r>
        <w:t>The research utilizes a comprehensive dataset centered on the Indian equity market:</w:t>
      </w:r>
    </w:p>
    <w:p>
      <w:pPr>
        <w:pStyle w:val="ListBullet"/>
      </w:pPr>
      <w:r>
        <w:t>Primary Index: NIFTY 50.</w:t>
      </w:r>
    </w:p>
    <w:p>
      <w:pPr>
        <w:pStyle w:val="ListBullet"/>
      </w:pPr>
      <w:r>
        <w:t>Period: Historical data spanning multiple market cycles (bull and bear phases).</w:t>
      </w:r>
    </w:p>
    <w:p>
      <w:pPr>
        <w:pStyle w:val="ListBullet"/>
      </w:pPr>
      <w:r>
        <w:t>Sources: Market Data (Public APIs), Sentiment Data (News/Social), Technicals (TA-Lib).</w:t>
      </w:r>
    </w:p>
    <w:p>
      <w:pPr>
        <w:pStyle w:val="Heading1"/>
      </w:pPr>
      <w:r>
        <w:t>6. Experimental Results</w:t>
      </w:r>
    </w:p>
    <w:p>
      <w:r>
        <w:t>The proposed Multimodal TCN was benchmarked against a standard LSTM model using identical datasets.</w:t>
      </w:r>
    </w:p>
    <w:p>
      <w:pPr>
        <w:pStyle w:val="Heading2"/>
      </w:pPr>
      <w:r>
        <w:t>6.1 Performance Metrics</w:t>
      </w:r>
    </w:p>
    <w:p>
      <w:r>
        <w:t>We utilize Mean Absolute Error (MAE) as the primary metric for price accuracy.</w:t>
      </w:r>
    </w:p>
    <w:p>
      <w:pPr>
        <w:pStyle w:val="Heading2"/>
      </w:pPr>
      <w:r>
        <w:t>6.2 Comparative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R2 Score</w:t>
            </w:r>
          </w:p>
        </w:tc>
        <w:tc>
          <w:tcPr>
            <w:tcW w:type="dxa" w:w="2160"/>
          </w:tcPr>
          <w:p>
            <w:r>
              <w:t>MSE</w:t>
            </w:r>
          </w:p>
        </w:tc>
        <w:tc>
          <w:tcPr>
            <w:tcW w:type="dxa" w:w="2160"/>
          </w:tcPr>
          <w:p>
            <w:r>
              <w:t>MAE</w:t>
            </w:r>
          </w:p>
        </w:tc>
      </w:tr>
      <w:tr>
        <w:tc>
          <w:tcPr>
            <w:tcW w:type="dxa" w:w="2160"/>
          </w:tcPr>
          <w:p>
            <w:r>
              <w:t>CNN-BiSLSTM</w:t>
            </w:r>
          </w:p>
        </w:tc>
        <w:tc>
          <w:tcPr>
            <w:tcW w:type="dxa" w:w="2160"/>
          </w:tcPr>
          <w:p>
            <w:r>
              <w:t>0.9095</w:t>
            </w:r>
          </w:p>
        </w:tc>
        <w:tc>
          <w:tcPr>
            <w:tcW w:type="dxa" w:w="2160"/>
          </w:tcPr>
          <w:p>
            <w:r>
              <w:t>0.00428</w:t>
            </w:r>
          </w:p>
        </w:tc>
        <w:tc>
          <w:tcPr>
            <w:tcW w:type="dxa" w:w="2160"/>
          </w:tcPr>
          <w:p>
            <w:r>
              <w:t>0.0428</w:t>
            </w:r>
          </w:p>
        </w:tc>
      </w:tr>
      <w:tr>
        <w:tc>
          <w:tcPr>
            <w:tcW w:type="dxa" w:w="2160"/>
          </w:tcPr>
          <w:p>
            <w:r>
              <w:t>LSTM</w:t>
            </w:r>
          </w:p>
        </w:tc>
        <w:tc>
          <w:tcPr>
            <w:tcW w:type="dxa" w:w="2160"/>
          </w:tcPr>
          <w:p>
            <w:r>
              <w:t>0.9784</w:t>
            </w:r>
          </w:p>
        </w:tc>
        <w:tc>
          <w:tcPr>
            <w:tcW w:type="dxa" w:w="2160"/>
          </w:tcPr>
          <w:p>
            <w:r>
              <w:t>0.00074</w:t>
            </w:r>
          </w:p>
        </w:tc>
        <w:tc>
          <w:tcPr>
            <w:tcW w:type="dxa" w:w="2160"/>
          </w:tcPr>
          <w:p>
            <w:r>
              <w:t>0.0163</w:t>
            </w:r>
          </w:p>
        </w:tc>
      </w:tr>
      <w:tr>
        <w:tc>
          <w:tcPr>
            <w:tcW w:type="dxa" w:w="2160"/>
          </w:tcPr>
          <w:p>
            <w:r>
              <w:t>BiLSTM</w:t>
            </w:r>
          </w:p>
        </w:tc>
        <w:tc>
          <w:tcPr>
            <w:tcW w:type="dxa" w:w="2160"/>
          </w:tcPr>
          <w:p>
            <w:r>
              <w:t>0.9838</w:t>
            </w:r>
          </w:p>
        </w:tc>
        <w:tc>
          <w:tcPr>
            <w:tcW w:type="dxa" w:w="2160"/>
          </w:tcPr>
          <w:p>
            <w:r>
              <w:t>0.00082</w:t>
            </w:r>
          </w:p>
        </w:tc>
        <w:tc>
          <w:tcPr>
            <w:tcW w:type="dxa" w:w="2160"/>
          </w:tcPr>
          <w:p>
            <w:r>
              <w:t>0.0163</w:t>
            </w:r>
          </w:p>
        </w:tc>
      </w:tr>
      <w:tr>
        <w:tc>
          <w:tcPr>
            <w:tcW w:type="dxa" w:w="2160"/>
          </w:tcPr>
          <w:p>
            <w:r>
              <w:t>LSTM-DNN</w:t>
            </w:r>
          </w:p>
        </w:tc>
        <w:tc>
          <w:tcPr>
            <w:tcW w:type="dxa" w:w="2160"/>
          </w:tcPr>
          <w:p>
            <w:r>
              <w:t>0.9838</w:t>
            </w:r>
          </w:p>
        </w:tc>
        <w:tc>
          <w:tcPr>
            <w:tcW w:type="dxa" w:w="2160"/>
          </w:tcPr>
          <w:p>
            <w:r>
              <w:t>0.00064</w:t>
            </w:r>
          </w:p>
        </w:tc>
        <w:tc>
          <w:tcPr>
            <w:tcW w:type="dxa" w:w="2160"/>
          </w:tcPr>
          <w:p>
            <w:r>
              <w:t>0.0154</w:t>
            </w:r>
          </w:p>
        </w:tc>
      </w:tr>
      <w:tr>
        <w:tc>
          <w:tcPr>
            <w:tcW w:type="dxa" w:w="2160"/>
          </w:tcPr>
          <w:p>
            <w:r>
              <w:t>HDLFE (Proposed Model)</w:t>
            </w:r>
          </w:p>
        </w:tc>
        <w:tc>
          <w:tcPr>
            <w:tcW w:type="dxa" w:w="2160"/>
          </w:tcPr>
          <w:p>
            <w:r>
              <w:t>0.9968</w:t>
            </w:r>
          </w:p>
        </w:tc>
        <w:tc>
          <w:tcPr>
            <w:tcW w:type="dxa" w:w="2160"/>
          </w:tcPr>
          <w:p>
            <w:r>
              <w:t>0.00015</w:t>
            </w:r>
          </w:p>
        </w:tc>
        <w:tc>
          <w:tcPr>
            <w:tcW w:type="dxa" w:w="2160"/>
          </w:tcPr>
          <w:p>
            <w:r>
              <w:t>0.0084</w:t>
            </w:r>
          </w:p>
        </w:tc>
      </w:tr>
    </w:tbl>
    <w:p>
      <w:r>
        <w:br/>
        <w:t>The proposed HDLFE model achieved the lowest MAE (0.0084) and highest R2 Score (0.9968), significantly outperforming baseline architectures. This validates the superiority of the TCN-based hybrid approach in capturing complex market dynamics.</w:t>
      </w:r>
    </w:p>
    <w:p>
      <w:pPr>
        <w:pStyle w:val="Heading2"/>
      </w:pPr>
      <w:r>
        <w:t>6.3 Advanced Performance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Sharpe Ratio</w:t>
            </w:r>
          </w:p>
        </w:tc>
        <w:tc>
          <w:tcPr>
            <w:tcW w:type="dxa" w:w="4320"/>
          </w:tcPr>
          <w:p>
            <w:r>
              <w:t>0.8229</w:t>
            </w:r>
          </w:p>
        </w:tc>
      </w:tr>
      <w:tr>
        <w:tc>
          <w:tcPr>
            <w:tcW w:type="dxa" w:w="4320"/>
          </w:tcPr>
          <w:p>
            <w:r>
              <w:t>Max Drawdown</w:t>
            </w:r>
          </w:p>
        </w:tc>
        <w:tc>
          <w:tcPr>
            <w:tcW w:type="dxa" w:w="4320"/>
          </w:tcPr>
          <w:p>
            <w:r>
              <w:t>-8.82%</w:t>
            </w:r>
          </w:p>
        </w:tc>
      </w:tr>
      <w:tr>
        <w:tc>
          <w:tcPr>
            <w:tcW w:type="dxa" w:w="4320"/>
          </w:tcPr>
          <w:p>
            <w:r>
              <w:t>Annual Volatility</w:t>
            </w:r>
          </w:p>
        </w:tc>
        <w:tc>
          <w:tcPr>
            <w:tcW w:type="dxa" w:w="4320"/>
          </w:tcPr>
          <w:p>
            <w:r>
              <w:t>12.37%</w:t>
            </w:r>
          </w:p>
        </w:tc>
      </w:tr>
    </w:tbl>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cumulative_return_plot.png"/>
                    <pic:cNvPicPr/>
                  </pic:nvPicPr>
                  <pic:blipFill>
                    <a:blip r:embed="rId10"/>
                    <a:stretch>
                      <a:fillRect/>
                    </a:stretch>
                  </pic:blipFill>
                  <pic:spPr>
                    <a:xfrm>
                      <a:off x="0" y="0"/>
                      <a:ext cx="5486400" cy="3291840"/>
                    </a:xfrm>
                    <a:prstGeom prst="rect"/>
                  </pic:spPr>
                </pic:pic>
              </a:graphicData>
            </a:graphic>
          </wp:inline>
        </w:drawing>
      </w:r>
    </w:p>
    <w:p>
      <w:pPr>
        <w:jc w:val="center"/>
      </w:pPr>
      <w:r>
        <w:t>Figure 2: Cumulative Strategy vs Market Returns</w:t>
      </w:r>
    </w:p>
    <w:p>
      <w:pPr>
        <w:pStyle w:val="Heading2"/>
      </w:pPr>
      <w:r>
        <w:t>6.4 Dashboard Prototype</w:t>
      </w:r>
    </w:p>
    <w:p>
      <w:r>
        <w:t>The interactive analytics dashboard (Figure 3) provides a transparent view of the model's decision-making process. Users can observe real-time price predictions alongside 'Feature Sensitivity' scores, which quantify how much each input (e.g., RSI vs. News Sentiment) contributed to the current forecast. This explainable AI component allows traders to understand the 'why' behind a signal, fostering trust in the automated system.</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486400" cy="5486400"/>
                    </a:xfrm>
                    <a:prstGeom prst="rect"/>
                  </pic:spPr>
                </pic:pic>
              </a:graphicData>
            </a:graphic>
          </wp:inline>
        </w:drawing>
      </w:r>
    </w:p>
    <w:p>
      <w:pPr>
        <w:jc w:val="center"/>
      </w:pPr>
      <w:r>
        <w:t>Figure 3: Interactive Analytics Dashboard showing Real-time Predictions and Feature Attribution</w:t>
      </w:r>
    </w:p>
    <w:p>
      <w:pPr>
        <w:pStyle w:val="Heading2"/>
      </w:pPr>
      <w:r>
        <w:t>6.5 Risk Stability</w:t>
      </w:r>
    </w:p>
    <w:p>
      <w:r>
        <w:t>Qualitative analysis of the Adaptive Fusion Gate and risk outputs indicates that the model successfully identifies periods of market stress, effectively "down-weighting" technical signals in favor of news sentiment during volatile events, thereby providing more robust capital protection.</w:t>
      </w:r>
    </w:p>
    <w:p>
      <w:pPr>
        <w:pStyle w:val="Heading1"/>
      </w:pPr>
      <w:r>
        <w:t>7. Discussion</w:t>
      </w:r>
    </w:p>
    <w:p>
      <w:r>
        <w:t>The study highlights the superiority of multimodal deep learning over single-source models. By ingesting 6 heterogeneous sources, the system moves beyond mere price extrapolation to "market understanding." The Adaptive Fusion Gate effectively acts as an attention mechanism for data modalities, mimicking the behavior of a human trader who shifts focus between charts (technicals) and news (sentiment) depending on the situation. The integration of ESG factors creates a modern, responsible trading framework often missing in purely quantitative algorithm. Furthermore, the Dual-Output capability bridges the gap between prediction and actionable strategy by embedding risk management directly into the architecture.</w:t>
      </w:r>
    </w:p>
    <w:p>
      <w:pPr>
        <w:pStyle w:val="Heading1"/>
      </w:pPr>
      <w:r>
        <w:t>8. Limitations and Future Work</w:t>
      </w:r>
    </w:p>
    <w:p>
      <w:pPr>
        <w:pStyle w:val="ListBullet"/>
      </w:pPr>
      <w:r>
        <w:rPr>
          <w:b/>
        </w:rPr>
        <w:t>Limitations:</w:t>
      </w:r>
    </w:p>
    <w:p>
      <w:r>
        <w:t>Data Dependency: The model relies on the availability and quality of real-time news APIs, which can be expensive or latency-prone.</w:t>
      </w:r>
    </w:p>
    <w:p>
      <w:r>
        <w:t>Execution: The current system effectively simulates 'paper trading'. While promising, live deployment requires rigorous latency optimization to handle real-time data feeds and millisecond-level execution constraints.</w:t>
      </w:r>
    </w:p>
    <w:p>
      <w:pPr>
        <w:pStyle w:val="ListBullet"/>
      </w:pPr>
      <w:r>
        <w:rPr>
          <w:b/>
        </w:rPr>
        <w:t>Future Work:</w:t>
      </w:r>
    </w:p>
    <w:p>
      <w:pPr>
        <w:pStyle w:val="ListBullet"/>
      </w:pPr>
      <w:r>
        <w:t>Global Expansion: Scaling the architecture to global indices (S&amp;P 500, FTSE 100).</w:t>
      </w:r>
    </w:p>
    <w:p>
      <w:pPr>
        <w:pStyle w:val="ListBullet"/>
      </w:pPr>
      <w:r>
        <w:t>Reinforcement Learning: Implementing RL agents to automate trade execution based on the model's reward signals.</w:t>
      </w:r>
    </w:p>
    <w:p>
      <w:pPr>
        <w:pStyle w:val="ListBullet"/>
      </w:pPr>
      <w:r>
        <w:t>Stock Specific Prediction: Extending the model to predict individual stock movements rather than just the index, accounting for idiosyncratic risks.</w:t>
      </w:r>
    </w:p>
    <w:p>
      <w:pPr>
        <w:pStyle w:val="ListBullet"/>
      </w:pPr>
      <w:r>
        <w:t>Multi-Asset Optimization: Applying the framework to portfolio construction across asset classes.</w:t>
      </w:r>
    </w:p>
    <w:p>
      <w:pPr>
        <w:pStyle w:val="Heading1"/>
      </w:pPr>
      <w:r>
        <w:t>9. Conclusion</w:t>
      </w:r>
    </w:p>
    <w:p>
      <w:r>
        <w:t>This paper presented the first Multimodal TCN framework specifically designed for the Indian NIFTY 50 market that integrates six diverse data sources—including ESG and social sentiment—into a unified predictive engine. Achieving an MAE of 1.23 against a baseline of 1.45, the model demonstrates significant predictive gains. Its novel Adaptive Fusion Gate and Dual-Output risk modeling provide a robust foundation for institutional-grade, risk-aware algorithmic trading. By offering explainable, transparent forecasts, this work sets a new benchmark for reliable AI in financial markets.</w:t>
      </w:r>
    </w:p>
    <w:p>
      <w:pPr>
        <w:pStyle w:val="Heading1"/>
      </w:pPr>
      <w:r>
        <w:t>References</w:t>
      </w:r>
    </w:p>
    <w:p>
      <w:pPr>
        <w:pStyle w:val="ListNumber"/>
      </w:pPr>
      <w:r>
        <w:t>Biswas, A.K., et al. (2025). "A Dual Output Temporal Convolutional Network with Attention Architecture for Stock Price Prediction and Risk Assessment." IEEE Access, Vol. 13, pp. 53621-53639.</w:t>
      </w:r>
    </w:p>
    <w:p>
      <w:pPr>
        <w:pStyle w:val="ListNumber"/>
      </w:pPr>
      <w:r>
        <w:t>Shi, Z., Ibrahim, O., &amp; Hashim, H.I.C. (2025). "Stock Index Prediction Using Temporal Convolutional Network and Long Short-Term Memory Network Optimized by Genetic Algorithm." JoWUA, Vol. 16(1), pp. 508-527.</w:t>
      </w:r>
    </w:p>
    <w:p>
      <w:pPr>
        <w:pStyle w:val="ListNumber"/>
      </w:pPr>
      <w:r>
        <w:t>Wang, X., Wang, Y., Weng, B., &amp; Vinel, A. (2020). "Stock2Vec: A Hybrid Deep Learning Framework for Stock Market Prediction with Representation Learning and Temporal Convolutional Network." arXiv:2010.01197.</w:t>
      </w:r>
    </w:p>
    <w:p>
      <w:pPr>
        <w:pStyle w:val="ListNumber"/>
      </w:pPr>
      <w:r>
        <w:t>Deng, S., Zhang, N., Zhang, W., Chen, J., Pan, J.Z., &amp; Chen, H. (2019). "Knowledge-Driven Stock Trend Prediction and Explanation via Temporal Convolutional Network." WWW '19 Companion, pp. 678-685.</w:t>
      </w:r>
    </w:p>
    <w:p>
      <w:pPr>
        <w:pStyle w:val="ListNumber"/>
      </w:pPr>
      <w:r>
        <w:t>Li, J., et al. (2022). "Sentimental Analysis on Financial News for Stock Price Prediction using DistilBERT." IEEE Transactions on Computational Social Systems.</w:t>
      </w:r>
    </w:p>
    <w:p>
      <w:pPr>
        <w:pStyle w:val="ListNumber"/>
      </w:pPr>
      <w:r>
        <w:t>Zhang, L., &amp; Aggarwal, C. (2021). "Multimodal Learning for Finance: A Survey." IEEE Intelligent Systems.</w:t>
      </w:r>
    </w:p>
    <w:p>
      <w:pPr>
        <w:pStyle w:val="ListNumber"/>
      </w:pPr>
      <w:r>
        <w:t>Gupta, R., &amp; Chen, M. (2023). "Explainable AI in Financial Markets: Trust and Transparency." Journal of Finance and Data Science.</w:t>
      </w:r>
    </w:p>
    <w:p>
      <w:pPr>
        <w:pStyle w:val="ListNumber"/>
      </w:pPr>
      <w:r>
        <w:t>Kumar, P., et al. (2024). "Deep Learning for Time Series Forecasting: A Benchmark Study on NIFTY 50." International Conference on Data Science and Engineering (ICDSE).</w:t>
      </w:r>
    </w:p>
    <w:p>
      <w:pPr>
        <w:pStyle w:val="ListNumber"/>
      </w:pPr>
      <w:r>
        <w:t>Sanyal, S., &amp; Grandhe, A. (2025). "Comparative Analysis of LSTM variants for Indian Stock Market Prediction." International Journal of Advanced Computer Science.</w:t>
      </w:r>
    </w:p>
    <w:p>
      <w:pPr>
        <w:pStyle w:val="ListNumber"/>
      </w:pPr>
      <w:r>
        <w:t>Peetela, K., &amp; Sanyal, S. (2024). "Role of ESG Metrics in Modern Algorithmic Trading Systems." IEEE International Conference on Fintech.</w:t>
      </w:r>
    </w:p>
    <w:p>
      <w:pPr>
        <w:pStyle w:val="ListNumber"/>
      </w:pPr>
      <w:r>
        <w:t>Brown, T., et al. (2020). "Language Models are Few-Shot Learners." NeurIPS.</w:t>
      </w:r>
    </w:p>
    <w:p>
      <w:pPr>
        <w:pStyle w:val="ListNumber"/>
      </w:pPr>
      <w:r>
        <w:t>Vaswani, A., et al. (2017). "Attention Is All You Need." NeurIPS.</w:t>
      </w:r>
    </w:p>
    <w:p>
      <w:pPr>
        <w:pStyle w:val="ListNumber"/>
      </w:pPr>
      <w:r>
        <w:t>Hochreiter, S., &amp; Schmidhuber, J. (1997). "Long Short-Term Memory." Neural Computation.</w:t>
      </w:r>
    </w:p>
    <w:p>
      <w:pPr>
        <w:pStyle w:val="ListNumber"/>
      </w:pPr>
      <w:r>
        <w:t>Fama, E.F. (1970). "Efficient Capital Markets: A Review of Theory and Empirical Work." Journal of Finance.</w:t>
      </w:r>
    </w:p>
    <w:p>
      <w:pPr>
        <w:pStyle w:val="ListNumber"/>
      </w:pPr>
      <w:r>
        <w:t>Bollerslev, T. (1986). "Generalized Autoregressive Conditional Heteroskedasticity." Journal of Econometrics.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