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F4D78"/>
          <w:sz w:val="17"/>
        </w:rPr>
        <w:t>RESEARCH EXECUTION BRIEF</w:t>
      </w:r>
    </w:p>
    <w:p>
      <w:pPr>
        <w:spacing w:after="60"/>
      </w:pPr>
      <w:r>
        <w:rPr>
          <w:rFonts w:ascii="Calibri" w:hAnsi="Calibri"/>
          <w:b/>
          <w:color w:val="0B2545"/>
          <w:sz w:val="36"/>
        </w:rPr>
        <w:t>EBV–Myelin Molecular Mimicry in Multiple Sclerosis</w:t>
      </w:r>
    </w:p>
    <w:p>
      <w:pPr>
        <w:spacing w:after="140"/>
      </w:pPr>
      <w:r>
        <w:rPr>
          <w:rFonts w:ascii="Calibri" w:hAnsi="Calibri"/>
          <w:b w:val="0"/>
          <w:color w:val="404040"/>
          <w:sz w:val="20"/>
        </w:rPr>
        <w:t>Goal: build a calibrated, falsifiable pipeline that prioritizes EBV–myelin peptide pairs for TCR cross-reactivity under HLA-DRB1*15:01.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5112"/>
            <w:shd w:fill="F4F6F9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9"/>
              </w:rPr>
              <w:t>Primary hypothesis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Some EBV and myelin peptides share a sufficiently similar HLA-II-facing / TCR-facing presentation to support plausible cross-recognition.</w:t>
            </w:r>
          </w:p>
        </w:tc>
        <w:tc>
          <w:tcPr>
            <w:tcW w:type="dxa" w:w="5112"/>
            <w:shd w:fill="F4F6F9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9"/>
              </w:rPr>
              <w:t>Claim discipline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Computational results prioritize candidates; they do not demonstrate molecular mimicry or pathogenicity without functional validation.</w:t>
            </w:r>
          </w:p>
        </w:tc>
      </w:tr>
    </w:tbl>
    <w:p>
      <w:pPr>
        <w:pStyle w:val="Heading1"/>
      </w:pPr>
      <w:r>
        <w:t>1. Lock the analysis before modeling</w:t>
      </w:r>
    </w:p>
    <w:p>
      <w:pPr>
        <w:spacing w:after="40" w:line="252" w:lineRule="auto"/>
      </w:pPr>
      <w:r>
        <w:rPr>
          <w:rFonts w:ascii="Calibri" w:hAnsi="Calibri"/>
          <w:b/>
          <w:color w:val="1F4D78"/>
          <w:sz w:val="19"/>
        </w:rPr>
        <w:t xml:space="preserve">Scope. </w:t>
      </w:r>
      <w:r>
        <w:rPr>
          <w:rFonts w:ascii="Calibri" w:hAnsi="Calibri"/>
          <w:b w:val="0"/>
          <w:color w:val="000000"/>
          <w:sz w:val="19"/>
        </w:rPr>
        <w:t>Analyze class II candidates only: HLA-DRB1*15:01, EBV peptides, and myelin / MS-relevant self peptides. Keep peptide lengths and binding checks class-II appropriate.</w:t>
      </w:r>
    </w:p>
    <w:p>
      <w:pPr>
        <w:spacing w:after="40" w:line="252" w:lineRule="auto"/>
      </w:pPr>
      <w:r>
        <w:rPr>
          <w:rFonts w:ascii="Calibri" w:hAnsi="Calibri"/>
          <w:b/>
          <w:color w:val="1F4D78"/>
          <w:sz w:val="19"/>
        </w:rPr>
        <w:t xml:space="preserve">Candidate rule. </w:t>
      </w:r>
      <w:r>
        <w:rPr>
          <w:rFonts w:ascii="Calibri" w:hAnsi="Calibri"/>
          <w:b w:val="0"/>
          <w:color w:val="000000"/>
          <w:sz w:val="19"/>
        </w:rPr>
        <w:t>Predefine a composite rank from sequence similarity, physicochemical similarity, predicted HLA-II presentation, and biological relevance. Do not re-tune scoring after inspecting the top candidates.</w:t>
      </w:r>
    </w:p>
    <w:p>
      <w:pPr>
        <w:spacing w:after="40" w:line="252" w:lineRule="auto"/>
      </w:pPr>
      <w:r>
        <w:rPr>
          <w:rFonts w:ascii="Calibri" w:hAnsi="Calibri"/>
          <w:b/>
          <w:color w:val="1F4D78"/>
          <w:sz w:val="19"/>
        </w:rPr>
        <w:t xml:space="preserve">Data audit. </w:t>
      </w:r>
      <w:r>
        <w:rPr>
          <w:rFonts w:ascii="Calibri" w:hAnsi="Calibri"/>
          <w:b w:val="0"/>
          <w:color w:val="000000"/>
          <w:sz w:val="19"/>
        </w:rPr>
        <w:t>Reconcile allele labels across all inputs—current code includes DRB1*15:02 controls alongside a DRB1*15:01 target—and document every inclusion, exclusion, and source.</w:t>
      </w:r>
    </w:p>
    <w:p>
      <w:pPr>
        <w:pStyle w:val="Heading1"/>
      </w:pPr>
      <w:r>
        <w:t>2. Benchmark set and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7978"/>
      </w:tblGrid>
      <w:tr>
        <w:tc>
          <w:tcPr>
            <w:tcW w:type="dxa" w:w="5112"/>
            <w:shd w:fill="E8EEF5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Set</w:t>
            </w:r>
          </w:p>
        </w:tc>
        <w:tc>
          <w:tcPr>
            <w:tcW w:type="dxa" w:w="5112"/>
            <w:shd w:fill="E8EEF5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Purpose / acceptance criterion</w:t>
            </w:r>
          </w:p>
        </w:tc>
      </w:tr>
      <w:tr>
        <w:tc>
          <w:tcPr>
            <w:tcW w:type="dxa" w:w="1901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Positive controls</w:t>
            </w:r>
          </w:p>
        </w:tc>
        <w:tc>
          <w:tcPr>
            <w:tcW w:type="dxa" w:w="797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≥3 literature-supported EBV–self / TCR–pMHC cross-reactivity cases, including the known EBV DNA polymerase–MBP case if sequence and structural evidence are available.</w:t>
            </w:r>
          </w:p>
        </w:tc>
      </w:tr>
      <w:tr>
        <w:tc>
          <w:tcPr>
            <w:tcW w:type="dxa" w:w="1901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Matched negatives</w:t>
            </w:r>
          </w:p>
        </w:tc>
        <w:tc>
          <w:tcPr>
            <w:tcW w:type="dxa" w:w="797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≥10–20 pairs matched on allele, peptide length, source class, and binding plausibility but not reported to cross-react. Include shuffled or decoy pairings.</w:t>
            </w:r>
          </w:p>
        </w:tc>
      </w:tr>
      <w:tr>
        <w:tc>
          <w:tcPr>
            <w:tcW w:type="dxa" w:w="1901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Exploratory set</w:t>
            </w:r>
          </w:p>
        </w:tc>
        <w:tc>
          <w:tcPr>
            <w:tcW w:type="dxa" w:w="7978"/>
            <w:tcBorders>
              <w:top w:val="single" w:sz="4" w:color="B7C9DB"/>
              <w:left w:val="single" w:sz="4" w:color="B7C9DB"/>
              <w:bottom w:val="single" w:sz="4" w:color="B7C9DB"/>
              <w:right w:val="single" w:sz="4" w:color="B7C9DB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Novel EBV–myelin pairs held out from threshold selection; report all ranks, not only successes.</w:t>
            </w:r>
          </w:p>
        </w:tc>
      </w:tr>
    </w:tbl>
    <w:p>
      <w:pPr>
        <w:pStyle w:val="Heading1"/>
      </w:pPr>
      <w:r>
        <w:t>3. Modeling and evaluation gates</w:t>
      </w:r>
    </w:p>
    <w:p>
      <w:pPr>
        <w:spacing w:after="40" w:line="252" w:lineRule="auto"/>
      </w:pPr>
      <w:r>
        <w:rPr>
          <w:rFonts w:ascii="Calibri" w:hAnsi="Calibri"/>
          <w:b/>
          <w:color w:val="1F4D78"/>
          <w:sz w:val="19"/>
        </w:rPr>
        <w:t xml:space="preserve">Calibration gate. </w:t>
      </w:r>
      <w:r>
        <w:rPr>
          <w:rFonts w:ascii="Calibri" w:hAnsi="Calibri"/>
          <w:b w:val="0"/>
          <w:color w:val="000000"/>
          <w:sz w:val="19"/>
        </w:rPr>
        <w:t>A modeling approach advances only if it recovers known positive-control complex geometry and ranks positives above matched negatives. Record RMSD where an experimental structure exists; supplement it with interface confidence and visual interface inspection.</w:t>
      </w:r>
    </w:p>
    <w:p>
      <w:pPr>
        <w:spacing w:after="40" w:line="252" w:lineRule="auto"/>
      </w:pPr>
      <w:r>
        <w:rPr>
          <w:rFonts w:ascii="Calibri" w:hAnsi="Calibri"/>
          <w:b/>
          <w:color w:val="1F4D78"/>
          <w:sz w:val="19"/>
        </w:rPr>
        <w:t xml:space="preserve">Ranking gate. </w:t>
      </w:r>
      <w:r>
        <w:rPr>
          <w:rFonts w:ascii="Calibri" w:hAnsi="Calibri"/>
          <w:b w:val="0"/>
          <w:color w:val="000000"/>
          <w:sz w:val="19"/>
        </w:rPr>
        <w:t>Evaluate enrichment of positives in the top-ranked candidates (e.g., top-k recall, AUROC / AUPRC where labels support it), effect sizes, confidence intervals, and performance versus random and a sequence-only baseline.</w:t>
      </w:r>
    </w:p>
    <w:p>
      <w:pPr>
        <w:spacing w:after="40" w:line="252" w:lineRule="auto"/>
      </w:pPr>
      <w:r>
        <w:rPr>
          <w:rFonts w:ascii="Calibri" w:hAnsi="Calibri"/>
          <w:b/>
          <w:color w:val="1F4D78"/>
          <w:sz w:val="19"/>
        </w:rPr>
        <w:t xml:space="preserve">Robustness gate. </w:t>
      </w:r>
      <w:r>
        <w:rPr>
          <w:rFonts w:ascii="Calibri" w:hAnsi="Calibri"/>
          <w:b w:val="0"/>
          <w:color w:val="000000"/>
          <w:sz w:val="19"/>
        </w:rPr>
        <w:t>Repeat using blinded / held-out controls and sensitivity analyses for peptide window, scoring weights, and candidate-source choice. A single favorable structure is hypothesis-generating only.</w:t>
      </w:r>
    </w:p>
    <w:p>
      <w:pPr>
        <w:pStyle w:val="Heading1"/>
      </w:pPr>
      <w:r>
        <w:t>4. Decision path</w:t>
      </w:r>
    </w:p>
    <w:p>
      <w:pPr>
        <w:spacing w:after="40"/>
        <w:ind w:left="173" w:hanging="173"/>
      </w:pPr>
      <w:r>
        <w:rPr>
          <w:rFonts w:ascii="Calibri" w:hAnsi="Calibri"/>
          <w:b/>
          <w:color w:val="2E74B5"/>
          <w:sz w:val="19"/>
        </w:rPr>
        <w:t xml:space="preserve">A. Dataset freeze — </w:t>
      </w:r>
      <w:r>
        <w:rPr>
          <w:rFonts w:ascii="Calibri" w:hAnsi="Calibri"/>
          <w:b w:val="0"/>
          <w:color w:val="000000"/>
          <w:sz w:val="19"/>
        </w:rPr>
        <w:t>Finish provenance table, allele/peptide audit, controls, and predefined metrics.</w:t>
      </w:r>
    </w:p>
    <w:p>
      <w:pPr>
        <w:spacing w:after="40"/>
        <w:ind w:left="173" w:hanging="173"/>
      </w:pPr>
      <w:r>
        <w:rPr>
          <w:rFonts w:ascii="Calibri" w:hAnsi="Calibri"/>
          <w:b/>
          <w:color w:val="2E74B5"/>
          <w:sz w:val="19"/>
        </w:rPr>
        <w:t xml:space="preserve">B. Method benchmark — </w:t>
      </w:r>
      <w:r>
        <w:rPr>
          <w:rFonts w:ascii="Calibri" w:hAnsi="Calibri"/>
          <w:b w:val="0"/>
          <w:color w:val="000000"/>
          <w:sz w:val="19"/>
        </w:rPr>
        <w:t>Run AlphaFold 3 and TCRmodel2 on the positive-control set; compare only after the same preprocessing and evaluation protocol.</w:t>
      </w:r>
    </w:p>
    <w:p>
      <w:pPr>
        <w:spacing w:after="40"/>
        <w:ind w:left="173" w:hanging="173"/>
      </w:pPr>
      <w:r>
        <w:rPr>
          <w:rFonts w:ascii="Calibri" w:hAnsi="Calibri"/>
          <w:b/>
          <w:color w:val="2E74B5"/>
          <w:sz w:val="19"/>
        </w:rPr>
        <w:t xml:space="preserve">C. Candidate triage — </w:t>
      </w:r>
      <w:r>
        <w:rPr>
          <w:rFonts w:ascii="Calibri" w:hAnsi="Calibri"/>
          <w:b w:val="0"/>
          <w:color w:val="000000"/>
          <w:sz w:val="19"/>
        </w:rPr>
        <w:t>Advance methods that clear calibration; nominate 1–3 novel pairs with confidence, rank, and failure-mode notes.</w:t>
      </w:r>
    </w:p>
    <w:p>
      <w:pPr>
        <w:spacing w:after="40"/>
        <w:ind w:left="173" w:hanging="173"/>
      </w:pPr>
      <w:r>
        <w:rPr>
          <w:rFonts w:ascii="Calibri" w:hAnsi="Calibri"/>
          <w:b/>
          <w:color w:val="2E74B5"/>
          <w:sz w:val="19"/>
        </w:rPr>
        <w:t xml:space="preserve">D. Validation plan — </w:t>
      </w:r>
      <w:r>
        <w:rPr>
          <w:rFonts w:ascii="Calibri" w:hAnsi="Calibri"/>
          <w:b w:val="0"/>
          <w:color w:val="000000"/>
          <w:sz w:val="19"/>
        </w:rPr>
        <w:t>For strongest pair(s), propose an HLA-II peptide/T-cell functional assay through an experimental collaborator; RNA-seq remains contextual evidence, not proof of cross-reactivity.</w:t>
      </w:r>
    </w:p>
    <w:p>
      <w:pPr>
        <w:pStyle w:val="Heading1"/>
      </w:pPr>
      <w:r>
        <w:t>First next action</w:t>
      </w:r>
    </w:p>
    <w:p>
      <w:pPr>
        <w:spacing w:after="0"/>
      </w:pPr>
      <w:r>
        <w:rPr>
          <w:rFonts w:ascii="Calibri" w:hAnsi="Calibri"/>
          <w:b/>
          <w:color w:val="0B2545"/>
          <w:sz w:val="20"/>
        </w:rPr>
        <w:t>Build the benchmark manifest before submitting any new structures: exact TCR α/β chains, peptide sequence/window, HLA chains, experimental PDB reference, positive/negative label, and source citation.</w:t>
      </w:r>
    </w:p>
    <w:sectPr w:rsidR="00FC693F" w:rsidRPr="0006063C" w:rsidSect="00034616">
      <w:pgSz w:w="12240" w:h="15840"/>
      <w:pgMar w:top="835" w:right="1008" w:bottom="835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