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ubik-bold.ttf" ContentType="application/x-font-ttf"/>
  <Override PartName="/word/fonts/Rubik-boldItalic.ttf" ContentType="application/x-font-ttf"/>
  <Override PartName="/word/fonts/Rubik-italic.ttf" ContentType="application/x-font-ttf"/>
  <Override PartName="/word/fonts/Rubi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5.920000076293945"/>
          <w:szCs w:val="25.920000076293945"/>
          <w:u w:val="singl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tl w:val="0"/>
        </w:rPr>
        <w:t xml:space="preserve">ONTRACT FOR EMPLOYMENT OF ATTORNEYS </w:t>
      </w:r>
      <w:r w:rsidDel="00000000" w:rsidR="00000000" w:rsidRPr="00000000">
        <w:rPr>
          <w:rtl w:val="0"/>
        </w:rPr>
      </w:r>
    </w:p>
    <w:p w:rsidR="00000000" w:rsidDel="00000000" w:rsidP="00000000" w:rsidRDefault="00000000" w:rsidRPr="00000000" w14:paraId="00000002">
      <w:pPr>
        <w:widowControl w:val="0"/>
        <w:spacing w:after="240" w:before="240" w:line="231.90690994262695" w:lineRule="auto"/>
        <w:jc w:val="both"/>
        <w:rPr>
          <w:rFonts w:ascii="Times New Roman" w:cs="Times New Roman" w:eastAsia="Times New Roman" w:hAnsi="Times New Roman"/>
          <w:sz w:val="24"/>
          <w:szCs w:val="24"/>
        </w:rPr>
      </w:pPr>
      <w:r>
        <w:t>This Retainer Agreement (“Agreement”) is entered into between {{ matter.client.name }} (“Client”) and Richards &amp; Law (“Attorney”), for the purpose of providing legal representation related to the damages sustained in an incident that occurred on {{ matter.custom_fields.accident_date }}. By executing this Agreement, Client employs Attorney to investigate, pursue, negotiate, and, if necessary, litigate claims for damages against {{ matter.custom_fields.opposing_party_name }} who may be responsible for such damages suffered by Client as a result of the Client's accident.</w:t>
      </w:r>
    </w:p>
    <w:p w:rsidR="00000000" w:rsidDel="00000000" w:rsidP="00000000" w:rsidRDefault="00000000" w:rsidRPr="00000000" w14:paraId="00000003">
      <w:pPr>
        <w:widowControl w:val="0"/>
        <w:spacing w:after="240" w:before="240" w:line="231.90690994262695" w:lineRule="auto"/>
        <w:jc w:val="both"/>
        <w:rPr>
          <w:rFonts w:ascii="Times New Roman" w:cs="Times New Roman" w:eastAsia="Times New Roman" w:hAnsi="Times New Roman"/>
          <w:sz w:val="24"/>
          <w:szCs w:val="24"/>
        </w:rPr>
      </w:pPr>
      <w:r>
        <w:t>Representation under this Agreement is expressly limited to the matter described herein (“the Claim”) and does not extend to any other legal issues unless separately agreed to in writing by both Client and Attorney. Attorney does not provide tax, accounting, or financial advisory services, and any such issues are outside the scope of this representation. Client is encouraged to consult separate professionals for such matters, as those responsibilities remain the Client's own.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Scope of Representation</w:t>
      </w:r>
      <w:r w:rsidDel="00000000" w:rsidR="00000000" w:rsidRPr="00000000">
        <w:rPr>
          <w:rtl w:val="0"/>
        </w:rPr>
      </w:r>
    </w:p>
    <w:p w:rsidR="00000000" w:rsidDel="00000000" w:rsidP="00000000" w:rsidRDefault="00000000" w:rsidRPr="00000000" w14:paraId="00000005">
      <w:pPr>
        <w:widowControl w:val="0"/>
        <w:spacing w:after="240" w:before="240" w:line="229.2415952682495" w:lineRule="auto"/>
        <w:jc w:val="both"/>
        <w:rPr>
          <w:rFonts w:ascii="Times New Roman" w:cs="Times New Roman" w:eastAsia="Times New Roman" w:hAnsi="Times New Roman"/>
          <w:sz w:val="24"/>
          <w:szCs w:val="24"/>
        </w:rPr>
      </w:pPr>
      <w:r>
        <w:t xml:space="preserve">Attorney shall undertake all reasonable and necessary legal efforts to diligently protect and advance Client’s interests in the Claim, extending to both settlement negotiations and litigation proceedings where appropriate. Client agrees to cooperate fully by providing truthful information, timely responses, and all relevant documents or records as requested. Client acknowledges that the Client's cooperation is essential to the effective handling of the Claim.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788330078125"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Accident Details &amp; Insurance</w:t>
      </w:r>
      <w:r w:rsidDel="00000000" w:rsidR="00000000" w:rsidRPr="00000000">
        <w:rPr>
          <w:rtl w:val="0"/>
        </w:rPr>
      </w:r>
    </w:p>
    <w:p w:rsidR="00000000" w:rsidDel="00000000" w:rsidP="00000000" w:rsidRDefault="00000000" w:rsidRPr="00000000" w14:paraId="00000007">
      <w:pPr>
        <w:widowControl w:val="0"/>
        <w:spacing w:after="240" w:before="240" w:line="240" w:lineRule="auto"/>
        <w:jc w:val="both"/>
        <w:rPr>
          <w:rFonts w:ascii="Times New Roman" w:cs="Times New Roman" w:eastAsia="Times New Roman" w:hAnsi="Times New Roman"/>
          <w:sz w:val="24"/>
          <w:szCs w:val="24"/>
        </w:rPr>
      </w:pPr>
      <w:r>
        <w:t>The incident giving rise to this Claim occurred at {{ matter.custom_fields.accident_location }}. At the time of the accident, Client was operating or occupying a vehicle bearing registration plate number {{ matter.custom_fields.vehicle_registration_plate }}. The circumstances surrounding the incident, including the actions of the involved parties and any contributing factors, will be further investigated by Attorney as part of the representation under this Agreement.</w:t>
      </w:r>
    </w:p>
    <w:p w:rsidR="00000000" w:rsidDel="00000000" w:rsidP="00000000" w:rsidRDefault="00000000" w:rsidRPr="00000000" w14:paraId="0000000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is authorized to investigate the liability aspects of the incident, including the collection of police reports, witness statements, and property damage appraisals to determine the full extent of recoverable damages. Client understands that preserving evidence and providing truthful disclosures regarding the events leading to the loss are material obligations under this Agreement. This investigation will serve as the basis for identifying all applicable insurance coverage and responsible parties.</w:t>
      </w:r>
    </w:p>
    <w:p w:rsidR="00000000" w:rsidDel="00000000" w:rsidP="00000000" w:rsidRDefault="00000000" w:rsidRPr="00000000" w14:paraId="00000009">
      <w:pPr>
        <w:widowControl w:val="0"/>
        <w:spacing w:after="240" w:before="240" w:line="240" w:lineRule="auto"/>
        <w:jc w:val="both"/>
        <w:rPr>
          <w:rFonts w:ascii="Times New Roman" w:cs="Times New Roman" w:eastAsia="Times New Roman" w:hAnsi="Times New Roman"/>
          <w:sz w:val="24"/>
          <w:szCs w:val="24"/>
        </w:rPr>
      </w:pPr>
      <w:r>
        <w:t>{% if matter.custom_fields.number_injured &gt; 0 %} Additionally, since the motor vehicle accident involved an injured person, Attorney will also investigate potential bodily injury claims and review relevant medical records to substantiate non-economic damages. {% endif %}</w:t>
      </w:r>
    </w:p>
    <w:p w:rsidR="00000000" w:rsidDel="00000000" w:rsidP="00000000" w:rsidRDefault="00000000" w:rsidRPr="00000000" w14:paraId="0000000A">
      <w:pPr>
        <w:widowControl w:val="0"/>
        <w:spacing w:after="240" w:before="240" w:line="240" w:lineRule="auto"/>
        <w:jc w:val="both"/>
        <w:rPr>
          <w:rFonts w:ascii="Times New Roman" w:cs="Times New Roman" w:eastAsia="Times New Roman" w:hAnsi="Times New Roman"/>
          <w:sz w:val="24"/>
          <w:szCs w:val="24"/>
        </w:rPr>
      </w:pPr>
      <w:r>
        <w:t>{% if matter.custom_fields.number_injured == 0 %} However, since the motor vehicle accident involved no reported injured people, the scope of this engagement is strictly limited to the recovery of property damage and loss of use. {% endif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Litigation Expenses</w:t>
      </w:r>
      <w:r w:rsidDel="00000000" w:rsidR="00000000" w:rsidRPr="00000000">
        <w:rPr>
          <w:rtl w:val="0"/>
        </w:rPr>
      </w:r>
    </w:p>
    <w:p w:rsidR="00000000" w:rsidDel="00000000" w:rsidP="00000000" w:rsidRDefault="00000000" w:rsidRPr="00000000" w14:paraId="0000000C">
      <w:pPr>
        <w:widowControl w:val="0"/>
        <w:spacing w:after="240" w:before="240" w:line="230.13008594512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will advance all reasonable costs and expenses necessary for the proper handling of the Claim (“Litigation Expenses”). Such expenses may include, but are not limited to, court filing fees, deposition costs, expert witness fees, medical record retrieval, travel expenses, investigative services, and administrative charges associated with case management.</w:t>
      </w:r>
    </w:p>
    <w:p w:rsidR="00000000" w:rsidDel="00000000" w:rsidP="00000000" w:rsidRDefault="00000000" w:rsidRPr="00000000" w14:paraId="0000000D">
      <w:pPr>
        <w:widowControl w:val="0"/>
        <w:spacing w:after="240" w:before="240" w:line="230.1300859451294" w:lineRule="auto"/>
        <w:jc w:val="both"/>
        <w:rPr>
          <w:rFonts w:ascii="Times New Roman" w:cs="Times New Roman" w:eastAsia="Times New Roman" w:hAnsi="Times New Roman"/>
          <w:sz w:val="24"/>
          <w:szCs w:val="24"/>
        </w:rPr>
      </w:pPr>
      <w:r>
        <w:t>These Litigation Expenses will be reimbursed to Attorney from Client’s share of the recovery in addition to the contingency fee. Client understands that these expenses are separate from medical bills, liens, or other financial obligations for which the Client may remain personally responsible.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90161132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Liens, Subrogation, and Other Obligations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0F">
      <w:pPr>
        <w:widowControl w:val="0"/>
        <w:spacing w:after="240" w:before="240" w:line="229.2415952682495" w:lineRule="auto"/>
        <w:jc w:val="both"/>
        <w:rPr>
          <w:rFonts w:ascii="Times New Roman" w:cs="Times New Roman" w:eastAsia="Times New Roman" w:hAnsi="Times New Roman"/>
          <w:sz w:val="24"/>
          <w:szCs w:val="24"/>
        </w:rPr>
      </w:pPr>
      <w:r>
        <w:t>Client understands that certain parties, such as healthcare providers, insurers, or government agencies (including Medicare or Medicaid), may have a legal right to reimbursement for payments made on Client’s behalf. These are commonly referred to as liens or subrogation claims, and may affect the final amount received by Client from the Client's settlement or judgment. Client hereby authorizes Attorney to negotiate, settle, and satisfy such claims from the proceeds of any recovery. Attorney may engage specialized lien resolution services or other professionals to assist in this process, and the cost of such services shall be treated as a Litigation Expense.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2415952682495" w:lineRule="auto"/>
        <w:ind w:left="2.400054931640625" w:right="0" w:firstLine="4.080047607421875"/>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Statute of Limitations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2415952682495" w:lineRule="auto"/>
        <w:ind w:left="2.400054931640625" w:right="0" w:firstLine="4.080047607421875"/>
        <w:jc w:val="both"/>
        <w:rPr>
          <w:rFonts w:ascii="Times New Roman" w:cs="Times New Roman" w:eastAsia="Times New Roman" w:hAnsi="Times New Roman"/>
          <w:sz w:val="24"/>
          <w:szCs w:val="24"/>
        </w:rPr>
      </w:pPr>
      <w:r>
        <w:t>Attorney will monitor and calculate the deadline for filing the Claim in accordance with applicable law. Based on current information, the statute of limitations for this matter is {{ matter.custom_fields.statute_of_limitations_date }}. Client acknowledges the importance of timely cooperation in providing documents, records, and information necessary for Attorney to meet all legal deadlines.</w:t>
      </w:r>
    </w:p>
    <w:p w:rsidR="00000000" w:rsidDel="00000000" w:rsidP="00000000" w:rsidRDefault="00000000" w:rsidRPr="00000000" w14:paraId="00000012">
      <w:pPr>
        <w:pStyle w:val="Heading2"/>
        <w:keepNext w:val="0"/>
        <w:keepLines w:val="0"/>
        <w:widowControl w:val="0"/>
        <w:spacing w:line="229.2415952682495" w:lineRule="auto"/>
        <w:ind w:left="2.400054931640625" w:firstLine="4.080047607421875"/>
        <w:jc w:val="center"/>
        <w:rPr>
          <w:rFonts w:ascii="Times New Roman" w:cs="Times New Roman" w:eastAsia="Times New Roman" w:hAnsi="Times New Roman"/>
          <w:sz w:val="34"/>
          <w:szCs w:val="34"/>
        </w:rPr>
      </w:pPr>
      <w:bookmarkStart w:colFirst="0" w:colLast="0" w:name="_yi733ilkx9cz" w:id="0"/>
      <w:bookmarkEnd w:id="0"/>
      <w:r w:rsidDel="00000000" w:rsidR="00000000" w:rsidRPr="00000000">
        <w:rPr>
          <w:rFonts w:ascii="Times New Roman" w:cs="Times New Roman" w:eastAsia="Times New Roman" w:hAnsi="Times New Roman"/>
          <w:sz w:val="24"/>
          <w:szCs w:val="24"/>
          <w:u w:val="single"/>
          <w:rtl w:val="0"/>
        </w:rPr>
        <w:t xml:space="preserve">Termination of Representation</w:t>
      </w:r>
      <w:r w:rsidDel="00000000" w:rsidR="00000000" w:rsidRPr="00000000">
        <w:rPr>
          <w:rtl w:val="0"/>
        </w:rPr>
      </w:r>
    </w:p>
    <w:p w:rsidR="00000000" w:rsidDel="00000000" w:rsidP="00000000" w:rsidRDefault="00000000" w:rsidRPr="00000000" w14:paraId="00000013">
      <w:pPr>
        <w:widowControl w:val="0"/>
        <w:spacing w:after="240" w:before="240" w:line="229.2415952682495" w:lineRule="auto"/>
        <w:jc w:val="both"/>
        <w:rPr>
          <w:rFonts w:ascii="Times New Roman" w:cs="Times New Roman" w:eastAsia="Times New Roman" w:hAnsi="Times New Roman"/>
          <w:sz w:val="24"/>
          <w:szCs w:val="24"/>
        </w:rPr>
      </w:pPr>
      <w:r>
        <w:t>Either party may terminate this Agreement upon reasonable written notice. If Client terminates this Agreement after substantial work has been performed, Attorney may assert a claim for attorney’s fees based on the reasonable value of services rendered, payable from any eventual recovery. Client agrees that the Client's obligation to compensate Attorney in such cases shall be limited to the reasonable value of the services rendered up to the point of termination.</w:t>
      </w:r>
    </w:p>
    <w:p w:rsidR="00000000" w:rsidDel="00000000" w:rsidP="00000000" w:rsidRDefault="00000000" w:rsidRPr="00000000" w14:paraId="00000014">
      <w:pPr>
        <w:widowControl w:val="0"/>
        <w:spacing w:after="200" w:line="240" w:lineRule="auto"/>
        <w:ind w:left="2.400054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BY: </w:t>
      </w:r>
    </w:p>
    <w:p w:rsidR="00000000" w:rsidDel="00000000" w:rsidP="00000000" w:rsidRDefault="00000000" w:rsidRPr="00000000" w14:paraId="00000015">
      <w:pPr>
        <w:widowControl w:val="0"/>
        <w:spacing w:after="240" w:before="360" w:line="229.2415952682495" w:lineRule="auto"/>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CLIENT </w:t>
      </w:r>
      <w:r w:rsidDel="00000000" w:rsidR="00000000" w:rsidRPr="00000000">
        <w:rPr>
          <w:rFonts w:ascii="Times New Roman" w:cs="Times New Roman" w:eastAsia="Times New Roman" w:hAnsi="Times New Roman"/>
          <w:sz w:val="20.15999984741211"/>
          <w:szCs w:val="20.15999984741211"/>
          <w:rtl w:val="0"/>
        </w:rPr>
        <w:t xml:space="preserve">___________________________                                                    Date: _____________________</w:t>
      </w:r>
    </w:p>
    <w:p w:rsidR="00000000" w:rsidDel="00000000" w:rsidP="00000000" w:rsidRDefault="00000000" w:rsidRPr="00000000" w14:paraId="00000016">
      <w:pPr>
        <w:widowControl w:val="0"/>
        <w:spacing w:after="240" w:before="0" w:line="229.2415952682495" w:lineRule="auto"/>
        <w:jc w:val="both"/>
        <w:rPr>
          <w:rFonts w:ascii="Times New Roman" w:cs="Times New Roman" w:eastAsia="Times New Roman" w:hAnsi="Times New Roman"/>
          <w:b w:val="1"/>
          <w:bCs w:val="1"/>
          <w:sz w:val="20.15999984741211"/>
          <w:szCs w:val="20.15999984741211"/>
        </w:rPr>
      </w:pPr>
      <w:r>
        <w:t>{{ matter.client.name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197387695312" w:line="240" w:lineRule="auto"/>
        <w:ind w:left="0" w:right="0" w:firstLine="0"/>
        <w:jc w:val="lef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Richards &amp; Law</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sz w:val="20.15999984741211"/>
          <w:szCs w:val="20.15999984741211"/>
          <w:rtl w:val="0"/>
        </w:rPr>
        <w:t xml:space="preserve">Attorney _____</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Date: ____________________</w:t>
      </w:r>
      <w:r w:rsidDel="00000000" w:rsidR="00000000" w:rsidRPr="00000000">
        <w:rPr>
          <w:rFonts w:ascii="Times New Roman" w:cs="Times New Roman" w:eastAsia="Times New Roman" w:hAnsi="Times New Roman"/>
          <w:sz w:val="20.15999984741211"/>
          <w:szCs w:val="20.15999984741211"/>
          <w:rtl w:val="0"/>
        </w:rPr>
        <w:t xml:space="preserve">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29.2415952682495" w:lineRule="auto"/>
        <w:ind w:left="0" w:right="0" w:firstLine="0"/>
        <w:jc w:val="both"/>
        <w:rPr>
          <w:rFonts w:ascii="Rubik" w:cs="Rubik" w:eastAsia="Rubik" w:hAnsi="Rubik"/>
          <w:b w:val="1"/>
          <w:bCs w:val="1"/>
          <w:i w:val="1"/>
          <w:iCs w:val="1"/>
          <w:highlight w:val="yellow"/>
        </w:rPr>
      </w:pPr>
      <w:r>
        <w:t>{{ matter.responsible_staff.name }}</w:t>
      </w:r>
    </w:p>
    <w:sectPr>
      <w:headerReference r:id="rId6" w:type="default"/>
      <w:headerReference r:id="rId7" w:type="first"/>
      <w:footerReference r:id="rId8" w:type="first"/>
      <w:pgSz w:h="15840" w:w="12240" w:orient="portrait"/>
      <w:pgMar w:bottom="1095" w:top="1425.714111328125" w:left="1444.4338989257812" w:right="1372.796630859375"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ubi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spacing w:before="200" w:line="24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pacing w:before="200" w:line="240" w:lineRule="auto"/>
      <w:jc w:val="center"/>
      <w:rPr/>
    </w:pPr>
    <w:r w:rsidDel="00000000" w:rsidR="00000000" w:rsidRPr="00000000">
      <w:rPr>
        <w:color w:val="0f1518"/>
        <w:sz w:val="21.119998931884766"/>
        <w:szCs w:val="21.119998931884766"/>
      </w:rPr>
      <w:drawing>
        <wp:inline distB="114300" distT="114300" distL="114300" distR="114300">
          <wp:extent cx="4349230" cy="868176"/>
          <wp:effectExtent b="0" l="0" r="0" t="0"/>
          <wp:docPr id="1" name="image1.png"/>
          <a:graphic>
            <a:graphicData uri="http://schemas.openxmlformats.org/drawingml/2006/picture">
              <pic:pic>
                <pic:nvPicPr>
                  <pic:cNvPr id="0" name="image1.png"/>
                  <pic:cNvPicPr preferRelativeResize="0"/>
                </pic:nvPicPr>
                <pic:blipFill>
                  <a:blip r:embed="rId1"/>
                  <a:srcRect b="36050" l="0" r="0" t="34111"/>
                  <a:stretch>
                    <a:fillRect/>
                  </a:stretch>
                </pic:blipFill>
                <pic:spPr>
                  <a:xfrm>
                    <a:off x="0" y="0"/>
                    <a:ext cx="4349230" cy="86817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ubik-regular.ttf"/><Relationship Id="rId2" Type="http://schemas.openxmlformats.org/officeDocument/2006/relationships/font" Target="fonts/Rubik-bold.ttf"/><Relationship Id="rId3" Type="http://schemas.openxmlformats.org/officeDocument/2006/relationships/font" Target="fonts/Rubik-italic.ttf"/><Relationship Id="rId4" Type="http://schemas.openxmlformats.org/officeDocument/2006/relationships/font" Target="fonts/Rubik-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