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Customer Churn Risk &amp; AI Retention Advisor</w:t>
      </w:r>
    </w:p>
    <w:p>
      <w:pPr>
        <w:jc w:val="center"/>
      </w:pPr>
      <w:r>
        <w:rPr>
          <w:b/>
          <w:sz w:val="24"/>
        </w:rPr>
        <w:t>Implementation Note</w:t>
      </w:r>
    </w:p>
    <w:p>
      <w:pPr>
        <w:pStyle w:val="Heading1"/>
      </w:pPr>
      <w:r>
        <w:t>1. TotalCharges Cleaning and Model Comparison</w:t>
      </w:r>
    </w:p>
    <w:p>
      <w:r>
        <w:t>The TotalCharges column was initially stored as text and contained 11 blank values. I checked these records and found that all 11 customers had a tenure of 0 months, which indicates that they were newly joined customers with no accumulated charges. Instead of deleting these valid records, I replaced the blank TotalCharges values with 0 and converted the column to numeric format.</w:t>
      </w:r>
    </w:p>
    <w:p>
      <w:r>
        <w:t>For model comparison, Logistic Regression achieved 80.55% test accuracy, 55.88% recall and 84.21% ROC-AUC. The Random Forest achieved 99.80% training accuracy but only 78.57% test accuracy, a gap of about 21.23 percentage points. This large gap showed that the Random Forest was overfitting the training data. Its test recall was also lower at 48.13%. I therefore preferred Logistic Regression because it performed better on unseen customers and identified a larger share of actual churners.</w:t>
      </w:r>
    </w:p>
    <w:p>
      <w:pPr>
        <w:pStyle w:val="Heading1"/>
      </w:pPr>
      <w:r>
        <w:t>2. Why I Recommended Segment 1</w:t>
      </w:r>
    </w:p>
    <w:p>
      <w:r>
        <w:t>I recommended Segment 1, labelled New, High-Spend, High-Risk, as the first group for the retention campaign. This segment contains 462 customers, with an average tenure of 14.80 months, average monthly charges of 80.08 and an average predicted churn probability of 50%. The decision was not based only on the risk score. This group combines relatively high churn risk with meaningful monthly revenue, so losing these customers could have a larger business impact.</w:t>
      </w:r>
    </w:p>
    <w:p>
      <w:r>
        <w:t>The trade-off is that a retention campaign costs money, and some customers receiving an incentive may have stayed even without it. Targeting every customer would therefore waste retention budget. Segment 1 provides a practical balance between the probability of churn and the amount of recurring revenue at risk, which is why I selected it as the first priority.</w:t>
      </w:r>
    </w:p>
    <w:p>
      <w:pPr>
        <w:pStyle w:val="Heading1"/>
      </w:pPr>
      <w:r>
        <w:t>3. What Happened When Retrieval Was Skipped</w:t>
      </w:r>
    </w:p>
    <w:p>
      <w:r>
        <w:t>For the Task 6 customer, the predicted churn probability was 82.81% and tenure was 7 months. When the approved playbook was retrieved before the LLM call, the system correctly selected Clause 1 and the LLM recommended a loyalty discount and a callback from a retention specialist within 48 hours.</w:t>
      </w:r>
    </w:p>
    <w:p>
      <w:r>
        <w:t>I then repeated the LLM call without supplying the playbook. The LLM incorrectly created a "New Customer Onboarding &amp; Contract Transition" clause and recommended actions such as moving the customer to a discounted annual contract, adding a complimentary service, and performing a proactive service check-in. These actions were not the approved Clause 1 response, and the new-customer rule was inappropriate because the customer had 7 months of tenure while Clause 3 applies only below 3 months.</w:t>
      </w:r>
    </w:p>
    <w:p>
      <w:r>
        <w:t>This demonstrates a grounding or hallucination failure. In a casual chatbot, an unsupported suggestion may simply produce a poor answer. In a retention system, however, an employee could act on an unauthorized discount, offer or policy. That creates financial, customer-service and compliance risk. Retrieving the approved clause before generation therefore keeps the LLM response tied to the company's retention policy.</w:t>
      </w:r>
    </w:p>
    <w:p>
      <w:pPr>
        <w:pStyle w:val="Heading1"/>
      </w:pPr>
      <w:r>
        <w:t>4. Information Passed to the LLM and Demographic Control</w:t>
      </w:r>
    </w:p>
    <w:p>
      <w:r>
        <w:t>For the grounded Task 6 call, I passed only the information needed to create the retention explanation: the churn probability of 82.81%, tenure of 7 months, the three permitted customer-level contributing features (low tenure, Fiber optic internet service and Month-to-month contract), the retrieved Clause 1 text, and the Clause 4 non-discrimination instruction.</w:t>
      </w:r>
    </w:p>
    <w:p>
      <w:r>
        <w:t>The full customer row was not passed to the LLM. In the feature-contribution step, the code explicitly filtered feature names containing gender, SeniorCitizen, Partner and Dependents before the top three features were selected for the prompt. As a result, these demographic values could still exist in the modelling data, but they were kept out of the GenAI explanation layer. The prompt also explicitly instructed the LLM not to state or imply that these demographic or family attributes contributed to the customer's churn risk.</w:t>
      </w:r>
    </w:p>
    <w:p>
      <w:pPr>
        <w:pStyle w:val="Heading1"/>
      </w:pPr>
      <w:r>
        <w:t>Summary</w:t>
      </w:r>
    </w:p>
    <w:p>
      <w:r>
        <w:t>The final approach keeps valid customer records during cleaning, uses the better-generalizing Logistic Regression model, prioritizes a segment based on both churn risk and business value, grounds retention advice in an approved playbook, and prevents demographic attributes from entering the LLM explanation prompt.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