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EXECUTIVE MEMO</w:t>
      </w:r>
    </w:p>
    <w:p>
      <w:pPr>
        <w:jc w:val="center"/>
      </w:pPr>
      <w:r>
        <w:rPr>
          <w:b/>
          <w:sz w:val="26"/>
        </w:rPr>
        <w:t>Customer Churn and Retention Recommendation</w:t>
      </w:r>
    </w:p>
    <w:p/>
    <w:p>
      <w:pPr>
        <w:spacing w:after="60"/>
      </w:pPr>
      <w:r>
        <w:rPr>
          <w:b/>
        </w:rPr>
        <w:t xml:space="preserve">To: </w:t>
      </w:r>
      <w:r>
        <w:t>CFO and Retention Team</w:t>
      </w:r>
    </w:p>
    <w:p>
      <w:pPr>
        <w:spacing w:after="60"/>
      </w:pPr>
      <w:r>
        <w:rPr>
          <w:b/>
        </w:rPr>
        <w:t xml:space="preserve">Subject: </w:t>
      </w:r>
      <w:r>
        <w:t>Customer Churn and Retention Recommendation</w:t>
      </w:r>
    </w:p>
    <w:p/>
    <w:p>
      <w:pPr>
        <w:spacing w:after="200" w:line="259" w:lineRule="auto"/>
        <w:jc w:val="both"/>
      </w:pPr>
      <w:r>
        <w:t>The overall churn rate in the dataset is 26.54%, with 1,869 out of 7,043 customers leaving. The main concern is customers on month-to-month contracts, where the churn rate is 42.71%, compared with 11.27% for one-year contracts and 2.83% for two-year contracts.</w:t>
      </w:r>
    </w:p>
    <w:p>
      <w:pPr>
        <w:spacing w:after="200" w:line="259" w:lineRule="auto"/>
        <w:jc w:val="both"/>
      </w:pPr>
      <w:r>
        <w:t>For the first retention campaign, I recommend focusing on Segment 1 - New, High-Spend, High-Risk customers. This group has 462 customers, an average tenure of 14.8 months, average monthly charges of 80.08, and an average churn probability of 50%. I selected this group because it has both a relatively high risk of leaving and higher monthly spending. The trade-off is that some customers who receive an offer may have stayed even without one, so the campaign could spend money unnecessarily. Even with this risk, I believe this segment is the best place to start because more revenue is at risk.</w:t>
      </w:r>
    </w:p>
    <w:p>
      <w:pPr>
        <w:spacing w:after="200" w:line="259" w:lineRule="auto"/>
        <w:jc w:val="both"/>
      </w:pPr>
      <w:r>
        <w:t>After the system is launched, I would compare the predicted churn risk with the actual churn rate following important business changes. For example, if the company increases fiber-optic prices or a competitor introduces a cheaper offer, actual churn may increase even though the model continues to predict lower risk. A consistent gap between predicted and actual churn after such a change would be a clear signal that customer behaviour has changed and the model should be retrained.</w:t>
      </w:r>
    </w:p>
    <w:p>
      <w:pPr>
        <w:spacing w:after="200" w:line="259" w:lineRule="auto"/>
        <w:jc w:val="both"/>
      </w:pPr>
      <w:r>
        <w:t>For governance, each LLM request should be logged with the information sent to the LLM, the retrieved playbook clause, the Clause 4 instruction, and the final response. These logs would allow an auditor to confirm that gender, SeniorCitizen, Partner and Dependents were excluded from every explanation request, rather than relying on a single test case.</w:t>
      </w:r>
    </w:p>
    <w:p>
      <w:pPr>
        <w:spacing w:after="200" w:line="259" w:lineRule="auto"/>
        <w:jc w:val="both"/>
      </w:pPr>
      <w:r>
        <w:t>Finally, generating a new LLM explanation for every at-risk customer every week could become expensive. To reduce API cost, I would reuse a previously generated explanation when the customer's risk tier, main contributing features and retrieved playbook clause have not changed. A new LLM call would only be made when these inputs change. The stored explanation would also keep its link to the retrieved playbook clause, so the grounding requirement is still maintained.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