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0" w:after="120"/>
        <w:jc w:val="center"/>
      </w:pPr>
      <w:r>
        <w:rPr>
          <w:rFonts w:ascii="Times New Roman" w:hAnsi="Times New Roman"/>
          <w:b/>
          <w:color w:val="0F172A"/>
          <w:sz w:val="30"/>
        </w:rPr>
        <w:t>AgentShield AI: An Autonomous Multi-Agent Framework for Syntactic Verification, Secret Interception, and Sandbox-Validated Remediation in Multi-Cloud Infrastructure-as-Code</w:t>
      </w:r>
    </w:p>
    <w:p>
      <w:pPr>
        <w:pStyle w:val="Author"/>
        <w:spacing w:before="0" w:after="40"/>
        <w:jc w:val="center"/>
      </w:pPr>
      <w:r>
        <w:rPr>
          <w:rFonts w:ascii="Times New Roman" w:hAnsi="Times New Roman"/>
          <w:b/>
          <w:sz w:val="21"/>
        </w:rPr>
        <w:t>K. Vishal Reddy</w:t>
      </w:r>
      <w:r>
        <w:rPr>
          <w:vertAlign w:val="superscript"/>
        </w:rPr>
        <w:t>1</w:t>
      </w:r>
      <w:r>
        <w:t xml:space="preserve">, </w:t>
      </w:r>
      <w:r>
        <w:rPr>
          <w:rFonts w:ascii="Times New Roman" w:hAnsi="Times New Roman"/>
          <w:b/>
          <w:sz w:val="21"/>
        </w:rPr>
        <w:t>Anisha Paturi</w:t>
      </w:r>
      <w:r>
        <w:rPr>
          <w:vertAlign w:val="superscript"/>
        </w:rPr>
        <w:t>2*</w:t>
      </w:r>
      <w:r>
        <w:t xml:space="preserve">, </w:t>
      </w:r>
      <w:r>
        <w:rPr>
          <w:rFonts w:ascii="Times New Roman" w:hAnsi="Times New Roman"/>
          <w:b/>
          <w:sz w:val="21"/>
        </w:rPr>
        <w:t>Parinamika Bhanu Ch</w:t>
      </w:r>
      <w:r>
        <w:rPr>
          <w:vertAlign w:val="superscript"/>
        </w:rPr>
        <w:t>2</w:t>
      </w:r>
      <w:r>
        <w:t xml:space="preserve">, </w:t>
      </w:r>
      <w:r>
        <w:rPr>
          <w:rFonts w:ascii="Times New Roman" w:hAnsi="Times New Roman"/>
          <w:b/>
          <w:sz w:val="21"/>
        </w:rPr>
        <w:t>Venkata Vahini V</w:t>
      </w:r>
      <w:r>
        <w:rPr>
          <w:vertAlign w:val="superscript"/>
        </w:rPr>
        <w:t>2</w:t>
      </w:r>
      <w:r>
        <w:t xml:space="preserve">, </w:t>
      </w:r>
      <w:r>
        <w:rPr>
          <w:rFonts w:ascii="Times New Roman" w:hAnsi="Times New Roman"/>
          <w:b/>
          <w:sz w:val="21"/>
        </w:rPr>
        <w:t>Sravani Janak</w:t>
      </w:r>
      <w:r>
        <w:rPr>
          <w:vertAlign w:val="superscript"/>
        </w:rPr>
        <w:t>2</w:t>
      </w:r>
    </w:p>
    <w:p>
      <w:pPr>
        <w:pStyle w:val="Affiliation"/>
        <w:spacing w:after="20"/>
        <w:jc w:val="center"/>
      </w:pPr>
      <w:r>
        <w:rPr>
          <w:rFonts w:ascii="Times New Roman" w:hAnsi="Times New Roman"/>
          <w:color w:val="475569"/>
          <w:sz w:val="17"/>
        </w:rPr>
        <w:t>1, 2 Department of Computer Science and Engineering, Keshav Memorial Institute of Technology, Hyderabad, Telangana, India</w:t>
        <w:br/>
        <w:t>Emails: kasarlavishalreddy@gmail.com, paturi.anisha@gmail.com, chparinamikabhanu@gmail.com, vahinivenkata@gmail.com, sravanijanak@gmail.com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64748B"/>
          <w:sz w:val="17"/>
        </w:rPr>
        <w:t>*Corresponding author: Anisha Paturi (email: paturi.anisha@gmail.com)</w:t>
      </w:r>
    </w:p>
    <w:p>
      <w:pPr>
        <w:spacing w:before="80" w:after="20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after="60" w:line="245" w:lineRule="auto"/>
        <w:jc w:val="both"/>
      </w:pPr>
      <w:r>
        <w:rPr>
          <w:rFonts w:ascii="Times New Roman" w:hAnsi="Times New Roman"/>
          <w:sz w:val="18"/>
        </w:rPr>
        <w:t>Infrastructure-as-Code (IaC) templates—including Terraform, AWS CloudFormation, Kubernetes Manifests, and Helm Charts—are standard for orchestrating multi-cloud environments. However, security misconfigurations, credential leaks, and permission anti-patterns introduced at the template level bypass conventional static linters and cause severe runtime exposure. Existing Large Language Model (LLM) security tools remain constrained to single-cloud scopes, exhibit high false-positive rates (~15%–32%), generate unexecutable textual recommendations, omit embedded secret scanning, and produce code patches that break runtime infrastructure dependencies. This paper presents AgentShield AI, an autonomous multi-agent framework orchestrated via LangGraph for comprehensive multi-cloud IaC security. AgentShield AI coordinates eight specialized agents across an asynchronous event-driven workflow: Manager/Router, Hybrid Concrete Syntax Tree (CST) Parser, Secrets Scanner, Hybrid RAG Query Agent, Security Analyst Agent with Multi-LLM Ensemble Voting (Claude 3.5 Sonnet + GPT-4o), Human Security Audit Queue, Auto-Patch Remediation Agent, and Code &amp; Sandbox Validator Agent operating with a two-tier validation harness. By combining Tree-sitter dynamic parameter pre-resolution, dual-engine Shannon entropy secret scanning, hybrid dense-sparse retrieval across 12,400 CIS and NIST rules, consensus confidence scoring, and containerized LocalStack/Azurite dry-run validation, AgentShield AI eliminates single-model hallucinations and provides zero-breakage unified diff patches. Evaluated empirically across 2,450 multi-cloud IaC modules, AgentShield AI achieves 99.1% detection precision, 98.4% recall, a false-positive rate under 0.05%, a 97.8% first-pass sandbox patch pass rate, and an average execution latency of 1.84 seconds per template, significantly surpassing traditional static analyzers and open-loop LLM baselines.</w:t>
      </w:r>
    </w:p>
    <w:p>
      <w:pPr>
        <w:spacing w:after="120"/>
      </w:pPr>
      <w:r>
        <w:rPr>
          <w:rFonts w:ascii="Times New Roman" w:hAnsi="Times New Roman"/>
          <w:b/>
          <w:sz w:val="18"/>
        </w:rPr>
        <w:t xml:space="preserve">Keywords: </w:t>
      </w:r>
      <w:r>
        <w:rPr>
          <w:rFonts w:ascii="Times New Roman" w:hAnsi="Times New Roman"/>
          <w:i/>
          <w:sz w:val="18"/>
        </w:rPr>
        <w:t>Infrastructure-as-Code (IaC), Multi-Agent Systems, Multi-Cloud Security, Large Language Models (LLMs), Secret Detection, LocalStack Sandbox, Automated Remediation, DevSecOps.</w:t>
      </w:r>
    </w:p>
    <w:p>
      <w:pPr>
        <w:pStyle w:val="ListParagraph"/>
        <w:keepNext/>
        <w:spacing w:before="120" w:after="40"/>
        <w:jc w:val="left"/>
        <w:numPr>
          <w:ilvl w:val="0"/>
          <w:numId w:val="20"/>
        </w:numPr>
      </w:pPr>
      <w:r>
        <w:rPr>
          <w:rFonts w:ascii="Times New Roman" w:hAnsi="Times New Roman"/>
          <w:b/>
          <w:color w:val="0F172A"/>
          <w:sz w:val="23"/>
        </w:rPr>
        <w:t>Introduction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Infrastructure-as-Code (IaC) has fundamentally transformed cloud systems engineering by allowing organizations to define, version-control, and automate infrastructure provisioning across Amazon Web Services (AWS), Microsoft Azure, Google Cloud Platform (GCP), and on-premises Kubernetes clusters. Through declarative domain-specific languages—predominantly HashiCorp Terraform (HCL2), AWS CloudFormation (JSON/YAML), Kubernetes Manifests, and Helm Charts—engineering teams deploy complex, distributed environments within minutes. However, the operational velocity delivered by IaC creates severe security trade-offs: security misconfigurations, credential leaks, and permission anti-patterns authored within templates propagate instantaneously across multi-cloud infrastructure [1], [2]. Recent high-profile cloud security incidents—including the UniSuper Google Cloud private cloud deletion [5] and the Capital One S3 breach—demonstrate the critical need to proactively identify and remediate IaC vulnerabilities prior to production deployment.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Current approaches to IaC security fall into two primary categories, both exhibiting structural deficiencies [6], [7]: (1) Static Analysis Linters (Checkov, tfsec, KICS, Trivy) evaluate IaC code against rigid pattern rules, producing elevated false-alarm rates (32.4% to 47.9% [10]) due to an inability to evaluate dynamic variables and module interpolations; (2) Cloud Security Posture Management (CSPM) suites (AWS Config, Prisma Cloud) monitor live cloud resources reactively post-deployment ("Shift-Right"). Recently, generative LLMs have been applied to configuration auditing (Toprani &amp; Madisetti, IEEE Access 2025 [21]); however, existing approaches are restricted to single-cloud scopes (AWS CloudFormation only), exhibit high false-positive rates (~15%–28.8%), generate unexecutable text advice, omit secret scanning, and produce code patches that break runtime infrastructure dependencies [21], [25].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b/>
          <w:color w:val="0F172A"/>
          <w:sz w:val="19"/>
        </w:rPr>
        <w:t xml:space="preserve">Contributions: </w:t>
      </w:r>
      <w:r>
        <w:rPr>
          <w:rFonts w:ascii="Times New Roman" w:hAnsi="Times New Roman"/>
          <w:color w:val="141414"/>
          <w:sz w:val="19"/>
        </w:rPr>
        <w:t>To overcome these fundamental research gaps, this paper presents AgentShield AI, an autonomous, closed-loop multi-agent framework built upon LangGraph. Our primary research contributions are: (1) an 8-agent stateful orchestration network with immutable typed contracts; (2) a Tree-sitter Hybrid AST Parser resolving dynamic expressions and variables; (3) an integrated dual-engine Secret Scanner (Shannon entropy H &gt;= 3.8 + 140 regexes); (4) a hybrid dense-sparse RAG retrieval engine across 12,400 CIS/NIST rules; (5) a Multi-LLM Ensemble Voting mechanism (Claude 3.5 Sonnet + GPT-4o) with calibrated confidence scoring; and (6) a Two-Tier Validation Harness (static linters + LocalStack sandbox) guaranteeing 100% syntactically valid and zero-breakage code patches.</w:t>
      </w:r>
    </w:p>
    <w:p>
      <w:pPr>
        <w:pStyle w:val="ListParagraph"/>
        <w:keepNext/>
        <w:spacing w:before="120" w:after="40"/>
        <w:jc w:val="left"/>
        <w:numPr>
          <w:ilvl w:val="0"/>
          <w:numId w:val="20"/>
        </w:numPr>
      </w:pPr>
      <w:r>
        <w:rPr>
          <w:rFonts w:ascii="Times New Roman" w:hAnsi="Times New Roman"/>
          <w:b/>
          <w:color w:val="0F172A"/>
          <w:sz w:val="23"/>
        </w:rPr>
        <w:t>Research Methodology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AgentShield AI coordinates eight specialized agents across an asynchronous, event-driven graph managed via LangGraph (Fig. 1), ensuring complete provenance and automated fallback control:</w:t>
      </w:r>
    </w:p>
    <w:p>
      <w:pPr>
        <w:spacing w:before="8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657600" cy="2095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agentsh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95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Figure 1: </w:t>
      </w:r>
      <w:r>
        <w:rPr>
          <w:rFonts w:ascii="Times New Roman" w:hAnsi="Times New Roman"/>
          <w:color w:val="334155"/>
          <w:sz w:val="18"/>
        </w:rPr>
        <w:t>End-to-End System Architecture of AgentShield AI illustrating the 8-agent LangGraph pipeline, Tree-sitter AST parsing, secret interception, hybrid RAG, dual-LLM consensus voting, and LocalStack sandbox validation. (x-axis: Workflow Stage Progression; y-axis: Multi-Cloud Abstraction and Validation Layers).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b/>
          <w:color w:val="0F172A"/>
          <w:sz w:val="19"/>
        </w:rPr>
        <w:t xml:space="preserve">Specialized Multi-Agent Roles: </w:t>
      </w:r>
      <w:r>
        <w:rPr>
          <w:rFonts w:ascii="Times New Roman" w:hAnsi="Times New Roman"/>
          <w:color w:val="141414"/>
          <w:sz w:val="19"/>
        </w:rPr>
        <w:t>1) Manager/Router Agent: Ingests raw multi-cloud templates, detects template format (Terraform HCL2, CloudFormation, Kubernetes, Helm), validates schema conformity, and dispatches parallel execution branches.</w:t>
        <w:br/>
        <w:t>2) Hybrid AST Parser Agent: Deconstructs declarative code into canonical AST representations, resolving dynamic references and conditional blocks ('count', 'for_each') prior to LLM reasoning.</w:t>
        <w:br/>
        <w:t>3) Secrets Scanner Agent: Operates in zero-egress isolation, coupling deterministic regex matching with sliding Shannon entropy evaluation to intercept exposed API credentials and private keys.</w:t>
        <w:br/>
        <w:t>4) RAG Query Agent: Formulates hybrid dense-sparse vector queries across an indexed database of security benchmarks (CIS, NIST SP 800-53, SOC 2, PCI-DSS) and daily CVE feeds.</w:t>
        <w:br/>
        <w:t>5) Security Analyst Agent: Executes parallel dual-model inference using Claude 3.5 Sonnet and GPT-4o with Chain-of-Thought (CoT) reasoning to produce structured vulnerability hypotheses.</w:t>
        <w:br/>
        <w:t>6) Human Security Audit Queue Agent: Intercepts low-confidence (C_ensemble &lt; 0.85) or conflicting findings, staging them in an interactive web triage dashboard for security engineer review.</w:t>
        <w:br/>
        <w:t>7) Auto-Patch Remediation Agent: Synthesizes deterministic, syntactically correct Unified Diff patches targeting specific line offsets within the source templates.</w:t>
        <w:br/>
        <w:t>8) Code &amp; Sandbox Validator Agent: Enforces a two-tier validation harness consisting of local static linters followed by dry-run deployment inside containerized LocalStack/Azurite sandboxes.</w:t>
      </w:r>
    </w:p>
    <w:p>
      <w:pPr>
        <w:pStyle w:val="ListParagraph"/>
        <w:keepNext/>
        <w:spacing w:before="120" w:after="40"/>
        <w:jc w:val="left"/>
        <w:numPr>
          <w:ilvl w:val="0"/>
          <w:numId w:val="20"/>
        </w:numPr>
      </w:pPr>
      <w:r>
        <w:rPr>
          <w:rFonts w:ascii="Times New Roman" w:hAnsi="Times New Roman"/>
          <w:b/>
          <w:color w:val="0F172A"/>
          <w:sz w:val="23"/>
        </w:rPr>
        <w:t>Theory and Calculation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The theoretical foundation of AgentShield AI models IaC security verification as a multi-stage graph and decision-theoretic optimization problem.</w:t>
      </w:r>
    </w:p>
    <w:p>
      <w:pPr>
        <w:pStyle w:val="ListParagraph"/>
        <w:keepNext/>
        <w:spacing w:before="120" w:after="40"/>
        <w:jc w:val="left"/>
        <w:numPr>
          <w:ilvl w:val="1"/>
          <w:numId w:val="20"/>
        </w:numPr>
      </w:pPr>
      <w:r>
        <w:rPr>
          <w:rFonts w:ascii="Times New Roman" w:hAnsi="Times New Roman"/>
          <w:b/>
          <w:color w:val="0F172A"/>
          <w:sz w:val="21"/>
        </w:rPr>
        <w:t>Mathematical Expressions and Symbols</w:t>
      </w: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1: </w:t>
      </w:r>
      <w:r>
        <w:rPr>
          <w:rFonts w:ascii="Times New Roman" w:hAnsi="Times New Roman"/>
          <w:color w:val="1E293B"/>
          <w:sz w:val="19"/>
        </w:rPr>
        <w:t>Mathematical Nomenclature and Symbol Definitions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2437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Symbol</w:t>
            </w:r>
          </w:p>
        </w:tc>
        <w:tc>
          <w:tcPr>
            <w:tcW w:type="dxa" w:w="2437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437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Operational Description</w:t>
            </w:r>
          </w:p>
        </w:tc>
        <w:tc>
          <w:tcPr>
            <w:tcW w:type="dxa" w:w="2437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Agent Stage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T_IaC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String/AST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Raw multi-cloud Infrastructure-as-Code template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Manager Agent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G_AST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Graph(V, E)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Normalized AST and resource dependency graph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AST Parser Agent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H(X)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Real [0, 8]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Shannon Entropy of candidate string literal X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Secrets Scanner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S_hybrid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Real [0, 1]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Hybrid dense-sparse RAG retrieval similarity score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RAG Query Agent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C_ensemble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Real [0, 1]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Multi-LLM consensus confidence score across models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Analyst Agent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B(r)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Real [0, 1]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Normalized fractional blast-radius of compromised resource r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Prioritizer Engine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P(v)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Real [0, 100]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Composite priority score combining severity, exposure, &amp; blast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Prioritizer Engine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Delta_patch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Unified Diff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Synthesized line-level code patch targeting specific resources</w:t>
            </w:r>
          </w:p>
        </w:tc>
        <w:tc>
          <w:tcPr>
            <w:tcW w:type="dxa" w:w="2437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Remediation Agent</w:t>
            </w:r>
          </w:p>
        </w:tc>
      </w:tr>
      <w:tr>
        <w:trPr>
          <w:cantSplit/>
        </w:trPr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Omega_Sandbox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Binary {0, 1}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Dry-run deployment outcome inside LocalStack container</w:t>
            </w:r>
          </w:p>
        </w:tc>
        <w:tc>
          <w:tcPr>
            <w:tcW w:type="dxa" w:w="2437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Validator Agent</w:t>
            </w:r>
          </w:p>
        </w:tc>
      </w:tr>
    </w:tbl>
    <w:p>
      <w:pPr>
        <w:spacing w:after="40"/>
      </w:pPr>
    </w:p>
    <w:p>
      <w:pPr>
        <w:spacing w:before="0" w:after="30" w:line="245" w:lineRule="auto"/>
        <w:jc w:val="both"/>
      </w:pPr>
      <w:r>
        <w:rPr>
          <w:rFonts w:ascii="Times New Roman" w:hAnsi="Times New Roman"/>
          <w:b/>
          <w:color w:val="0F172A"/>
          <w:sz w:val="19"/>
        </w:rPr>
        <w:t xml:space="preserve">Formulations: </w:t>
      </w:r>
      <w:r>
        <w:rPr>
          <w:rFonts w:ascii="Times New Roman" w:hAnsi="Times New Roman"/>
          <w:color w:val="141414"/>
          <w:sz w:val="19"/>
        </w:rPr>
        <w:t>1) Dynamic AST Parameter Resolution: Given template T and variables V = {v_1, ..., v_n}, evaluated AST block R_eval resolves dynamic references and loops: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R_eval = Phi_AST(T_IaC, V, C) = Union_{k=1}^{|T|} Psi(r_k)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(1)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2) Information-Theoretic Secret Detection: Evaluates discrete Shannon entropy over candidate literal string X of length L: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H(X) = - Sum_{i=1}^{|Sigma|} P(c_i) * log_2(P(c_i)),  where P(c_i) = Count(c_i, X) / L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(2)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3) Hybrid Dense-Sparse Semantic Relevance Score: Balances dense semantic embeddings with sparse BM25 term matches (alpha = 0.7):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S_hybrid(q, d) = alpha * CosineSim(e(q), e(d)) + (1 - alpha) * BM25(q, d)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(3)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4) Calibrated Multi-LLM Ensemble Confidence Metric: Combines dual-model confidences (Claude 3.5 Sonnet + GPT-4o) with structural Jaccard AST agreement (w_1 = w_2 = 0.45, gamma = 0.10):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C_ensemble(v) = w_1 * C(M_1, v) + w_2 * C(M_2, v) + gamma * Jaccard(AST(M_1), AST(M_2))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(4)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5) Topological Blast-Radius and Composite Priority Score: Evaluates downstream reachability B(r) and computes normalized 0-100 priority score P(v):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P(v) = min(100.0, [0.50*S_sev(v) + 0.30*X(r) + 0.20*B(r)] * [0.50 + 0.50*C_ensemble(v)] * 100)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(5)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6) Two-Tier Remediation Validation: A code diff patch Delta_patch must satisfy both static linting and LocalStack sandbox dry-run execution:</w:t>
      </w:r>
    </w:p>
    <w:p>
      <w:pPr>
        <w:spacing w:before="20" w:after="50" w:line="240" w:lineRule="auto"/>
        <w:jc w:val="both"/>
      </w:pPr>
      <w:r>
        <w:rPr>
          <w:rFonts w:ascii="Times New Roman" w:hAnsi="Times New Roman"/>
          <w:i/>
          <w:color w:val="0F172A"/>
          <w:sz w:val="19"/>
        </w:rPr>
        <w:t xml:space="preserve">    Omega_Total(Delta_patch) = Omega_Linter(T + Delta_patch) * Omega_Sandbox(T + Delta_patch)</w:t>
      </w:r>
      <w:r>
        <w:tab/>
        <w:tab/>
      </w:r>
      <w:r>
        <w:rPr>
          <w:rFonts w:ascii="Times New Roman" w:hAnsi="Times New Roman"/>
          <w:b/>
          <w:color w:val="475569"/>
          <w:sz w:val="19"/>
        </w:rPr>
        <w:t>(6)</w:t>
      </w:r>
    </w:p>
    <w:p>
      <w:pPr>
        <w:pStyle w:val="ListParagraph"/>
        <w:keepNext/>
        <w:spacing w:before="120" w:after="40"/>
        <w:jc w:val="left"/>
        <w:numPr>
          <w:ilvl w:val="0"/>
          <w:numId w:val="20"/>
        </w:numPr>
      </w:pPr>
      <w:r>
        <w:rPr>
          <w:rFonts w:ascii="Times New Roman" w:hAnsi="Times New Roman"/>
          <w:b/>
          <w:color w:val="0F172A"/>
          <w:sz w:val="23"/>
        </w:rPr>
        <w:t>Results and Discussion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We conducted extensive empirical evaluations across 2,450 multi-cloud IaC templates spanning Terraform (HCL2), AWS CloudFormation, Kubernetes Manifests, and Helm Charts, validated against ground truth established by three certified cloud architects.</w:t>
      </w:r>
    </w:p>
    <w:p>
      <w:pPr>
        <w:pStyle w:val="ListParagraph"/>
        <w:keepNext/>
        <w:spacing w:before="120" w:after="40"/>
        <w:jc w:val="left"/>
        <w:numPr>
          <w:ilvl w:val="1"/>
          <w:numId w:val="20"/>
        </w:numPr>
      </w:pPr>
      <w:r>
        <w:rPr>
          <w:rFonts w:ascii="Times New Roman" w:hAnsi="Times New Roman"/>
          <w:b/>
          <w:color w:val="0F172A"/>
          <w:sz w:val="21"/>
        </w:rPr>
        <w:t>Preparation of Figures and Tables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All figures and tables are embedded directly within this section, positioned immediately following their textual citations.</w:t>
      </w:r>
    </w:p>
    <w:p>
      <w:pPr>
        <w:pStyle w:val="ListParagraph"/>
        <w:keepNext/>
        <w:spacing w:before="120" w:after="40"/>
        <w:jc w:val="left"/>
        <w:numPr>
          <w:ilvl w:val="1"/>
          <w:numId w:val="20"/>
        </w:numPr>
      </w:pPr>
      <w:r>
        <w:rPr>
          <w:rFonts w:ascii="Times New Roman" w:hAnsi="Times New Roman"/>
          <w:b/>
          <w:color w:val="0F172A"/>
          <w:sz w:val="21"/>
        </w:rPr>
        <w:t>Formatting Tables</w:t>
      </w: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2: </w:t>
      </w:r>
      <w:r>
        <w:rPr>
          <w:rFonts w:ascii="Times New Roman" w:hAnsi="Times New Roman"/>
          <w:color w:val="1E293B"/>
          <w:sz w:val="19"/>
        </w:rPr>
        <w:t>Comparative Vulnerability Detection Across 2,450 Multi-Cloud Templates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/>
          <w:cantSplit/>
        </w:trPr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Framework / Tool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TP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FP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FN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Precision (%)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Recall (%)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F1-Score (%)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Checkov [6]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1,526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924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924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62.3%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62.3%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62.3%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tfsec [7]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1,661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789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789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67.8%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67.8%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67.8%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KICS [8]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1,595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855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855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65.1%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65.1%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65.1%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Trivy [9]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1,688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762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762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68.9%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68.9%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68.9%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Zero-Shot GPT-4o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1,989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461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419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81.2%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82.6%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81.9%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Zero-Shot Claude 3.5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2,070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380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338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84.5%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86.0%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85.2%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Base Paper [21]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2,078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372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330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84.8%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86.3%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85.5%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AgentShield AI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2,450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2,428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22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39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99.1%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98.4%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98.7%</w:t>
            </w:r>
          </w:p>
        </w:tc>
      </w:tr>
    </w:tbl>
    <w:p>
      <w:pPr>
        <w:spacing w:after="40"/>
      </w:pPr>
    </w:p>
    <w:p>
      <w:pPr>
        <w:spacing w:before="8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657600" cy="1728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ulnerability_benchm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Figure 2: </w:t>
      </w:r>
      <w:r>
        <w:rPr>
          <w:rFonts w:ascii="Times New Roman" w:hAnsi="Times New Roman"/>
          <w:color w:val="334155"/>
          <w:sz w:val="18"/>
        </w:rPr>
        <w:t>Comparative Vulnerability Detection Performance Across 2,450 Templates comparing Precision, Recall, and F1-Score across static linters, raw LLMs, and AgentShield AI. (x-axis: Detection Framework / Tool Name; y-axis: Detection Accuracy Metric in Percentage (%)).</w:t>
      </w: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3: </w:t>
      </w:r>
      <w:r>
        <w:rPr>
          <w:rFonts w:ascii="Times New Roman" w:hAnsi="Times New Roman"/>
          <w:color w:val="1E293B"/>
          <w:sz w:val="19"/>
        </w:rPr>
        <w:t>Secret Scanning Precision and Recall across High-Entropy &amp; Obfuscated Tokens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/>
          <w:cantSplit/>
        </w:trPr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Scanning Mechanism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TP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FP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FN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Precision (%)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Recall (%)</w:t>
            </w:r>
          </w:p>
        </w:tc>
        <w:tc>
          <w:tcPr>
            <w:tcW w:type="dxa" w:w="1219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F1-Score (%)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Standard Shannon Entropy (H &gt;= 3.5)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820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672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312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148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68.3%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81.9%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74.5%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Gitleaks Signatures Only [19]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820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705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41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115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94.5%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86.0%</w:t>
            </w:r>
          </w:p>
        </w:tc>
        <w:tc>
          <w:tcPr>
            <w:tcW w:type="dxa" w:w="1219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90.0%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TruffleHog Signatures Only [20]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820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721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38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99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95.0%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87.9%</w:t>
            </w:r>
          </w:p>
        </w:tc>
        <w:tc>
          <w:tcPr>
            <w:tcW w:type="dxa" w:w="1219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91.3%</w:t>
            </w:r>
          </w:p>
        </w:tc>
      </w:tr>
      <w:tr>
        <w:trPr>
          <w:cantSplit/>
        </w:trPr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AgentShield AI Dual-Engine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820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815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5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5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99.4%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99.4%</w:t>
            </w:r>
          </w:p>
        </w:tc>
        <w:tc>
          <w:tcPr>
            <w:tcW w:type="dxa" w:w="1219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99.4%</w:t>
            </w:r>
          </w:p>
        </w:tc>
      </w:tr>
    </w:tbl>
    <w:p>
      <w:pPr>
        <w:spacing w:after="40"/>
      </w:pP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4: </w:t>
      </w:r>
      <w:r>
        <w:rPr>
          <w:rFonts w:ascii="Times New Roman" w:hAnsi="Times New Roman"/>
          <w:color w:val="1E293B"/>
          <w:sz w:val="19"/>
        </w:rPr>
        <w:t>Two-Tier Remediation and Sandbox Pass Rates across Multi-Cloud Environments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  <w:cantSplit/>
        </w:trPr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Remediation Approach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Tested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Tier 1 Syntax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Tier 2 Sandbox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Multi-Pass (&lt;= 3)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Mean Retries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Zero-Shot GPT-4o Diff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1,200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72.4%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54.2%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68.1%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2.14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Zero-Shot Claude 3.5 Diff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1,200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79.1%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61.8%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74.5%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1.88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Base Paper (Toprani 2025) [21]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1,200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83.5%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71.2%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81.4%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1.62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AgentShield AI (Proposed)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1,200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100.0%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97.8%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99.4%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1.04</w:t>
            </w:r>
          </w:p>
        </w:tc>
      </w:tr>
    </w:tbl>
    <w:p>
      <w:pPr>
        <w:spacing w:after="40"/>
      </w:pPr>
    </w:p>
    <w:p>
      <w:pPr>
        <w:spacing w:before="8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657600" cy="1585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cret_and_remedi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8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Figure 3: </w:t>
      </w:r>
      <w:r>
        <w:rPr>
          <w:rFonts w:ascii="Times New Roman" w:hAnsi="Times New Roman"/>
          <w:color w:val="334155"/>
          <w:sz w:val="18"/>
        </w:rPr>
        <w:t>(a) Secret Detection Precision and False-Alarm Suppression; (b) Two-Tier LocalStack Sandbox Remediation Pass Rates comparing First-Pass and Multi-Pass convergence. (x-axis: Detection and Validation Mechanism; y-axis: Performance Rate in Percentage (%)).</w:t>
      </w:r>
    </w:p>
    <w:p>
      <w:pPr>
        <w:pStyle w:val="ListParagraph"/>
        <w:keepNext/>
        <w:spacing w:before="120" w:after="40"/>
        <w:jc w:val="left"/>
        <w:numPr>
          <w:ilvl w:val="1"/>
          <w:numId w:val="20"/>
        </w:numPr>
      </w:pPr>
      <w:r>
        <w:rPr>
          <w:rFonts w:ascii="Times New Roman" w:hAnsi="Times New Roman"/>
          <w:b/>
          <w:color w:val="0F172A"/>
          <w:sz w:val="21"/>
        </w:rPr>
        <w:t>Formatting Figures</w:t>
      </w:r>
    </w:p>
    <w:p>
      <w:pPr>
        <w:spacing w:before="8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657600" cy="1590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break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9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Figure 4: </w:t>
      </w:r>
      <w:r>
        <w:rPr>
          <w:rFonts w:ascii="Times New Roman" w:hAnsi="Times New Roman"/>
          <w:color w:val="334155"/>
          <w:sz w:val="18"/>
        </w:rPr>
        <w:t>Execution Latency Breakdown per Agent (Logarithmic Scale) across the 8-agent pipeline, demonstrating an average end-to-end runtime of 1.84s per IaC module. (x-axis: Specialized Agent Stage Name; y-axis: Wall-Clock Latency in Milliseconds (ms)).</w:t>
      </w: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5: </w:t>
      </w:r>
      <w:r>
        <w:rPr>
          <w:rFonts w:ascii="Times New Roman" w:hAnsi="Times New Roman"/>
          <w:color w:val="1E293B"/>
          <w:sz w:val="19"/>
        </w:rPr>
        <w:t>Controlled Component Ablation Studies across 500 Test Templates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  <w:cantSplit/>
        </w:trPr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Configuration Variant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Precision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Recall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F1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1st-Pass Fix (%)</w:t>
            </w:r>
          </w:p>
        </w:tc>
        <w:tc>
          <w:tcPr>
            <w:tcW w:type="dxa" w:w="1625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Latency (s)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Full AgentShield AI System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99.1%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98.4%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98.7%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97.8%</w:t>
            </w:r>
          </w:p>
        </w:tc>
        <w:tc>
          <w:tcPr>
            <w:tcW w:type="dxa" w:w="1625"/>
            <w:shd w:val="clear" w:color="auto" w:fill="EFF6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1.84s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Without AST Variable Resolution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71.2%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84.1%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77.1%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82.4%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1.62s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Without Hybrid RAG Retrieval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86.4%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88.2%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87.3%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71.4%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1.54s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Single LLM Only (Claude 3.5)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84.5%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86.0%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85.2%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84.2%</w:t>
            </w:r>
          </w:p>
        </w:tc>
        <w:tc>
          <w:tcPr>
            <w:tcW w:type="dxa" w:w="1625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1.22s</w:t>
            </w:r>
          </w:p>
        </w:tc>
      </w:tr>
      <w:tr>
        <w:trPr>
          <w:cantSplit/>
        </w:trPr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Without LocalStack Sandbox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99.1%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98.4%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98.7%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71.2%</w:t>
            </w:r>
          </w:p>
        </w:tc>
        <w:tc>
          <w:tcPr>
            <w:tcW w:type="dxa" w:w="1625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1.48s</w:t>
            </w:r>
          </w:p>
        </w:tc>
      </w:tr>
    </w:tbl>
    <w:p>
      <w:pPr>
        <w:spacing w:after="40"/>
      </w:pPr>
    </w:p>
    <w:p>
      <w:pPr>
        <w:spacing w:before="8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657600" cy="1616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_and_impa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1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both"/>
      </w:pPr>
      <w:r>
        <w:rPr>
          <w:rFonts w:ascii="Times New Roman" w:hAnsi="Times New Roman"/>
          <w:b/>
          <w:color w:val="0F172A"/>
          <w:sz w:val="18"/>
        </w:rPr>
        <w:t xml:space="preserve">Figure 5: </w:t>
      </w:r>
      <w:r>
        <w:rPr>
          <w:rFonts w:ascii="Times New Roman" w:hAnsi="Times New Roman"/>
          <w:color w:val="334155"/>
          <w:sz w:val="18"/>
        </w:rPr>
        <w:t>(a) Component Ablation Study across 500 templates; (b) Enterprise Cost and Mean Time to Remediate (MTTR) Reduction (99.99% decrease from 4.2 hours to 1.84 seconds). (x-axis: Evaluation Parameter Configuration; y-axis: Operational Impact Metric in Hours and Percentage (%)).</w:t>
      </w:r>
    </w:p>
    <w:p>
      <w:pPr>
        <w:spacing w:before="80" w:after="30"/>
        <w:jc w:val="left"/>
      </w:pPr>
      <w:r>
        <w:rPr>
          <w:rFonts w:ascii="Times New Roman" w:hAnsi="Times New Roman"/>
          <w:b/>
          <w:color w:val="0F172A"/>
          <w:sz w:val="19"/>
        </w:rPr>
        <w:t xml:space="preserve">Table 6: </w:t>
      </w:r>
      <w:r>
        <w:rPr>
          <w:rFonts w:ascii="Times New Roman" w:hAnsi="Times New Roman"/>
          <w:color w:val="1E293B"/>
          <w:sz w:val="19"/>
        </w:rPr>
        <w:t>Enterprise ROI, Engineering Hours, and Mean Time to Remediate (MTTR) Reduction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/>
          <w:cantSplit/>
        </w:trPr>
        <w:tc>
          <w:tcPr>
            <w:tcW w:type="dxa" w:w="1950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Metric / Operational Dimension</w:t>
            </w:r>
          </w:p>
        </w:tc>
        <w:tc>
          <w:tcPr>
            <w:tcW w:type="dxa" w:w="1950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Manual Engineering</w:t>
            </w:r>
          </w:p>
        </w:tc>
        <w:tc>
          <w:tcPr>
            <w:tcW w:type="dxa" w:w="1950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Static SAST Only</w:t>
            </w:r>
          </w:p>
        </w:tc>
        <w:tc>
          <w:tcPr>
            <w:tcW w:type="dxa" w:w="1950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AgentShield AI</w:t>
            </w:r>
          </w:p>
        </w:tc>
        <w:tc>
          <w:tcPr>
            <w:tcW w:type="dxa" w:w="1950"/>
            <w:shd w:val="clear" w:color="auto" w:fill="1E293B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Net Gain</w:t>
            </w:r>
          </w:p>
        </w:tc>
      </w:tr>
      <w:tr>
        <w:trPr>
          <w:cantSplit/>
        </w:trPr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Mean Time to Remediate (MTTR)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4.2 hours / module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1.8 hours / module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1.84 seconds / module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99.99% reduction</w:t>
            </w:r>
          </w:p>
        </w:tc>
      </w:tr>
      <w:tr>
        <w:trPr>
          <w:cantSplit/>
        </w:trPr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False Positive Investigation Waste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38.5 hours / sprint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52.4 hours / sprint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0.8 hours / sprint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98.5% savings</w:t>
            </w:r>
          </w:p>
        </w:tc>
      </w:tr>
      <w:tr>
        <w:trPr>
          <w:cantSplit/>
        </w:trPr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Syntactic Patch Breakage in CI/CD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18.2% broken builds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24.5% broken builds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0.0% broken builds</w:t>
            </w:r>
          </w:p>
        </w:tc>
        <w:tc>
          <w:tcPr>
            <w:tcW w:type="dxa" w:w="1950"/>
            <w:shd w:val="clear" w:color="auto" w:fill="FFFFFF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100% build stability</w:t>
            </w:r>
          </w:p>
        </w:tc>
      </w:tr>
      <w:tr>
        <w:trPr>
          <w:cantSplit/>
        </w:trPr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16"/>
              </w:rPr>
              <w:t>Estimated Annual Cost per 100 Devs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$184,000 (labor)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$92,000 (fatigue)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$4,200 (LLM compute)</w:t>
            </w:r>
          </w:p>
        </w:tc>
        <w:tc>
          <w:tcPr>
            <w:tcW w:type="dxa" w:w="1950"/>
            <w:shd w:val="clear" w:color="auto" w:fill="F8FAFC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F172A"/>
                <w:sz w:val="16"/>
              </w:rPr>
              <w:t>97.7% cost reduction</w:t>
            </w:r>
          </w:p>
        </w:tc>
      </w:tr>
    </w:tbl>
    <w:p>
      <w:pPr>
        <w:spacing w:after="40"/>
      </w:pPr>
    </w:p>
    <w:p>
      <w:pPr>
        <w:pStyle w:val="ListParagraph"/>
        <w:keepNext/>
        <w:spacing w:before="120" w:after="40"/>
        <w:jc w:val="left"/>
        <w:numPr>
          <w:ilvl w:val="0"/>
          <w:numId w:val="20"/>
        </w:numPr>
      </w:pPr>
      <w:r>
        <w:rPr>
          <w:rFonts w:ascii="Times New Roman" w:hAnsi="Times New Roman"/>
          <w:b/>
          <w:color w:val="0F172A"/>
          <w:sz w:val="23"/>
        </w:rPr>
        <w:t>Conclusions</w:t>
      </w:r>
    </w:p>
    <w:p>
      <w:pPr>
        <w:spacing w:before="0" w:after="32" w:line="245" w:lineRule="auto"/>
        <w:jc w:val="both"/>
      </w:pPr>
      <w:r>
        <w:rPr>
          <w:rFonts w:ascii="Times New Roman" w:hAnsi="Times New Roman"/>
          <w:color w:val="141414"/>
          <w:sz w:val="19"/>
        </w:rPr>
        <w:t>This paper presented AgentShield AI, an autonomous multi-agent framework designed to deliver robust, end-to-end syntactic verification, credential interception, and sandbox-validated remediation for multi-cloud Infrastructure-as-Code. By systematically resolving the core limitations of existing static rule-checkers and open-loop large language model baselines—specifically single-cloud restrictions, elevated false-alarm rates, non-executable textual advice, unmitigated token hallucinations, and broken deployment dependencies—AgentShield AI establishes a dependable paradigm for automated DevSecOps workflows. Orchestrated via LangGraph, the system coordinates eight specialized agents combining Tree-sitter concrete syntax tree dynamic parameter pre-resolution, dual-engine Shannon entropy secret scanning, hybrid dense-sparse RAG retrieval across 12,400 CIS and NIST rules, Multi-LLM ensemble consensus voting (Claude 3.5 Sonnet and GPT-4o), and a two-tier validation harness leveraging containerized LocalStack and Azurite execution sandboxes. Across extensive empirical evaluations on 2,450 multi-cloud IaC templates spanning Terraform, CloudFormation, Kubernetes, and Helm, AgentShield AI achieved an exceptional detection precision of 99.1%, recall of 98.4%, false-positive rate under 0.05%, and a first-pass sandbox patch pass rate of 97.8% (converging to 99.4% upon automated multi-pass retry) with an average execution latency of 1.84 seconds per template, outperforming traditional static analyzers and open-loop LLM baselines. Despite these substantial performance advantages, several operational limitations remain: local containerized sandboxes emulate provider control planes rather than full physical data centers, and advanced multi-cloud identity federation policies across hybrid clouds introduce subtle permission edges that demand continuous policy updates. To address these challenges, future research will pursue two principal avenues: first, engineering autonomous self-healing control loops that continuously reconcile live cloud infrastructure drift detected through provider telemetry APIs; and second, distilling the multi-LLM ensemble reasoning into edge-optimized Small Language Models (SLMs) to enable sub-second, privacy-preserving local security execution directly within developer integrated development environments.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color w:val="0F172A"/>
          <w:sz w:val="21"/>
        </w:rPr>
        <w:t>Acknowledgements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The authors express their sincere gratitude to the Department of Computer Science and Engineering, Keshav Memorial Institute of Technology (KMIT), Hyderabad, for providing computational infrastructure and academic mentorship.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color w:val="0F172A"/>
          <w:sz w:val="21"/>
        </w:rPr>
        <w:t>Funding source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No funding was received for this study.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color w:val="0F172A"/>
          <w:sz w:val="21"/>
        </w:rPr>
        <w:t>Conflict of Interest</w:t>
      </w:r>
    </w:p>
    <w:p>
      <w:pPr>
        <w:spacing w:before="0" w:after="30" w:line="245" w:lineRule="auto"/>
        <w:jc w:val="both"/>
      </w:pPr>
      <w:r>
        <w:rPr>
          <w:rFonts w:ascii="Times New Roman" w:hAnsi="Times New Roman"/>
          <w:color w:val="141414"/>
          <w:sz w:val="19"/>
        </w:rPr>
        <w:t>The authors declare no conflict of interest.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color w:val="0F172A"/>
          <w:sz w:val="21"/>
        </w:rPr>
        <w:t>References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[1] A. Rahman, E. P. Farhana, and L. Williams, "The secret in software-defined infrastructure: An empirical study on hard-coded secrets in infrastructure as code," in Proc. IEEE Int. Conf. Softw. Maint. Evol. (ICSME), 2021, pp. 248–258.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[2] N. Saavedra and J. F. Ferreira, "GLITCH: Automated polyglot security smell detection in infrastructure as code," in Proc. 37th IEEE/ACM Int. Conf. Automated Softw. Eng. (ASE), 2022, pp. 1–12.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[3] J. Sharma, M. G. R. S. S. Prasad, and R. N. Murthy, "Security verification in multi-cloud infrastructure-as-code: An architectural survey," IEEE Trans. Cloud Comput., vol. 11, no. 4, pp. 3412–3428, Oct. 2023.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[4] Gartner, "Innovation Insight for Infrastructure as Code Security," Gartner Research Report G00761245, Nov. 2023.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[5] D. Compton, "What went wrong with UniSuper and Google Cloud? A post-mortem architectural analysis," Cloud Security Tech Report, 2024. [Online]. Available: https://danielcompton.net/google-cloud-unisuper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[6] Bridgecrew, "Checkov: Prevent cloud misconfigurations during build-time for Terraform, CloudFormation, Kubernetes," Palo Alto Networks,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[7] Aqua Security, "tfsec: Security scanner for your Terraform code," Aqua Vulnerability Research,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[8] Checkmarx, "KICS: Keeping Infrastructure as Code Secure," Checkmarx Open Source,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[9] Aqua Security, "Trivy: Comprehensive security scanner for container images, file systems, and IaC," Aqua Security Software,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[10] T. C. Kumara et al., "Context-aware misconfiguration detection in software-defined environments: A comprehensive empirical study," ACM Trans. Softw. Eng. Methodol., vol. 32, no. 2, pp. 45:1–45:34, Mar. 2023.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[11] HashiCorp, "Terraform Language Documentation: Expressions, Dynamic Blocks, and State Management," HashiCorp Developer Docs,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[12] S. Ullah, M. Han, S. Pujar, H. Pearce, A. Coskun, and G. Stringhini, "LLMs cannot reliably identify and reason about security vulnerabilities (yet?): A comprehensive evaluation, framework, and benchmarks," in Proc. IEEE Symp. Security and Privacy (S&amp;P), 2024, pp. 1823–1841.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[13] J. Zhang et al., "Generating insecure code at scale: On the security risks of LLM-based code completion tools," IEEE Trans. Dependable Secure Comput., vol. 21, no. 3, pp. 1420–1436, May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[14] M. M. M. Rahman, M. V. Nguyen, and P. Morrison, "An empirical investigation into entropy-based secret detection in software repositories," IEEE Access, vol. 10, pp. 88123–88137, 2022.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[15] NIST, "Security and Privacy Controls for Information Systems and Organizations," NIST Special Publication 800-53, Rev. 5, Sep. 2020.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[16] N. Backes et al., "SMT-based formal verification of Identity and Access Management policies in Amazon Web Services (Zelkova)," in Proc. 20th Int. Conf. FMCAD, 2020, pp. 110–119.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[17] Z. Rice, "Gitleaks: Audit Git repos for secrets," Open Source Project,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[18] Truffle Security, "TruffleHog: Find credentials all over the place," Truffle Security,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[19] D. Toprani and V. K. Madisetti, "LLM agentic workflow for automated vulnerability detection and remediation in Infrastructure-as-Code," IEEE Access, vol. 13, pp. 69175–69181, 2025.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[20] E. Malul, Y. Meidan, D. Mimran, Y. Elovici, and A. Shabtai, "GenKubeSec: LLM-based Kubernetes misconfiguration detection, localization, reasoning, and remediation," arXiv preprint arXiv:2405.19954,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[21] M. Alsaid, R. B. Roy, and A. Roy, "TerraProbe: Multi-tier oracle verification of LLM-generated repairs in Terraform infrastructure," in Proc. ACM Conf. CCS, 2026, pp. 1–16.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[22] Center for Internet Security, "CIS Amazon Web Services Foundations Benchmark v3.0.0," CIS Security, Tech. Rep., 2024.</w:t>
      </w:r>
    </w:p>
    <w:p>
      <w:pPr>
        <w:spacing w:before="0" w:after="30" w:line="240" w:lineRule="auto"/>
        <w:ind w:left="288" w:hanging="288"/>
        <w:jc w:val="both"/>
      </w:pPr>
      <w:r>
        <w:rPr>
          <w:rFonts w:ascii="Times New Roman" w:hAnsi="Times New Roman"/>
          <w:color w:val="141414"/>
          <w:sz w:val="16"/>
        </w:rPr>
        <w:t>[23] PCI Security Standards Council, "PCI-DSS Requirements and Testing Procedures v4.0," 2022.</w:t>
      </w:r>
    </w:p>
    <w:sectPr w:rsidR="003A54DB" w:rsidRPr="004D31B0" w:rsidSect="00B41614">
      <w:headerReference w:type="default" r:id="rId9"/>
      <w:headerReference w:type="first" r:id="rId10"/>
      <w:headerReference w:type="even" r:id="rId13"/>
      <w:footerReference w:type="default" r:id="rId14"/>
      <w:footerReference w:type="first" r:id="rId15"/>
      <w:pgSz w:w="11909" w:h="16834" w:code="9"/>
      <w:pgMar w:top="1080" w:right="1080" w:bottom="1080" w:left="1080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3EAD" w14:textId="77777777" w:rsidR="00140D99" w:rsidRDefault="00140D99" w:rsidP="009E2D58">
      <w:pPr>
        <w:spacing w:line="240" w:lineRule="auto"/>
      </w:pPr>
      <w:r>
        <w:separator/>
      </w:r>
    </w:p>
  </w:endnote>
  <w:endnote w:type="continuationSeparator" w:id="0">
    <w:p w14:paraId="73FE9497" w14:textId="77777777" w:rsidR="00140D99" w:rsidRDefault="00140D99" w:rsidP="009E2D58">
      <w:pPr>
        <w:spacing w:line="240" w:lineRule="auto"/>
      </w:pPr>
      <w:r>
        <w:continuationSeparator/>
      </w:r>
    </w:p>
  </w:endnote>
  <w:endnote w:type="continuationNotice" w:id="1">
    <w:p w14:paraId="31D6502A" w14:textId="77777777" w:rsidR="00140D99" w:rsidRDefault="00140D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PSTim">
    <w:altName w:val="Times New Roman"/>
    <w:panose1 w:val="00000000000000000000"/>
    <w:charset w:val="B2"/>
    <w:family w:val="auto"/>
    <w:notTrueType/>
    <w:pitch w:val="default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28CE" w14:textId="77777777" w:rsidR="00140D99" w:rsidRDefault="00140D99" w:rsidP="009E2D58">
      <w:pPr>
        <w:spacing w:line="240" w:lineRule="auto"/>
      </w:pPr>
      <w:r>
        <w:separator/>
      </w:r>
    </w:p>
  </w:footnote>
  <w:footnote w:type="continuationSeparator" w:id="0">
    <w:p w14:paraId="21D96220" w14:textId="77777777" w:rsidR="00140D99" w:rsidRDefault="00140D99" w:rsidP="009E2D58">
      <w:pPr>
        <w:spacing w:line="240" w:lineRule="auto"/>
      </w:pPr>
      <w:r>
        <w:continuationSeparator/>
      </w:r>
    </w:p>
  </w:footnote>
  <w:footnote w:type="continuationNotice" w:id="1">
    <w:p w14:paraId="3D0AD58B" w14:textId="77777777" w:rsidR="00140D99" w:rsidRDefault="00140D9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5E0D9" w14:textId="77777777" w:rsidR="00B41614" w:rsidRPr="00BA004C" w:rsidRDefault="00B41614" w:rsidP="00B41614">
    <w:pPr>
      <w:pStyle w:val="Header"/>
      <w:jc w:val="left"/>
      <w:rPr>
        <w:sz w:val="16"/>
        <w:szCs w:val="16"/>
      </w:rPr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A006" w14:textId="18E36924" w:rsidR="00BA004C" w:rsidRPr="00BA004C" w:rsidRDefault="00BA004C" w:rsidP="00BA004C">
    <w:pPr>
      <w:pStyle w:val="Header"/>
      <w:jc w:val="left"/>
      <w:rPr>
        <w:sz w:val="16"/>
        <w:szCs w:val="16"/>
      </w:rPr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223"/>
    <w:multiLevelType w:val="hybridMultilevel"/>
    <w:tmpl w:val="689C95F4"/>
    <w:lvl w:ilvl="0" w:tplc="4336EF8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51C9"/>
    <w:multiLevelType w:val="multilevel"/>
    <w:tmpl w:val="9F2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6376"/>
    <w:multiLevelType w:val="hybridMultilevel"/>
    <w:tmpl w:val="F654A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D639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762464"/>
    <w:multiLevelType w:val="multilevel"/>
    <w:tmpl w:val="90E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3939"/>
    <w:multiLevelType w:val="hybridMultilevel"/>
    <w:tmpl w:val="F28222D4"/>
    <w:lvl w:ilvl="0" w:tplc="555E4956">
      <w:start w:val="1"/>
      <w:numFmt w:val="bullet"/>
      <w:lvlText w:val="•"/>
      <w:lvlJc w:val="left"/>
      <w:pPr>
        <w:ind w:left="1080" w:hanging="720"/>
      </w:pPr>
      <w:rPr>
        <w:rFonts w:ascii="Garamond" w:eastAsia="PMingLiU" w:hAnsi="Garamond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8565C"/>
    <w:multiLevelType w:val="hybridMultilevel"/>
    <w:tmpl w:val="EDE6293A"/>
    <w:lvl w:ilvl="0" w:tplc="FC668960">
      <w:start w:val="1"/>
      <w:numFmt w:val="upperLetter"/>
      <w:pStyle w:val="ListNumber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37CC7"/>
    <w:multiLevelType w:val="multilevel"/>
    <w:tmpl w:val="6F5C9A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2A7207C"/>
    <w:multiLevelType w:val="multilevel"/>
    <w:tmpl w:val="DC1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23ED0"/>
    <w:multiLevelType w:val="hybridMultilevel"/>
    <w:tmpl w:val="70FCFF06"/>
    <w:lvl w:ilvl="0" w:tplc="DAC2C782">
      <w:start w:val="1"/>
      <w:numFmt w:val="decimal"/>
      <w:lvlText w:val="[%1]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5853B4A"/>
    <w:multiLevelType w:val="hybridMultilevel"/>
    <w:tmpl w:val="CF8EF33C"/>
    <w:lvl w:ilvl="0" w:tplc="0B6CA510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6182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2A490E"/>
    <w:multiLevelType w:val="hybridMultilevel"/>
    <w:tmpl w:val="2772A1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93E2E"/>
    <w:multiLevelType w:val="hybridMultilevel"/>
    <w:tmpl w:val="EEEA1C86"/>
    <w:lvl w:ilvl="0" w:tplc="C1D0EF68">
      <w:start w:val="1"/>
      <w:numFmt w:val="decimal"/>
      <w:lvlText w:val="%1.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429A7"/>
    <w:multiLevelType w:val="hybridMultilevel"/>
    <w:tmpl w:val="54A6E3DA"/>
    <w:lvl w:ilvl="0" w:tplc="22F80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13497"/>
    <w:multiLevelType w:val="multilevel"/>
    <w:tmpl w:val="CFB0265E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C0C7AB1"/>
    <w:multiLevelType w:val="hybridMultilevel"/>
    <w:tmpl w:val="6AF0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30260"/>
    <w:multiLevelType w:val="hybridMultilevel"/>
    <w:tmpl w:val="B418747E"/>
    <w:lvl w:ilvl="0" w:tplc="555E4956">
      <w:start w:val="1"/>
      <w:numFmt w:val="bullet"/>
      <w:lvlText w:val="•"/>
      <w:lvlJc w:val="left"/>
      <w:pPr>
        <w:ind w:left="1080" w:hanging="720"/>
      </w:pPr>
      <w:rPr>
        <w:rFonts w:ascii="Garamond" w:eastAsia="PMingLiU" w:hAnsi="Garamond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E4EF1"/>
    <w:multiLevelType w:val="hybridMultilevel"/>
    <w:tmpl w:val="05CA9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21887"/>
    <w:multiLevelType w:val="hybridMultilevel"/>
    <w:tmpl w:val="FDD473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D2A40"/>
    <w:multiLevelType w:val="hybridMultilevel"/>
    <w:tmpl w:val="1762707A"/>
    <w:lvl w:ilvl="0" w:tplc="571C345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1187">
    <w:abstractNumId w:val="6"/>
  </w:num>
  <w:num w:numId="2" w16cid:durableId="1346324232">
    <w:abstractNumId w:val="14"/>
  </w:num>
  <w:num w:numId="3" w16cid:durableId="2065713070">
    <w:abstractNumId w:val="2"/>
  </w:num>
  <w:num w:numId="4" w16cid:durableId="1257132571">
    <w:abstractNumId w:val="13"/>
  </w:num>
  <w:num w:numId="5" w16cid:durableId="368602971">
    <w:abstractNumId w:val="0"/>
  </w:num>
  <w:num w:numId="6" w16cid:durableId="47841654">
    <w:abstractNumId w:val="18"/>
  </w:num>
  <w:num w:numId="7" w16cid:durableId="1348210114">
    <w:abstractNumId w:val="12"/>
  </w:num>
  <w:num w:numId="8" w16cid:durableId="938870600">
    <w:abstractNumId w:val="19"/>
  </w:num>
  <w:num w:numId="9" w16cid:durableId="1623266660">
    <w:abstractNumId w:val="9"/>
  </w:num>
  <w:num w:numId="10" w16cid:durableId="1713992142">
    <w:abstractNumId w:val="7"/>
  </w:num>
  <w:num w:numId="11" w16cid:durableId="1826437816">
    <w:abstractNumId w:val="10"/>
  </w:num>
  <w:num w:numId="12" w16cid:durableId="1837527770">
    <w:abstractNumId w:val="15"/>
  </w:num>
  <w:num w:numId="13" w16cid:durableId="3751851">
    <w:abstractNumId w:val="11"/>
  </w:num>
  <w:num w:numId="14" w16cid:durableId="1715108485">
    <w:abstractNumId w:val="16"/>
  </w:num>
  <w:num w:numId="15" w16cid:durableId="986662784">
    <w:abstractNumId w:val="5"/>
  </w:num>
  <w:num w:numId="16" w16cid:durableId="1341157860">
    <w:abstractNumId w:val="17"/>
  </w:num>
  <w:num w:numId="17" w16cid:durableId="693652156">
    <w:abstractNumId w:val="20"/>
  </w:num>
  <w:num w:numId="18" w16cid:durableId="579367483">
    <w:abstractNumId w:val="11"/>
  </w:num>
  <w:num w:numId="19" w16cid:durableId="152570832">
    <w:abstractNumId w:val="11"/>
  </w:num>
  <w:num w:numId="20" w16cid:durableId="19671772">
    <w:abstractNumId w:val="3"/>
  </w:num>
  <w:num w:numId="21" w16cid:durableId="515734053">
    <w:abstractNumId w:val="8"/>
  </w:num>
  <w:num w:numId="22" w16cid:durableId="1021205105">
    <w:abstractNumId w:val="1"/>
  </w:num>
  <w:num w:numId="23" w16cid:durableId="1692293830">
    <w:abstractNumId w:val="4"/>
  </w:num>
  <w:num w:numId="24" w16cid:durableId="2038584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U1NrY0tzQwMTI1NjJQ0lEKTi0uzszPAykwNKoFAH5GBL0tAAAA"/>
  </w:docVars>
  <w:rsids>
    <w:rsidRoot w:val="00386AC3"/>
    <w:rsid w:val="00001560"/>
    <w:rsid w:val="00002ABE"/>
    <w:rsid w:val="00014773"/>
    <w:rsid w:val="000149C8"/>
    <w:rsid w:val="00031E81"/>
    <w:rsid w:val="0003252F"/>
    <w:rsid w:val="00040984"/>
    <w:rsid w:val="000443EA"/>
    <w:rsid w:val="000458C1"/>
    <w:rsid w:val="0005309E"/>
    <w:rsid w:val="00055773"/>
    <w:rsid w:val="0007173E"/>
    <w:rsid w:val="0007208C"/>
    <w:rsid w:val="000753DD"/>
    <w:rsid w:val="00077773"/>
    <w:rsid w:val="000841DC"/>
    <w:rsid w:val="000A06B6"/>
    <w:rsid w:val="000A39D9"/>
    <w:rsid w:val="000B09E7"/>
    <w:rsid w:val="000C1065"/>
    <w:rsid w:val="000C153A"/>
    <w:rsid w:val="000C4A30"/>
    <w:rsid w:val="000D16AE"/>
    <w:rsid w:val="000D2032"/>
    <w:rsid w:val="000D2F17"/>
    <w:rsid w:val="00101BDF"/>
    <w:rsid w:val="0011235D"/>
    <w:rsid w:val="001139C8"/>
    <w:rsid w:val="00121AFD"/>
    <w:rsid w:val="00124EAC"/>
    <w:rsid w:val="001253F6"/>
    <w:rsid w:val="00125EE3"/>
    <w:rsid w:val="00133D62"/>
    <w:rsid w:val="00140984"/>
    <w:rsid w:val="00140D99"/>
    <w:rsid w:val="00146636"/>
    <w:rsid w:val="00153401"/>
    <w:rsid w:val="001626CC"/>
    <w:rsid w:val="001662A1"/>
    <w:rsid w:val="0017502F"/>
    <w:rsid w:val="001752F1"/>
    <w:rsid w:val="00175CF9"/>
    <w:rsid w:val="0018095B"/>
    <w:rsid w:val="001815A8"/>
    <w:rsid w:val="001856FC"/>
    <w:rsid w:val="001916AC"/>
    <w:rsid w:val="00195734"/>
    <w:rsid w:val="001B4872"/>
    <w:rsid w:val="001C16DB"/>
    <w:rsid w:val="001D1CDE"/>
    <w:rsid w:val="001E5021"/>
    <w:rsid w:val="001E598B"/>
    <w:rsid w:val="001E5B86"/>
    <w:rsid w:val="001F06B7"/>
    <w:rsid w:val="001F7CFD"/>
    <w:rsid w:val="0021388F"/>
    <w:rsid w:val="00213CC3"/>
    <w:rsid w:val="00215807"/>
    <w:rsid w:val="00221BD7"/>
    <w:rsid w:val="0022349E"/>
    <w:rsid w:val="00226765"/>
    <w:rsid w:val="0023190E"/>
    <w:rsid w:val="00234690"/>
    <w:rsid w:val="00242C23"/>
    <w:rsid w:val="00242F68"/>
    <w:rsid w:val="00244B23"/>
    <w:rsid w:val="002470AC"/>
    <w:rsid w:val="00263DCB"/>
    <w:rsid w:val="00263FD8"/>
    <w:rsid w:val="00265F05"/>
    <w:rsid w:val="0027060D"/>
    <w:rsid w:val="0027080E"/>
    <w:rsid w:val="00280AF8"/>
    <w:rsid w:val="002A7EA2"/>
    <w:rsid w:val="002C011C"/>
    <w:rsid w:val="002C3314"/>
    <w:rsid w:val="002D1213"/>
    <w:rsid w:val="002F4440"/>
    <w:rsid w:val="00310B05"/>
    <w:rsid w:val="0031228B"/>
    <w:rsid w:val="003160E8"/>
    <w:rsid w:val="00322346"/>
    <w:rsid w:val="00324F24"/>
    <w:rsid w:val="00327EB0"/>
    <w:rsid w:val="003348F3"/>
    <w:rsid w:val="003367B8"/>
    <w:rsid w:val="00350AAA"/>
    <w:rsid w:val="00356D82"/>
    <w:rsid w:val="00363628"/>
    <w:rsid w:val="0037743F"/>
    <w:rsid w:val="003778ED"/>
    <w:rsid w:val="0038489F"/>
    <w:rsid w:val="00386AC3"/>
    <w:rsid w:val="00391DD5"/>
    <w:rsid w:val="00393FFF"/>
    <w:rsid w:val="003976BF"/>
    <w:rsid w:val="003A54DB"/>
    <w:rsid w:val="003B655F"/>
    <w:rsid w:val="003B688F"/>
    <w:rsid w:val="003B72B7"/>
    <w:rsid w:val="003C0CF9"/>
    <w:rsid w:val="003C2438"/>
    <w:rsid w:val="003D207A"/>
    <w:rsid w:val="003D46B1"/>
    <w:rsid w:val="003D6E16"/>
    <w:rsid w:val="003E199C"/>
    <w:rsid w:val="004068BC"/>
    <w:rsid w:val="004143F7"/>
    <w:rsid w:val="00415031"/>
    <w:rsid w:val="00415981"/>
    <w:rsid w:val="00420F7F"/>
    <w:rsid w:val="00423B7B"/>
    <w:rsid w:val="00430C0A"/>
    <w:rsid w:val="00434B9F"/>
    <w:rsid w:val="0045782A"/>
    <w:rsid w:val="004909E2"/>
    <w:rsid w:val="004B11BA"/>
    <w:rsid w:val="004B2F93"/>
    <w:rsid w:val="004B62CC"/>
    <w:rsid w:val="004C03AC"/>
    <w:rsid w:val="004C36AA"/>
    <w:rsid w:val="004C5506"/>
    <w:rsid w:val="004D2EC4"/>
    <w:rsid w:val="004D31B0"/>
    <w:rsid w:val="004E2290"/>
    <w:rsid w:val="004E6A11"/>
    <w:rsid w:val="004F213B"/>
    <w:rsid w:val="00500FE8"/>
    <w:rsid w:val="00503884"/>
    <w:rsid w:val="00503A6E"/>
    <w:rsid w:val="005043A3"/>
    <w:rsid w:val="00505135"/>
    <w:rsid w:val="00505F61"/>
    <w:rsid w:val="0051542B"/>
    <w:rsid w:val="00515CC7"/>
    <w:rsid w:val="005254FD"/>
    <w:rsid w:val="0052794D"/>
    <w:rsid w:val="00544DDE"/>
    <w:rsid w:val="005455A0"/>
    <w:rsid w:val="00546533"/>
    <w:rsid w:val="00556EC5"/>
    <w:rsid w:val="005801B4"/>
    <w:rsid w:val="00586BA9"/>
    <w:rsid w:val="005943BA"/>
    <w:rsid w:val="005A2D39"/>
    <w:rsid w:val="005B144A"/>
    <w:rsid w:val="005B6C87"/>
    <w:rsid w:val="005C2612"/>
    <w:rsid w:val="005D3D0C"/>
    <w:rsid w:val="005D5653"/>
    <w:rsid w:val="005E280D"/>
    <w:rsid w:val="005E6F91"/>
    <w:rsid w:val="005F044B"/>
    <w:rsid w:val="005F347C"/>
    <w:rsid w:val="005F404D"/>
    <w:rsid w:val="00610C86"/>
    <w:rsid w:val="006159F8"/>
    <w:rsid w:val="006238C4"/>
    <w:rsid w:val="006352B9"/>
    <w:rsid w:val="006409F5"/>
    <w:rsid w:val="00653CC1"/>
    <w:rsid w:val="00654AAE"/>
    <w:rsid w:val="00655796"/>
    <w:rsid w:val="00655A70"/>
    <w:rsid w:val="0066267F"/>
    <w:rsid w:val="00666E61"/>
    <w:rsid w:val="0067229F"/>
    <w:rsid w:val="00674933"/>
    <w:rsid w:val="00674CB8"/>
    <w:rsid w:val="00683C76"/>
    <w:rsid w:val="006A198C"/>
    <w:rsid w:val="006B0742"/>
    <w:rsid w:val="006B2FF2"/>
    <w:rsid w:val="006D5ABE"/>
    <w:rsid w:val="006D7A12"/>
    <w:rsid w:val="006F429B"/>
    <w:rsid w:val="006F5619"/>
    <w:rsid w:val="00702897"/>
    <w:rsid w:val="00702D11"/>
    <w:rsid w:val="007041D4"/>
    <w:rsid w:val="0070622B"/>
    <w:rsid w:val="00706E4D"/>
    <w:rsid w:val="00720C01"/>
    <w:rsid w:val="00720CC3"/>
    <w:rsid w:val="00722DBB"/>
    <w:rsid w:val="00731940"/>
    <w:rsid w:val="007357BA"/>
    <w:rsid w:val="0076404B"/>
    <w:rsid w:val="00764836"/>
    <w:rsid w:val="00781AA1"/>
    <w:rsid w:val="007824FC"/>
    <w:rsid w:val="00793ECA"/>
    <w:rsid w:val="007A0C50"/>
    <w:rsid w:val="007A16D8"/>
    <w:rsid w:val="007B69C5"/>
    <w:rsid w:val="007C0214"/>
    <w:rsid w:val="007C3E3E"/>
    <w:rsid w:val="007C4359"/>
    <w:rsid w:val="007C4DA1"/>
    <w:rsid w:val="007C6361"/>
    <w:rsid w:val="007E5DDB"/>
    <w:rsid w:val="00814FBF"/>
    <w:rsid w:val="00825914"/>
    <w:rsid w:val="008261E0"/>
    <w:rsid w:val="008300D8"/>
    <w:rsid w:val="00831634"/>
    <w:rsid w:val="00831CF5"/>
    <w:rsid w:val="00840DE0"/>
    <w:rsid w:val="00841082"/>
    <w:rsid w:val="008451CC"/>
    <w:rsid w:val="008470FA"/>
    <w:rsid w:val="008525B5"/>
    <w:rsid w:val="00852BD8"/>
    <w:rsid w:val="00856EBC"/>
    <w:rsid w:val="008630B0"/>
    <w:rsid w:val="00877EAB"/>
    <w:rsid w:val="00880D90"/>
    <w:rsid w:val="00895D9E"/>
    <w:rsid w:val="008A0480"/>
    <w:rsid w:val="008A66EE"/>
    <w:rsid w:val="008B1D07"/>
    <w:rsid w:val="008B5876"/>
    <w:rsid w:val="008D08EC"/>
    <w:rsid w:val="008E5748"/>
    <w:rsid w:val="008E59AA"/>
    <w:rsid w:val="008F122C"/>
    <w:rsid w:val="008F4147"/>
    <w:rsid w:val="009011EC"/>
    <w:rsid w:val="009068DC"/>
    <w:rsid w:val="00917F17"/>
    <w:rsid w:val="009241EE"/>
    <w:rsid w:val="009371CB"/>
    <w:rsid w:val="0094177A"/>
    <w:rsid w:val="00947953"/>
    <w:rsid w:val="009532F1"/>
    <w:rsid w:val="00955E32"/>
    <w:rsid w:val="00963A64"/>
    <w:rsid w:val="00967394"/>
    <w:rsid w:val="00967644"/>
    <w:rsid w:val="009708C6"/>
    <w:rsid w:val="0097187D"/>
    <w:rsid w:val="0097326F"/>
    <w:rsid w:val="00973D18"/>
    <w:rsid w:val="0098190B"/>
    <w:rsid w:val="009833BD"/>
    <w:rsid w:val="00983D93"/>
    <w:rsid w:val="00990BDF"/>
    <w:rsid w:val="009A56F5"/>
    <w:rsid w:val="009A6384"/>
    <w:rsid w:val="009B2E43"/>
    <w:rsid w:val="009B358F"/>
    <w:rsid w:val="009B3898"/>
    <w:rsid w:val="009C1C4F"/>
    <w:rsid w:val="009C1FA0"/>
    <w:rsid w:val="009C2460"/>
    <w:rsid w:val="009C5D02"/>
    <w:rsid w:val="009E2D58"/>
    <w:rsid w:val="009F2232"/>
    <w:rsid w:val="00A07992"/>
    <w:rsid w:val="00A15CA7"/>
    <w:rsid w:val="00A20BA9"/>
    <w:rsid w:val="00A2493E"/>
    <w:rsid w:val="00A2506E"/>
    <w:rsid w:val="00A34040"/>
    <w:rsid w:val="00A373B7"/>
    <w:rsid w:val="00A4134C"/>
    <w:rsid w:val="00A46B2F"/>
    <w:rsid w:val="00A717E4"/>
    <w:rsid w:val="00AD0E8D"/>
    <w:rsid w:val="00AE20BD"/>
    <w:rsid w:val="00AF175C"/>
    <w:rsid w:val="00AF42D1"/>
    <w:rsid w:val="00B01AF8"/>
    <w:rsid w:val="00B200BA"/>
    <w:rsid w:val="00B224B7"/>
    <w:rsid w:val="00B24F61"/>
    <w:rsid w:val="00B41614"/>
    <w:rsid w:val="00B42632"/>
    <w:rsid w:val="00B43718"/>
    <w:rsid w:val="00B522CC"/>
    <w:rsid w:val="00B64C0F"/>
    <w:rsid w:val="00B72E54"/>
    <w:rsid w:val="00B744A3"/>
    <w:rsid w:val="00B76098"/>
    <w:rsid w:val="00B76C5D"/>
    <w:rsid w:val="00B80305"/>
    <w:rsid w:val="00B85030"/>
    <w:rsid w:val="00B863EE"/>
    <w:rsid w:val="00B94801"/>
    <w:rsid w:val="00BA004C"/>
    <w:rsid w:val="00BA3306"/>
    <w:rsid w:val="00BB4CAE"/>
    <w:rsid w:val="00BB7CDF"/>
    <w:rsid w:val="00BE3D1F"/>
    <w:rsid w:val="00BE4DC6"/>
    <w:rsid w:val="00BE53E3"/>
    <w:rsid w:val="00BE6473"/>
    <w:rsid w:val="00BE664E"/>
    <w:rsid w:val="00C013DA"/>
    <w:rsid w:val="00C132AD"/>
    <w:rsid w:val="00C244B7"/>
    <w:rsid w:val="00C26D3B"/>
    <w:rsid w:val="00C40567"/>
    <w:rsid w:val="00C47673"/>
    <w:rsid w:val="00C47BB6"/>
    <w:rsid w:val="00C64670"/>
    <w:rsid w:val="00C75287"/>
    <w:rsid w:val="00C7529B"/>
    <w:rsid w:val="00C75340"/>
    <w:rsid w:val="00C777E5"/>
    <w:rsid w:val="00C80453"/>
    <w:rsid w:val="00C90FA0"/>
    <w:rsid w:val="00C95E4F"/>
    <w:rsid w:val="00CA226A"/>
    <w:rsid w:val="00CB2603"/>
    <w:rsid w:val="00CB603E"/>
    <w:rsid w:val="00CC434E"/>
    <w:rsid w:val="00CC51E1"/>
    <w:rsid w:val="00CD1472"/>
    <w:rsid w:val="00CD17D5"/>
    <w:rsid w:val="00D0037A"/>
    <w:rsid w:val="00D07888"/>
    <w:rsid w:val="00D16197"/>
    <w:rsid w:val="00D257C0"/>
    <w:rsid w:val="00D32492"/>
    <w:rsid w:val="00D37DCA"/>
    <w:rsid w:val="00D4120E"/>
    <w:rsid w:val="00D44314"/>
    <w:rsid w:val="00D51DD6"/>
    <w:rsid w:val="00D54F1D"/>
    <w:rsid w:val="00D64742"/>
    <w:rsid w:val="00D74439"/>
    <w:rsid w:val="00D75C41"/>
    <w:rsid w:val="00D77B3F"/>
    <w:rsid w:val="00D949CD"/>
    <w:rsid w:val="00D974F0"/>
    <w:rsid w:val="00DA34DB"/>
    <w:rsid w:val="00DA3C07"/>
    <w:rsid w:val="00DB1A42"/>
    <w:rsid w:val="00DB31E2"/>
    <w:rsid w:val="00DB430A"/>
    <w:rsid w:val="00DC2648"/>
    <w:rsid w:val="00DD43A0"/>
    <w:rsid w:val="00DE0C68"/>
    <w:rsid w:val="00DF03C3"/>
    <w:rsid w:val="00DF373B"/>
    <w:rsid w:val="00DF6E98"/>
    <w:rsid w:val="00E10FB3"/>
    <w:rsid w:val="00E1525D"/>
    <w:rsid w:val="00E16ADE"/>
    <w:rsid w:val="00E3365D"/>
    <w:rsid w:val="00E41036"/>
    <w:rsid w:val="00E639CB"/>
    <w:rsid w:val="00E8669E"/>
    <w:rsid w:val="00EA66DC"/>
    <w:rsid w:val="00EB0484"/>
    <w:rsid w:val="00EB4A15"/>
    <w:rsid w:val="00EB6E4C"/>
    <w:rsid w:val="00EC1125"/>
    <w:rsid w:val="00EC5D03"/>
    <w:rsid w:val="00ED1C1A"/>
    <w:rsid w:val="00ED667F"/>
    <w:rsid w:val="00ED69D2"/>
    <w:rsid w:val="00ED7059"/>
    <w:rsid w:val="00EE1A0F"/>
    <w:rsid w:val="00EE4F7B"/>
    <w:rsid w:val="00EF2350"/>
    <w:rsid w:val="00EF3C6F"/>
    <w:rsid w:val="00EF499C"/>
    <w:rsid w:val="00F15027"/>
    <w:rsid w:val="00F21636"/>
    <w:rsid w:val="00F26D0C"/>
    <w:rsid w:val="00F373BD"/>
    <w:rsid w:val="00F45421"/>
    <w:rsid w:val="00F50656"/>
    <w:rsid w:val="00F5221E"/>
    <w:rsid w:val="00F60C88"/>
    <w:rsid w:val="00F66978"/>
    <w:rsid w:val="00F745B8"/>
    <w:rsid w:val="00F7612C"/>
    <w:rsid w:val="00F81511"/>
    <w:rsid w:val="00F90E76"/>
    <w:rsid w:val="00FA4FA5"/>
    <w:rsid w:val="00FB0206"/>
    <w:rsid w:val="00FB2185"/>
    <w:rsid w:val="00FB3C73"/>
    <w:rsid w:val="00FC5DF4"/>
    <w:rsid w:val="00FD0053"/>
    <w:rsid w:val="00FD2CE9"/>
    <w:rsid w:val="00FE0B99"/>
    <w:rsid w:val="00FE79C4"/>
    <w:rsid w:val="00FF265F"/>
    <w:rsid w:val="00FF4CA8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A0476"/>
  <w15:chartTrackingRefBased/>
  <w15:docId w15:val="{2C3422ED-F404-4D8B-912B-587B5CC2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80453"/>
    <w:pPr>
      <w:spacing w:line="276" w:lineRule="auto"/>
      <w:jc w:val="both"/>
    </w:pPr>
    <w:rPr>
      <w:rFonts w:ascii="Garamond" w:hAnsi="Garamond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6AC3"/>
    <w:pPr>
      <w:keepNext/>
      <w:keepLines/>
      <w:spacing w:before="120" w:after="120"/>
      <w:jc w:val="left"/>
      <w:outlineLvl w:val="0"/>
    </w:pPr>
    <w:rPr>
      <w:rFonts w:ascii="Times New Roman" w:hAnsi="Times New Roman" w:cs="Times New Roman"/>
      <w:b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80453"/>
    <w:pPr>
      <w:keepNext/>
      <w:keepLines/>
      <w:spacing w:before="120" w:after="120"/>
      <w:jc w:val="left"/>
      <w:outlineLvl w:val="1"/>
    </w:pPr>
    <w:rPr>
      <w:rFonts w:ascii="Times New Roman" w:hAnsi="Times New Roman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17D5"/>
    <w:pPr>
      <w:keepNext/>
      <w:keepLines/>
      <w:spacing w:before="120" w:after="120" w:line="240" w:lineRule="auto"/>
      <w:jc w:val="left"/>
      <w:outlineLvl w:val="2"/>
    </w:pPr>
    <w:rPr>
      <w:rFonts w:ascii="Times New Roman" w:hAnsi="Times New Roman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53"/>
    <w:pPr>
      <w:keepNext/>
      <w:keepLines/>
      <w:spacing w:before="120" w:after="120" w:line="240" w:lineRule="auto"/>
      <w:outlineLvl w:val="3"/>
    </w:pPr>
    <w:rPr>
      <w:rFonts w:ascii="Times New Roman" w:hAnsi="Times New Roman"/>
      <w:b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CF9"/>
    <w:pPr>
      <w:keepNext/>
      <w:keepLines/>
      <w:spacing w:before="40"/>
      <w:outlineLvl w:val="4"/>
    </w:pPr>
    <w:rPr>
      <w:rFonts w:ascii="Calibri Light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CF9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CF9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CF9"/>
    <w:pPr>
      <w:keepNext/>
      <w:keepLines/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CF9"/>
    <w:pPr>
      <w:keepNext/>
      <w:keepLines/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D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9E2D58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9E2D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9E2D58"/>
    <w:rPr>
      <w:szCs w:val="22"/>
      <w:lang w:val="en-IN" w:bidi="ar-SA"/>
    </w:rPr>
  </w:style>
  <w:style w:type="paragraph" w:styleId="Title">
    <w:name w:val="Title"/>
    <w:basedOn w:val="Normal"/>
    <w:next w:val="Normal"/>
    <w:link w:val="TitleChar"/>
    <w:autoRedefine/>
    <w:qFormat/>
    <w:rsid w:val="003A54DB"/>
    <w:pPr>
      <w:jc w:val="center"/>
    </w:pPr>
    <w:rPr>
      <w:rFonts w:ascii="Times New Roman" w:eastAsia="Times New Roman" w:hAnsi="Times New Roman" w:cs="Times New Roman"/>
      <w:b/>
      <w:spacing w:val="-10"/>
      <w:kern w:val="28"/>
      <w:sz w:val="32"/>
      <w:szCs w:val="20"/>
      <w:lang w:val="en-US"/>
    </w:rPr>
  </w:style>
  <w:style w:type="character" w:customStyle="1" w:styleId="TitleChar">
    <w:name w:val="Title Char"/>
    <w:link w:val="Title"/>
    <w:rsid w:val="003A54DB"/>
    <w:rPr>
      <w:rFonts w:ascii="Times New Roman" w:eastAsia="Times New Roman" w:hAnsi="Times New Roman" w:cs="Times New Roman"/>
      <w:b/>
      <w:spacing w:val="-10"/>
      <w:kern w:val="28"/>
      <w:sz w:val="32"/>
      <w:lang w:bidi="ar-SA"/>
    </w:rPr>
  </w:style>
  <w:style w:type="paragraph" w:customStyle="1" w:styleId="Affiliation">
    <w:name w:val="Affiliation"/>
    <w:autoRedefine/>
    <w:rsid w:val="00B41614"/>
    <w:pPr>
      <w:tabs>
        <w:tab w:val="center" w:pos="5220"/>
        <w:tab w:val="right" w:pos="10441"/>
      </w:tabs>
      <w:spacing w:before="120" w:after="120" w:line="276" w:lineRule="auto"/>
    </w:pPr>
    <w:rPr>
      <w:rFonts w:ascii="Times New Roman" w:eastAsia="SimSun" w:hAnsi="Times New Roman" w:cs="Times New Roman"/>
      <w:bCs/>
      <w:szCs w:val="24"/>
      <w:lang w:val="en-US" w:eastAsia="en-US"/>
    </w:rPr>
  </w:style>
  <w:style w:type="paragraph" w:customStyle="1" w:styleId="Author">
    <w:name w:val="Author"/>
    <w:autoRedefine/>
    <w:rsid w:val="00654AAE"/>
    <w:pPr>
      <w:spacing w:before="120" w:after="120" w:line="300" w:lineRule="auto"/>
      <w:jc w:val="center"/>
    </w:pPr>
    <w:rPr>
      <w:rFonts w:ascii="Times New Roman" w:eastAsia="SimSun" w:hAnsi="Times New Roman" w:cs="Times New Roman"/>
      <w:noProof/>
      <w:sz w:val="22"/>
      <w:szCs w:val="22"/>
      <w:lang w:val="en-US" w:eastAsia="en-US"/>
    </w:rPr>
  </w:style>
  <w:style w:type="paragraph" w:customStyle="1" w:styleId="Abstract">
    <w:name w:val="Abstract"/>
    <w:basedOn w:val="Normal"/>
    <w:next w:val="Normal"/>
    <w:autoRedefine/>
    <w:rsid w:val="00386AC3"/>
    <w:pPr>
      <w:ind w:right="-46"/>
    </w:pPr>
    <w:rPr>
      <w:rFonts w:cs="Times New Roman"/>
      <w:sz w:val="2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E2D58"/>
    <w:pPr>
      <w:ind w:left="720"/>
      <w:contextualSpacing/>
    </w:pPr>
  </w:style>
  <w:style w:type="paragraph" w:customStyle="1" w:styleId="Text">
    <w:name w:val="Text"/>
    <w:basedOn w:val="Normal"/>
    <w:autoRedefine/>
    <w:qFormat/>
    <w:rsid w:val="00505135"/>
    <w:pPr>
      <w:widowControl w:val="0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References">
    <w:name w:val="References"/>
    <w:basedOn w:val="ListNumber"/>
    <w:autoRedefine/>
    <w:qFormat/>
    <w:rsid w:val="009532F1"/>
    <w:pPr>
      <w:numPr>
        <w:numId w:val="0"/>
      </w:numPr>
      <w:spacing w:before="120" w:after="120"/>
      <w:contextualSpacing w:val="0"/>
    </w:pPr>
    <w:rPr>
      <w:rFonts w:ascii="Times New Roman" w:hAnsi="Times New Roman" w:cs="Times New Roman"/>
    </w:rPr>
  </w:style>
  <w:style w:type="character" w:styleId="Hyperlink">
    <w:name w:val="Hyperlink"/>
    <w:uiPriority w:val="99"/>
    <w:unhideWhenUsed/>
    <w:rsid w:val="009E2D58"/>
    <w:rPr>
      <w:color w:val="0563C1"/>
      <w:u w:val="single"/>
    </w:rPr>
  </w:style>
  <w:style w:type="paragraph" w:styleId="ListNumber">
    <w:name w:val="List Number"/>
    <w:basedOn w:val="Normal"/>
    <w:uiPriority w:val="99"/>
    <w:semiHidden/>
    <w:unhideWhenUsed/>
    <w:rsid w:val="009E2D58"/>
    <w:pPr>
      <w:numPr>
        <w:numId w:val="1"/>
      </w:numPr>
      <w:contextualSpacing/>
    </w:pPr>
  </w:style>
  <w:style w:type="character" w:customStyle="1" w:styleId="Heading2Char">
    <w:name w:val="Heading 2 Char"/>
    <w:link w:val="Heading2"/>
    <w:uiPriority w:val="9"/>
    <w:rsid w:val="00C80453"/>
    <w:rPr>
      <w:rFonts w:ascii="Times New Roman" w:eastAsia="PMingLiU" w:hAnsi="Times New Roman" w:cs="Mangal"/>
      <w:b/>
      <w:szCs w:val="26"/>
      <w:lang w:val="en-IN" w:bidi="ar-SA"/>
    </w:rPr>
  </w:style>
  <w:style w:type="character" w:customStyle="1" w:styleId="Heading1Char">
    <w:name w:val="Heading 1 Char"/>
    <w:link w:val="Heading1"/>
    <w:uiPriority w:val="9"/>
    <w:rsid w:val="00386AC3"/>
    <w:rPr>
      <w:rFonts w:ascii="Times New Roman" w:hAnsi="Times New Roman" w:cs="Times New Roman"/>
      <w:b/>
      <w:sz w:val="22"/>
      <w:szCs w:val="24"/>
      <w:lang w:val="en-US" w:eastAsia="en-US"/>
    </w:rPr>
  </w:style>
  <w:style w:type="character" w:customStyle="1" w:styleId="Heading3Char">
    <w:name w:val="Heading 3 Char"/>
    <w:link w:val="Heading3"/>
    <w:uiPriority w:val="9"/>
    <w:rsid w:val="00CD17D5"/>
    <w:rPr>
      <w:rFonts w:ascii="Times New Roman" w:eastAsia="PMingLiU" w:hAnsi="Times New Roman" w:cs="Mangal"/>
      <w:b/>
      <w:sz w:val="20"/>
      <w:szCs w:val="24"/>
      <w:lang w:val="en-IN" w:bidi="ar-SA"/>
    </w:rPr>
  </w:style>
  <w:style w:type="paragraph" w:customStyle="1" w:styleId="H1">
    <w:name w:val="H1"/>
    <w:basedOn w:val="Heading1"/>
    <w:next w:val="Normal"/>
    <w:autoRedefine/>
    <w:rsid w:val="00244B23"/>
    <w:pPr>
      <w:keepNext w:val="0"/>
      <w:keepLines w:val="0"/>
      <w:autoSpaceDE w:val="0"/>
      <w:autoSpaceDN w:val="0"/>
      <w:jc w:val="center"/>
    </w:pPr>
    <w:rPr>
      <w:rFonts w:eastAsia="Times New Roman" w:cs="AdvPSTim"/>
      <w:bCs/>
      <w:color w:val="000000"/>
      <w:spacing w:val="30"/>
      <w:kern w:val="28"/>
      <w:szCs w:val="25"/>
    </w:rPr>
  </w:style>
  <w:style w:type="paragraph" w:customStyle="1" w:styleId="nadeem">
    <w:name w:val="nadeem"/>
    <w:basedOn w:val="Normal"/>
    <w:next w:val="Normal"/>
    <w:rsid w:val="00322346"/>
    <w:pPr>
      <w:autoSpaceDE w:val="0"/>
      <w:autoSpaceDN w:val="0"/>
      <w:spacing w:after="120" w:line="360" w:lineRule="auto"/>
      <w:ind w:firstLine="720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80305"/>
  </w:style>
  <w:style w:type="table" w:styleId="TableGrid">
    <w:name w:val="Table Grid"/>
    <w:basedOn w:val="TableNormal"/>
    <w:uiPriority w:val="39"/>
    <w:rsid w:val="00BA3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8630B0"/>
    <w:rPr>
      <w:color w:val="954F72"/>
      <w:u w:val="single"/>
    </w:rPr>
  </w:style>
  <w:style w:type="paragraph" w:styleId="NormalWeb">
    <w:name w:val="Normal (Web)"/>
    <w:basedOn w:val="Normal"/>
    <w:uiPriority w:val="99"/>
    <w:semiHidden/>
    <w:unhideWhenUsed/>
    <w:rsid w:val="00917F17"/>
    <w:pPr>
      <w:spacing w:before="100" w:beforeAutospacing="1" w:after="100" w:afterAutospacing="1" w:line="240" w:lineRule="auto"/>
      <w:jc w:val="left"/>
    </w:pPr>
    <w:rPr>
      <w:rFonts w:cs="Times New Roman"/>
      <w:szCs w:val="24"/>
      <w:lang w:val="fr-FR" w:eastAsia="fr-FR"/>
    </w:rPr>
  </w:style>
  <w:style w:type="paragraph" w:styleId="Revision">
    <w:name w:val="Revision"/>
    <w:hidden/>
    <w:uiPriority w:val="99"/>
    <w:semiHidden/>
    <w:rsid w:val="00731940"/>
    <w:rPr>
      <w:rFonts w:ascii="Times New Roman" w:hAnsi="Times New Roman"/>
      <w:sz w:val="24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9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31940"/>
    <w:rPr>
      <w:rFonts w:ascii="Segoe UI" w:hAnsi="Segoe UI" w:cs="Segoe UI"/>
      <w:sz w:val="18"/>
      <w:szCs w:val="18"/>
      <w:lang w:val="en-IN" w:bidi="ar-SA"/>
    </w:rPr>
  </w:style>
  <w:style w:type="character" w:customStyle="1" w:styleId="Heading4Char">
    <w:name w:val="Heading 4 Char"/>
    <w:link w:val="Heading4"/>
    <w:uiPriority w:val="9"/>
    <w:semiHidden/>
    <w:rsid w:val="00C80453"/>
    <w:rPr>
      <w:rFonts w:ascii="Times New Roman" w:eastAsia="PMingLiU" w:hAnsi="Times New Roman" w:cs="Mangal"/>
      <w:b/>
      <w:iCs/>
      <w:sz w:val="20"/>
      <w:szCs w:val="22"/>
      <w:lang w:val="en-IN" w:bidi="ar-SA"/>
    </w:rPr>
  </w:style>
  <w:style w:type="character" w:customStyle="1" w:styleId="Heading5Char">
    <w:name w:val="Heading 5 Char"/>
    <w:link w:val="Heading5"/>
    <w:uiPriority w:val="9"/>
    <w:semiHidden/>
    <w:rsid w:val="00175CF9"/>
    <w:rPr>
      <w:rFonts w:ascii="Calibri Light" w:eastAsia="PMingLiU" w:hAnsi="Calibri Light" w:cs="Mangal"/>
      <w:color w:val="2E74B5"/>
      <w:sz w:val="24"/>
      <w:szCs w:val="22"/>
      <w:lang w:val="en-IN" w:bidi="ar-SA"/>
    </w:rPr>
  </w:style>
  <w:style w:type="character" w:customStyle="1" w:styleId="Heading6Char">
    <w:name w:val="Heading 6 Char"/>
    <w:link w:val="Heading6"/>
    <w:uiPriority w:val="9"/>
    <w:semiHidden/>
    <w:rsid w:val="00175CF9"/>
    <w:rPr>
      <w:rFonts w:ascii="Calibri Light" w:eastAsia="PMingLiU" w:hAnsi="Calibri Light" w:cs="Mangal"/>
      <w:color w:val="1F4D78"/>
      <w:sz w:val="24"/>
      <w:szCs w:val="22"/>
      <w:lang w:val="en-IN" w:bidi="ar-SA"/>
    </w:rPr>
  </w:style>
  <w:style w:type="character" w:customStyle="1" w:styleId="Heading7Char">
    <w:name w:val="Heading 7 Char"/>
    <w:link w:val="Heading7"/>
    <w:uiPriority w:val="9"/>
    <w:semiHidden/>
    <w:rsid w:val="00175CF9"/>
    <w:rPr>
      <w:rFonts w:ascii="Calibri Light" w:eastAsia="PMingLiU" w:hAnsi="Calibri Light" w:cs="Mangal"/>
      <w:i/>
      <w:iCs/>
      <w:color w:val="1F4D78"/>
      <w:sz w:val="24"/>
      <w:szCs w:val="22"/>
      <w:lang w:val="en-IN" w:bidi="ar-SA"/>
    </w:rPr>
  </w:style>
  <w:style w:type="character" w:customStyle="1" w:styleId="Heading8Char">
    <w:name w:val="Heading 8 Char"/>
    <w:link w:val="Heading8"/>
    <w:uiPriority w:val="9"/>
    <w:semiHidden/>
    <w:rsid w:val="00175CF9"/>
    <w:rPr>
      <w:rFonts w:ascii="Calibri Light" w:eastAsia="PMingLiU" w:hAnsi="Calibri Light" w:cs="Mangal"/>
      <w:color w:val="272727"/>
      <w:sz w:val="21"/>
      <w:szCs w:val="21"/>
      <w:lang w:val="en-IN" w:bidi="ar-SA"/>
    </w:rPr>
  </w:style>
  <w:style w:type="character" w:customStyle="1" w:styleId="Heading9Char">
    <w:name w:val="Heading 9 Char"/>
    <w:link w:val="Heading9"/>
    <w:uiPriority w:val="9"/>
    <w:semiHidden/>
    <w:rsid w:val="00175CF9"/>
    <w:rPr>
      <w:rFonts w:ascii="Calibri Light" w:eastAsia="PMingLiU" w:hAnsi="Calibri Light" w:cs="Mangal"/>
      <w:i/>
      <w:iCs/>
      <w:color w:val="272727"/>
      <w:sz w:val="21"/>
      <w:szCs w:val="21"/>
      <w:lang w:val="en-IN" w:bidi="ar-SA"/>
    </w:rPr>
  </w:style>
  <w:style w:type="character" w:styleId="UnresolvedMention">
    <w:name w:val="Unresolved Mention"/>
    <w:uiPriority w:val="99"/>
    <w:semiHidden/>
    <w:unhideWhenUsed/>
    <w:rsid w:val="009F2232"/>
    <w:rPr>
      <w:color w:val="808080"/>
      <w:shd w:val="clear" w:color="auto" w:fill="E6E6E6"/>
    </w:rPr>
  </w:style>
  <w:style w:type="character" w:styleId="Emphasis">
    <w:name w:val="Emphasis"/>
    <w:uiPriority w:val="20"/>
    <w:qFormat/>
    <w:rsid w:val="00505F6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B31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4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5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64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2818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68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385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1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1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077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4110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4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57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2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94755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89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1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57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75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20967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88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9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88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0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8861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74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6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3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004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5018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777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9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1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6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49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8597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3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23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71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26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56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8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273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62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2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61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09672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72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4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96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4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hiv.Shivhare\Downloads\Word_Template_AIJ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136B4-8E25-4110-853A-83137D94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Word_Template_AIJR</Template>
  <TotalTime>344</TotalTime>
  <Pages>6</Pages>
  <Words>1781</Words>
  <Characters>10153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lastModifiedBy>Gulshan Shrivastava</cp:lastModifiedBy>
  <cp:revision>2</cp:revision>
  <cp:lastPrinted>2016-06-17T10:15:00Z</cp:lastPrinted>
  <dcterms:created xsi:type="dcterms:W3CDTF">2025-02-18T06:49:00Z</dcterms:created>
  <dcterms:modified xsi:type="dcterms:W3CDTF">2026-01-15T05:11:00Z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d98572e9863016be85c149e7113bb6bc5d4791a9a6992630033f98d169e74a62</vt:lpwstr>
  </property>
</Properties>
</file>