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sz w:val="36"/>
        </w:rPr>
        <w:t>AgentShield AI: Autonomous Multi-Agent Framework for Multi-Cloud Infrastructure-as-Code Security</w:t>
      </w:r>
    </w:p>
    <w:p>
      <w:pPr>
        <w:spacing w:after="200"/>
        <w:jc w:val="center"/>
      </w:pPr>
      <w:r>
        <w:rPr>
          <w:rFonts w:ascii="Times New Roman" w:hAnsi="Times New Roman"/>
          <w:i/>
          <w:color w:val="333333"/>
          <w:sz w:val="22"/>
        </w:rPr>
        <w:t>Context-Aware Vulnerability Detection, AST Parameter Pre-Evaluation, and Containerized Sandbox Patch Remediation</w:t>
      </w:r>
    </w:p>
    <w:tbl>
      <w:tblPr>
        <w:tblW w:type="auto" w:w="0"/>
        <w:jc w:val="center"/>
        <w:tblLook w:firstColumn="1" w:firstRow="1" w:lastColumn="0" w:lastRow="0" w:noHBand="0" w:noVBand="1" w:val="04A0"/>
      </w:tblPr>
      <w:tblGrid>
        <w:gridCol w:w="2520"/>
        <w:gridCol w:w="2520"/>
        <w:gridCol w:w="2520"/>
        <w:gridCol w:w="2520"/>
      </w:tblGrid>
      <w:tr>
        <w:tc>
          <w:tcPr>
            <w:tcW w:type="dxa" w:w="2520"/>
          </w:tcPr>
          <w:p>
            <w:pPr>
              <w:spacing w:after="40"/>
              <w:jc w:val="center"/>
            </w:pPr>
            <w:r>
              <w:rPr>
                <w:rFonts w:ascii="Times New Roman" w:hAnsi="Times New Roman"/>
                <w:b/>
                <w:sz w:val="19"/>
              </w:rPr>
              <w:t>Anisha Paturi</w:t>
              <w:br/>
            </w:r>
            <w:r>
              <w:rPr>
                <w:rFonts w:ascii="Times New Roman" w:hAnsi="Times New Roman"/>
                <w:i/>
                <w:color w:val="444444"/>
                <w:sz w:val="17"/>
              </w:rPr>
              <w:t>Student, Dept of CSE</w:t>
              <w:br/>
              <w:t>Keshav Memorial Institute of Technology</w:t>
              <w:br/>
              <w:t>Telangana, India</w:t>
              <w:br/>
              <w:t>paturi.anisha@gmail.com</w:t>
            </w:r>
          </w:p>
        </w:tc>
        <w:tc>
          <w:tcPr>
            <w:tcW w:type="dxa" w:w="2520"/>
          </w:tcPr>
          <w:p>
            <w:pPr>
              <w:spacing w:after="40"/>
              <w:jc w:val="center"/>
            </w:pPr>
            <w:r>
              <w:rPr>
                <w:rFonts w:ascii="Times New Roman" w:hAnsi="Times New Roman"/>
                <w:b/>
                <w:sz w:val="19"/>
              </w:rPr>
              <w:t>Parinamika Bhanu</w:t>
              <w:br/>
            </w:r>
            <w:r>
              <w:rPr>
                <w:rFonts w:ascii="Times New Roman" w:hAnsi="Times New Roman"/>
                <w:i/>
                <w:color w:val="444444"/>
                <w:sz w:val="17"/>
              </w:rPr>
              <w:t>Student, Dept of CSE</w:t>
              <w:br/>
              <w:t>Keshav Memorial Institute of Technology</w:t>
              <w:br/>
              <w:t>Telangana, India</w:t>
              <w:br/>
              <w:t>parinamikabhanu@gmail.com</w:t>
            </w:r>
          </w:p>
        </w:tc>
        <w:tc>
          <w:tcPr>
            <w:tcW w:type="dxa" w:w="2520"/>
          </w:tcPr>
          <w:p>
            <w:pPr>
              <w:spacing w:after="40"/>
              <w:jc w:val="center"/>
            </w:pPr>
            <w:r>
              <w:rPr>
                <w:rFonts w:ascii="Times New Roman" w:hAnsi="Times New Roman"/>
                <w:b/>
                <w:sz w:val="19"/>
              </w:rPr>
              <w:t>Vahini Venkata</w:t>
              <w:br/>
            </w:r>
            <w:r>
              <w:rPr>
                <w:rFonts w:ascii="Times New Roman" w:hAnsi="Times New Roman"/>
                <w:i/>
                <w:color w:val="444444"/>
                <w:sz w:val="17"/>
              </w:rPr>
              <w:t>Student, Dept of CSE</w:t>
              <w:br/>
              <w:t>Keshav Memorial Institute of Technology</w:t>
              <w:br/>
              <w:t>Telangana, India</w:t>
              <w:br/>
              <w:t>vahinivenkatac@gmail.com</w:t>
            </w:r>
          </w:p>
        </w:tc>
        <w:tc>
          <w:tcPr>
            <w:tcW w:type="dxa" w:w="2520"/>
          </w:tcPr>
          <w:p>
            <w:pPr>
              <w:spacing w:after="40"/>
              <w:jc w:val="center"/>
            </w:pPr>
            <w:r>
              <w:rPr>
                <w:rFonts w:ascii="Times New Roman" w:hAnsi="Times New Roman"/>
                <w:b/>
                <w:sz w:val="19"/>
              </w:rPr>
              <w:t>Sravani Janak</w:t>
              <w:br/>
            </w:r>
            <w:r>
              <w:rPr>
                <w:rFonts w:ascii="Times New Roman" w:hAnsi="Times New Roman"/>
                <w:i/>
                <w:color w:val="444444"/>
                <w:sz w:val="17"/>
              </w:rPr>
              <w:t>Student, Dept of CSE</w:t>
              <w:br/>
              <w:t>Keshav Memorial Institute of Technology</w:t>
              <w:br/>
              <w:t>Telangana, India</w:t>
              <w:br/>
              <w:t>sravanijanak@gmail.com</w:t>
            </w:r>
          </w:p>
        </w:tc>
      </w:tr>
    </w:tbl>
    <w:p>
      <w:pPr>
        <w:spacing w:after="120"/>
      </w:pPr>
    </w:p>
    <w:p>
      <w:pPr>
        <w:sectPr>
          <w:pgSz w:w="12240" w:h="15840"/>
          <w:pgMar w:top="1080" w:right="1080" w:bottom="1080" w:left="1080" w:header="720" w:footer="720" w:gutter="0"/>
          <w:cols w:space="720"/>
          <w:docGrid w:linePitch="360"/>
        </w:sectPr>
      </w:pPr>
    </w:p>
    <w:p>
      <w:pPr>
        <w:spacing w:before="80" w:after="40"/>
        <w:jc w:val="left"/>
      </w:pPr>
      <w:r>
        <w:rPr>
          <w:rFonts w:ascii="Times New Roman" w:hAnsi="Times New Roman"/>
          <w:b/>
          <w:sz w:val="21"/>
        </w:rPr>
        <w:t>ABSTRACT</w:t>
      </w:r>
    </w:p>
    <w:p>
      <w:pPr>
        <w:spacing w:after="80" w:line="269" w:lineRule="auto"/>
        <w:jc w:val="both"/>
      </w:pPr>
      <w:r>
        <w:rPr>
          <w:rFonts w:ascii="Times New Roman" w:hAnsi="Times New Roman"/>
          <w:i/>
          <w:sz w:val="18"/>
        </w:rPr>
        <w:t>Infrastructure-as-Code (IaC) templates—such as HashiCorp Terraform, AWS CloudFormation, Kubernetes Manifests, and Helm Charts—enable automated multi-cloud resource provisioning across Amazon Web Services, Microsoft Azure, and Google Cloud Platform. However, security misconfigurations and embedded secrets introduced within templates propagate silently into production cloud environments, creating severe security vulnerabilities. Existing static code checkers rely on rigid rule packs that produce high false-positive rates on parameterized code, whereas Cloud Security Posture Management (CSPM) tools operate post-deployment ("Shift-Right"). Recent Large Language Model (LLM) workflows demonstrate semantic reasoning capabilities for IaC analysis (e.g., Toprani &amp; Madisetti, IEEE Access 2025 [1]); however, existing state-of-the-art approaches remain restricted to single-cloud scope (AWS CloudFormation only), exhibit high false-positive rates (~15%), output non-executable text suggestions, omit embedded secret scanning, and lack patch verification mechanisms. This paper presents AgentShield AI, an autonomous multi-agent framework orchestrated via LangGraph for comprehensive multi-cloud IaC security. AgentShield AI coordinates 8 specialized AI agents across a closed-loop stateful workflow: Manager/Router, Hybrid AST Parser, Secrets Scanner, RAG Query Agent, Security Analyst Agent with Multi-LLM Ensemble Voting (Claude 3.5 Sonnet + GPT-4o), Human Security Audit Queue, Auto-Patch Remediation Agent, and Code &amp; Sandbox Validator Agent. By integrating Abstract Syntax Tree (AST) parameter pre-evaluation, Gitleaks credential scanning, dual-model consensus voting, syntactically verified diff patch generation, LocalStack runtime sandbox testing, and automated compliance crosswalking (SOC 2, HIPAA, PCI-DSS, NIST 800-53), AgentShield AI eliminates model hallucinations and delivers zero-breakage executable code patches. Empirical evaluation across 120 heterogeneous multi-cloud IaC templates demonstrates a detection rate of 96.2%, a false-positive rate of 2.4%, a patch pass rate of 94.8%, and automated credential interception, significantly outperforming traditional static linters and single-agent baseline LLM workflows.</w:t>
      </w:r>
    </w:p>
    <w:p>
      <w:pPr>
        <w:spacing w:after="200"/>
        <w:jc w:val="both"/>
      </w:pPr>
      <w:r>
        <w:rPr>
          <w:rFonts w:ascii="Times New Roman" w:hAnsi="Times New Roman"/>
          <w:b/>
          <w:sz w:val="18"/>
        </w:rPr>
        <w:t xml:space="preserve">Keywords— </w:t>
      </w:r>
      <w:r>
        <w:rPr>
          <w:rFonts w:ascii="Times New Roman" w:hAnsi="Times New Roman"/>
          <w:i/>
          <w:sz w:val="18"/>
        </w:rPr>
        <w:t>Infrastructure-as-Code (IaC), Multi-Agent AI Systems, Large Language Models (LLMs), LangGraph, Retrieval-Augmented Generation (RAG), Multi-Cloud Security, Automated Remediation, LocalStack Sandbox, DevSecOps.</w:t>
      </w:r>
    </w:p>
    <w:p>
      <w:pPr>
        <w:keepNext/>
        <w:spacing w:before="240" w:after="60"/>
        <w:jc w:val="left"/>
      </w:pPr>
      <w:r>
        <w:rPr>
          <w:rFonts w:ascii="Times New Roman" w:hAnsi="Times New Roman"/>
          <w:b/>
          <w:color w:val="002060"/>
          <w:sz w:val="21"/>
        </w:rPr>
        <w:t>I. INTRODUCTION</w:t>
      </w:r>
    </w:p>
    <w:p>
      <w:pPr>
        <w:spacing w:after="60" w:line="269" w:lineRule="auto"/>
        <w:jc w:val="both"/>
      </w:pPr>
      <w:r>
        <w:rPr>
          <w:rFonts w:ascii="Times New Roman" w:hAnsi="Times New Roman"/>
          <w:sz w:val="19"/>
        </w:rPr>
        <w:t>Infrastructure-as-Code (IaC) has fundamentally transformed modern cloud engineering by enabling declarative, version-controlled provisioning of virtual machines, container clusters, network security groups, and cloud storage. Engineering teams extensively rely on multi-cloud IaC templates—such as HashiCorp Terraform (HCL2), AWS CloudFormation (JSON/YAML), Kubernetes Manifests, and Helm Charts—to deploy complex infrastructure across Amazon Web Services (AWS), Microsoft Azure, and Google Cloud Platform (GCP). While IaC significantly enhances operational velocity and repeatability, security misconfigurations and hardcoded credentials introduced at the template level automatically replicate across production cloud environments at scale. Recent foundational research by Toprani and Madisetti [1] demonstrated the viability of utilizing Large Language Models (LLMs) to perform context-aware security analysis on CloudFormation templates, highlighting the critical necessity of shifting security left prior to deployment.</w:t>
      </w:r>
    </w:p>
    <w:p>
      <w:pPr>
        <w:spacing w:after="60" w:line="269" w:lineRule="auto"/>
        <w:jc w:val="both"/>
      </w:pPr>
      <w:r>
        <w:rPr>
          <w:rFonts w:ascii="Times New Roman" w:hAnsi="Times New Roman"/>
          <w:sz w:val="19"/>
        </w:rPr>
        <w:t>Traditional automated approaches to IaC security fall into static code linters and rule-based analyzers, such as Checkov, tfsec, KICS, and GLITCH [2]. These static linters evaluate IaC source files by parsing code into syntactic tokens and evaluating them against static regex rule packs. While static linters offer low execution latency, they suffer from severe context blindness. When processing production IaC modules containing dynamic variable references, external values files, or conditional resource creation flags (e.g., 'count' or 'for_each'), static analyzers fail to resolve dynamic runtime states. Consequently, they generate elevated false-positive rates (ranging from 25% to 40%) and fail to detect compound, multi-resource vulnerability vectors [2].</w:t>
      </w:r>
    </w:p>
    <w:p>
      <w:pPr>
        <w:spacing w:after="60" w:line="269" w:lineRule="auto"/>
        <w:jc w:val="both"/>
      </w:pPr>
      <w:r>
        <w:rPr>
          <w:rFonts w:ascii="Times New Roman" w:hAnsi="Times New Roman"/>
          <w:sz w:val="19"/>
        </w:rPr>
        <w:t>To mitigate rule rigidity within specific containerized orchestration domains, specialized machine learning and language model frameworks have been explored. For instance, GenKubeSec introduced by Malul et al. [3] demonstrated LLM-driven misconfiguration detection, localization, and reasoning specifically tailored for Kubernetes manifests. Their work proved that semantic language models can understand contextual dependency graphs across multi-container deployment specifications that static linters miss.</w:t>
      </w:r>
    </w:p>
    <w:p>
      <w:pPr>
        <w:spacing w:after="60" w:line="269" w:lineRule="auto"/>
        <w:jc w:val="both"/>
      </w:pPr>
      <w:r>
        <w:rPr>
          <w:rFonts w:ascii="Times New Roman" w:hAnsi="Times New Roman"/>
          <w:sz w:val="19"/>
        </w:rPr>
        <w:t>Expanding beyond single-platform container configurations, Lian et al. [4] developed Ciri, a configuration validation framework leveraging large language models to identify semantic misconfigurations and parameter conflicts across enterprise software systems. Ciri demonstrated that deep natural language understanding can validate software configuration intent against human specification docs.</w:t>
      </w:r>
    </w:p>
    <w:p>
      <w:pPr>
        <w:spacing w:after="60" w:line="269" w:lineRule="auto"/>
        <w:jc w:val="both"/>
      </w:pPr>
      <w:r>
        <w:rPr>
          <w:rFonts w:ascii="Times New Roman" w:hAnsi="Times New Roman"/>
          <w:sz w:val="19"/>
        </w:rPr>
        <w:t>In a parallel study targeting application packaging specifications, Minna et al. [5] conducted an empirical security audit of Helm charts hosted on Artifact Hub. Their research evaluated how large language models could automatically identify security smells, overly permissive container capabilities, and unencrypted secrets embedded within complex Helm chart values templates [5].</w:t>
      </w:r>
    </w:p>
    <w:p>
      <w:pPr>
        <w:spacing w:after="60" w:line="269" w:lineRule="auto"/>
        <w:jc w:val="both"/>
      </w:pPr>
      <w:r>
        <w:rPr>
          <w:rFonts w:ascii="Times New Roman" w:hAnsi="Times New Roman"/>
          <w:sz w:val="19"/>
        </w:rPr>
        <w:t>Despite these promising domain-specific applications, unguided language models introduce substantial security risks when deployed in production SecOps pipelines. As systematically evaluated by Ullah et al. [6], off-the-shelf LLMs cannot reliably reason about security vulnerabilities in isolation. Without structured domain grounding, single-model LLM inference suffers from high hallucination rates, incorrect vulnerability localization, and the generation of invalid remediation code [6].</w:t>
      </w:r>
    </w:p>
    <w:p>
      <w:pPr>
        <w:spacing w:after="60" w:line="269" w:lineRule="auto"/>
        <w:jc w:val="both"/>
      </w:pPr>
      <w:r>
        <w:rPr>
          <w:rFonts w:ascii="Times New Roman" w:hAnsi="Times New Roman"/>
          <w:sz w:val="19"/>
        </w:rPr>
        <w:t>The real-world consequences of unmitigated IaC template flaws in production are catastrophic. A prominent example is the UniSuper Google Cloud private cloud deletion incident, analyzed by Compton [7], where a single control plane configuration misconfiguration resulted in the automated deletion of an entire enterprise private cloud infrastructure. Other frequent IaC misconfigurations include unencrypted S3 buckets, public database endpoints, exposed Identity and Access Management (IAM) wildcard policies ('Action': '*'), open security group ingress ports ('0.0.0.0/0'), and unrotated API credentials embedded directly in source code.</w:t>
      </w:r>
    </w:p>
    <w:p>
      <w:pPr>
        <w:spacing w:after="60" w:line="269" w:lineRule="auto"/>
        <w:jc w:val="both"/>
      </w:pPr>
      <w:r>
        <w:rPr>
          <w:rFonts w:ascii="Times New Roman" w:hAnsi="Times New Roman"/>
          <w:sz w:val="19"/>
        </w:rPr>
        <w:t>To prevent such enterprise security breaches, IaC security frameworks must strictly enforce established cloud security benchmarks and regulatory compliance standards. The AWS Well-Architected Framework [8] defines foundational security pillars for cloud architecture. Similarly, the Center for Internet Security (CIS) Benchmarks [9] provide prescriptive configuration guidelines across AWS, Azure, and GCP. For infrastructure automation engines, HashiCorp's Terraform Security Best Practices [10] recommend rigorous variable pre-evaluation and static policy checks. From a compliance perspective, enterprise cloud infrastructure must continuously conform to NIST SP 800-53 controls [11] for federal systems and PCI-DSS v4.0 standards [12] for credit card data environments.</w:t>
      </w:r>
    </w:p>
    <w:p>
      <w:pPr>
        <w:keepNext/>
        <w:spacing w:before="160" w:after="40"/>
        <w:jc w:val="left"/>
      </w:pPr>
      <w:r>
        <w:rPr>
          <w:rFonts w:ascii="Times New Roman" w:hAnsi="Times New Roman"/>
          <w:b/>
          <w:i/>
          <w:color w:val="222222"/>
          <w:sz w:val="20"/>
        </w:rPr>
        <w:t>A. Limitations of Existing IaC Security Paradigms</w:t>
      </w:r>
    </w:p>
    <w:p>
      <w:pPr>
        <w:spacing w:after="60" w:line="269" w:lineRule="auto"/>
        <w:jc w:val="both"/>
      </w:pPr>
      <w:r>
        <w:rPr>
          <w:rFonts w:ascii="Times New Roman" w:hAnsi="Times New Roman"/>
          <w:sz w:val="19"/>
        </w:rPr>
        <w:t>Current enterprise approaches to IaC security rely on two primary paradigms, both of which exhibit fundamental structural drawbacks:</w:t>
      </w:r>
    </w:p>
    <w:p>
      <w:pPr>
        <w:spacing w:after="60" w:line="269" w:lineRule="auto"/>
        <w:jc w:val="both"/>
      </w:pPr>
      <w:r>
        <w:rPr>
          <w:rFonts w:ascii="Times New Roman" w:hAnsi="Times New Roman"/>
          <w:b/>
          <w:sz w:val="19"/>
        </w:rPr>
        <w:t xml:space="preserve">1) Static Code Linters (Shift-Left, Context-Blind): </w:t>
      </w:r>
      <w:r>
        <w:rPr>
          <w:rFonts w:ascii="Times New Roman" w:hAnsi="Times New Roman"/>
          <w:sz w:val="19"/>
        </w:rPr>
        <w:t>Linters such as Checkov, tfsec, and KICS parse raw IaC text into Abstract Syntax Trees to evaluate static pattern rules [2]. Although fast, linters cannot evaluate dynamic variable assignments, conditional resource blocks ('count', 'for_each'), or multi-file dependencies. This produces overwhelming false-positive rates on enterprise code bases.</w:t>
      </w:r>
    </w:p>
    <w:p>
      <w:pPr>
        <w:spacing w:after="60" w:line="269" w:lineRule="auto"/>
        <w:jc w:val="both"/>
      </w:pPr>
      <w:r>
        <w:rPr>
          <w:rFonts w:ascii="Times New Roman" w:hAnsi="Times New Roman"/>
          <w:b/>
          <w:sz w:val="19"/>
        </w:rPr>
        <w:t xml:space="preserve">2) Cloud Security Posture Management (CSPM): </w:t>
      </w:r>
      <w:r>
        <w:rPr>
          <w:rFonts w:ascii="Times New Roman" w:hAnsi="Times New Roman"/>
          <w:sz w:val="19"/>
        </w:rPr>
        <w:t>CSPM tools like AWS Config and Prisma Cloud monitor live cloud infrastructure post-provisioning [8]. Operating strictly post-deployment, CSPMs identify vulnerabilities only after non-compliant assets are live in production, exposing organizations to active zero-day exploitation risks.</w:t>
      </w:r>
    </w:p>
    <w:p>
      <w:pPr>
        <w:keepNext/>
        <w:spacing w:before="160" w:after="40"/>
        <w:jc w:val="left"/>
      </w:pPr>
      <w:r>
        <w:rPr>
          <w:rFonts w:ascii="Times New Roman" w:hAnsi="Times New Roman"/>
          <w:b/>
          <w:i/>
          <w:color w:val="222222"/>
          <w:sz w:val="20"/>
        </w:rPr>
        <w:t>B. Motivation &amp; Research Gaps in Baseline Research</w:t>
      </w:r>
    </w:p>
    <w:p>
      <w:pPr>
        <w:spacing w:after="60" w:line="269" w:lineRule="auto"/>
        <w:jc w:val="both"/>
      </w:pPr>
      <w:r>
        <w:rPr>
          <w:rFonts w:ascii="Times New Roman" w:hAnsi="Times New Roman"/>
          <w:sz w:val="19"/>
        </w:rPr>
        <w:t>To overcome static rule rigidity, recent research introduced LLM-based agentic workflows. Toprani &amp; Madisetti (IEEE Access 2025) [1] proposed a 3-agent LLM workflow using Anthropic Claude 3.5 Sonnet and AWS OpenSearch to analyze AWS CloudFormation templates. While proving that LLMs can reason about IaC security, deep architectural analysis reveals six critical research gaps that impede enterprise adoption:</w:t>
      </w:r>
    </w:p>
    <w:p>
      <w:pPr>
        <w:spacing w:after="60" w:line="269" w:lineRule="auto"/>
        <w:jc w:val="both"/>
      </w:pPr>
      <w:r>
        <w:rPr>
          <w:rFonts w:ascii="Times New Roman" w:hAnsi="Times New Roman"/>
          <w:sz w:val="19"/>
        </w:rPr>
        <w:t>• Single-Cloud Restriction: Restricted exclusively to AWS CloudFormation templates; completely lacks multi-cloud support (Azure, GCP) and dominant IaC languages (Terraform HCL2, Kubernetes, Helm) [1].</w:t>
      </w:r>
    </w:p>
    <w:p>
      <w:pPr>
        <w:spacing w:after="60" w:line="269" w:lineRule="auto"/>
        <w:jc w:val="both"/>
      </w:pPr>
      <w:r>
        <w:rPr>
          <w:rFonts w:ascii="Times New Roman" w:hAnsi="Times New Roman"/>
          <w:sz w:val="19"/>
        </w:rPr>
        <w:t>• Parameterized Code Failure: Fails to pre-evaluate dynamic variable parameters and conditional module instantiations, producing false alarms or missing conditional attack paths [1].</w:t>
      </w:r>
    </w:p>
    <w:p>
      <w:pPr>
        <w:spacing w:after="60" w:line="269" w:lineRule="auto"/>
        <w:jc w:val="both"/>
      </w:pPr>
      <w:r>
        <w:rPr>
          <w:rFonts w:ascii="Times New Roman" w:hAnsi="Times New Roman"/>
          <w:sz w:val="19"/>
        </w:rPr>
        <w:t>• Text-Only Natural Language Remediation: Outputs generic conversational advice (e.g., 'Enable S3 encryption') rather than generating syntactically valid executable code diff patches [1].</w:t>
      </w:r>
    </w:p>
    <w:p>
      <w:pPr>
        <w:spacing w:after="60" w:line="269" w:lineRule="auto"/>
        <w:jc w:val="both"/>
      </w:pPr>
      <w:r>
        <w:rPr>
          <w:rFonts w:ascii="Times New Roman" w:hAnsi="Times New Roman"/>
          <w:sz w:val="19"/>
        </w:rPr>
        <w:t>• High False-Positive Rate (~15%): Relies on single-LLM inference, making the system highly vulnerable to model hallucinations and unverified findings [1].</w:t>
      </w:r>
    </w:p>
    <w:p>
      <w:pPr>
        <w:spacing w:after="60" w:line="269" w:lineRule="auto"/>
        <w:jc w:val="both"/>
      </w:pPr>
      <w:r>
        <w:rPr>
          <w:rFonts w:ascii="Times New Roman" w:hAnsi="Times New Roman"/>
          <w:sz w:val="19"/>
        </w:rPr>
        <w:t>• Missing Secret Interception Engine: Pipeline contains no mechanisms to intercept hardcoded API keys, JWT tokens, or RSA certificates embedded in IaC code [1].</w:t>
      </w:r>
    </w:p>
    <w:p>
      <w:pPr>
        <w:spacing w:after="60" w:line="269" w:lineRule="auto"/>
        <w:jc w:val="both"/>
      </w:pPr>
      <w:r>
        <w:rPr>
          <w:rFonts w:ascii="Times New Roman" w:hAnsi="Times New Roman"/>
          <w:sz w:val="19"/>
        </w:rPr>
        <w:t>• Zero Patch Validation: Generated remediation suggestions are never validated against static compilers or containerized sandbox deployment environments [1].</w:t>
      </w:r>
    </w:p>
    <w:p>
      <w:pPr>
        <w:keepNext/>
        <w:spacing w:before="160" w:after="40"/>
        <w:jc w:val="left"/>
      </w:pPr>
      <w:r>
        <w:rPr>
          <w:rFonts w:ascii="Times New Roman" w:hAnsi="Times New Roman"/>
          <w:b/>
          <w:i/>
          <w:color w:val="222222"/>
          <w:sz w:val="20"/>
        </w:rPr>
        <w:t>C. Core Technical Contributions of AgentShield AI</w:t>
      </w:r>
    </w:p>
    <w:p>
      <w:pPr>
        <w:spacing w:after="60" w:line="269" w:lineRule="auto"/>
        <w:jc w:val="both"/>
      </w:pPr>
      <w:r>
        <w:rPr>
          <w:rFonts w:ascii="Times New Roman" w:hAnsi="Times New Roman"/>
          <w:sz w:val="19"/>
        </w:rPr>
        <w:t>AgentShield AI systematically resolves these six baseline limitations through an autonomous 8-agent LangGraph orchestration network. The primary contributions of this paper are summarized as follows:</w:t>
      </w:r>
    </w:p>
    <w:p>
      <w:pPr>
        <w:spacing w:after="60" w:line="269" w:lineRule="auto"/>
        <w:jc w:val="both"/>
      </w:pPr>
      <w:r>
        <w:rPr>
          <w:rFonts w:ascii="Times New Roman" w:hAnsi="Times New Roman"/>
          <w:sz w:val="19"/>
        </w:rPr>
        <w:t>1) Heterogeneous Multi-Cloud Polyglot Engine: Supports HashiCorp Terraform (HCL2), AWS CloudFormation (JSON/YAML), Kubernetes Manifests, and Helm Charts across AWS, Azure, and GCP.</w:t>
      </w:r>
    </w:p>
    <w:p>
      <w:pPr>
        <w:spacing w:after="60" w:line="269" w:lineRule="auto"/>
        <w:jc w:val="both"/>
      </w:pPr>
      <w:r>
        <w:rPr>
          <w:rFonts w:ascii="Times New Roman" w:hAnsi="Times New Roman"/>
          <w:sz w:val="19"/>
        </w:rPr>
        <w:t>2) Hybrid AST Parameter Resolution Engine: Pre-evaluates dynamic variable assignments, local variables, and conditional blocks prior to LLM reasoning, eliminating parameterized context blindness [1].</w:t>
      </w:r>
    </w:p>
    <w:p>
      <w:pPr>
        <w:spacing w:after="60" w:line="269" w:lineRule="auto"/>
        <w:jc w:val="both"/>
      </w:pPr>
      <w:r>
        <w:rPr>
          <w:rFonts w:ascii="Times New Roman" w:hAnsi="Times New Roman"/>
          <w:sz w:val="19"/>
        </w:rPr>
        <w:t>3) Multi-LLM Ensemble Consensus Voting: Combines Anthropic Claude 3.5 Sonnet and OpenAI GPT-4o with Chain-of-Thought voting, reducing false positives from 15% to under 2.4%.</w:t>
      </w:r>
    </w:p>
    <w:p>
      <w:pPr>
        <w:spacing w:after="60" w:line="269" w:lineRule="auto"/>
        <w:jc w:val="both"/>
      </w:pPr>
      <w:r>
        <w:rPr>
          <w:rFonts w:ascii="Times New Roman" w:hAnsi="Times New Roman"/>
          <w:sz w:val="19"/>
        </w:rPr>
        <w:t>4) Containerized LocalStack Sandbox Validation Harness: Validates generated unified code diff patches through static linters and containerized LocalStack dry-run deployments, achieving a 94.8% Patch Pass Rate.</w:t>
      </w:r>
    </w:p>
    <w:p>
      <w:pPr>
        <w:spacing w:after="60" w:line="269" w:lineRule="auto"/>
        <w:jc w:val="both"/>
      </w:pPr>
      <w:r>
        <w:rPr>
          <w:rFonts w:ascii="Times New Roman" w:hAnsi="Times New Roman"/>
          <w:sz w:val="19"/>
        </w:rPr>
        <w:t>5) Embedded Secrets Interception Agent: Integrates Gitleaks and TruffleHog scanning engines directly into the multi-agent graph, achieving 100% credential interception.</w:t>
      </w:r>
    </w:p>
    <w:p>
      <w:pPr>
        <w:spacing w:after="60" w:line="269" w:lineRule="auto"/>
        <w:jc w:val="both"/>
      </w:pPr>
      <w:r>
        <w:rPr>
          <w:rFonts w:ascii="Times New Roman" w:hAnsi="Times New Roman"/>
          <w:sz w:val="19"/>
        </w:rPr>
        <w:t>6) Automated Regulatory Compliance Crosswalking: Automatically maps identified misconfigurations to exact compliance control IDs across SOC 2, HIPAA, PCI-DSS v4.0 [12], and NIST 800-53 [11].</w:t>
      </w:r>
    </w:p>
    <w:p>
      <w:pPr>
        <w:keepNext/>
        <w:spacing w:before="240" w:after="60"/>
        <w:jc w:val="left"/>
      </w:pPr>
      <w:r>
        <w:rPr>
          <w:rFonts w:ascii="Times New Roman" w:hAnsi="Times New Roman"/>
          <w:b/>
          <w:color w:val="002060"/>
          <w:sz w:val="21"/>
        </w:rPr>
        <w:t>II. LITERATURE SURVEY &amp; RELATED WORKS</w:t>
      </w:r>
    </w:p>
    <w:p>
      <w:pPr>
        <w:spacing w:after="60" w:line="269" w:lineRule="auto"/>
        <w:jc w:val="both"/>
      </w:pPr>
      <w:r>
        <w:rPr>
          <w:rFonts w:ascii="Times New Roman" w:hAnsi="Times New Roman"/>
          <w:sz w:val="19"/>
        </w:rPr>
        <w:t>The literature in Infrastructure-as-Code security and automated vulnerability remediation spans four technical paradigms: rule-based static analysis, dynamic post-deployment monitoring, machine learning smell detection, and LLM-driven agentic workflows. This section provides an extensive comparative analysis of these paradigms and highlights the exact architectural gaps resolved by AgentShield AI.</w:t>
      </w:r>
    </w:p>
    <w:p>
      <w:pPr>
        <w:keepNext/>
        <w:spacing w:before="160" w:after="40"/>
        <w:jc w:val="left"/>
      </w:pPr>
      <w:r>
        <w:rPr>
          <w:rFonts w:ascii="Times New Roman" w:hAnsi="Times New Roman"/>
          <w:b/>
          <w:i/>
          <w:color w:val="222222"/>
          <w:sz w:val="20"/>
        </w:rPr>
        <w:t>A. Rule-Based Static Analysis &amp; Polyglot Linters</w:t>
      </w:r>
    </w:p>
    <w:p>
      <w:pPr>
        <w:spacing w:after="60" w:line="269" w:lineRule="auto"/>
        <w:jc w:val="both"/>
      </w:pPr>
      <w:r>
        <w:rPr>
          <w:rFonts w:ascii="Times New Roman" w:hAnsi="Times New Roman"/>
          <w:sz w:val="19"/>
        </w:rPr>
        <w:t>Static code analysis tools represent the traditional frontline defense in DevSecOps pipelines. Checkov, tfsec, KICS, and GLITCH [2] parse IaC source files into Abstract Syntax Trees or intermediate polyglot graphs to evaluate predefined security policies. Saavedra &amp; Ferreira [2] demonstrated that while polyglot representations allow linters to analyze multiple IaC formats, rule-based engines struggle with complex parameter dependencies. Because static linters cannot execute dynamic variable interpolation or module expansion, they generate high false-positive rates (25%-40%) on modular enterprise codebases.</w:t>
      </w:r>
    </w:p>
    <w:p>
      <w:pPr>
        <w:keepNext/>
        <w:spacing w:before="160" w:after="40"/>
        <w:jc w:val="left"/>
      </w:pPr>
      <w:r>
        <w:rPr>
          <w:rFonts w:ascii="Times New Roman" w:hAnsi="Times New Roman"/>
          <w:b/>
          <w:i/>
          <w:color w:val="222222"/>
          <w:sz w:val="20"/>
        </w:rPr>
        <w:t>B. Dynamic Post-Deployment CSPM &amp; Runtime Monitoring</w:t>
      </w:r>
    </w:p>
    <w:p>
      <w:pPr>
        <w:spacing w:after="60" w:line="269" w:lineRule="auto"/>
        <w:jc w:val="both"/>
      </w:pPr>
      <w:r>
        <w:rPr>
          <w:rFonts w:ascii="Times New Roman" w:hAnsi="Times New Roman"/>
          <w:sz w:val="19"/>
        </w:rPr>
        <w:t>Cloud Security Posture Management (CSPM) frameworks, such as AWS Config and Prisma Cloud, monitor deployed infrastructure by querying cloud provider APIs [8]. While CSPMs provide high fidelity by inspecting live resource state, they operate reactively ('Shift-Right'). Identifying a misconfiguration after deployment means the vulnerable resource is already live in production, exposing the cloud tenant to security exploit windows before manual remediation can be executed.</w:t>
      </w:r>
    </w:p>
    <w:p>
      <w:pPr>
        <w:keepNext/>
        <w:spacing w:before="160" w:after="40"/>
        <w:jc w:val="left"/>
      </w:pPr>
      <w:r>
        <w:rPr>
          <w:rFonts w:ascii="Times New Roman" w:hAnsi="Times New Roman"/>
          <w:b/>
          <w:i/>
          <w:color w:val="222222"/>
          <w:sz w:val="20"/>
        </w:rPr>
        <w:t>C. Machine Learning Misconfiguration &amp; Security Smell Detection</w:t>
      </w:r>
    </w:p>
    <w:p>
      <w:pPr>
        <w:spacing w:after="60" w:line="269" w:lineRule="auto"/>
        <w:jc w:val="both"/>
      </w:pPr>
      <w:r>
        <w:rPr>
          <w:rFonts w:ascii="Times New Roman" w:hAnsi="Times New Roman"/>
          <w:sz w:val="19"/>
        </w:rPr>
        <w:t>To move beyond static regex rules, machine learning researchers applied supervised classification to IaC security. GLITCH [2] utilized feature vectors extracted from polyglot ASTs to train classifiers for security smell detection. However, machine learning approaches suffer from three core limitations: they require large labeled datasets, fail to generalize to novel zero-day IaC properties, and are fundamentally incapable of generating executable code patches for automated remediation.</w:t>
      </w:r>
    </w:p>
    <w:p>
      <w:pPr>
        <w:keepNext/>
        <w:spacing w:before="160" w:after="40"/>
        <w:jc w:val="left"/>
      </w:pPr>
      <w:r>
        <w:rPr>
          <w:rFonts w:ascii="Times New Roman" w:hAnsi="Times New Roman"/>
          <w:b/>
          <w:i/>
          <w:color w:val="222222"/>
          <w:sz w:val="20"/>
        </w:rPr>
        <w:t>D. Large Language Models &amp; Agentic Workflows for Configuration Security</w:t>
      </w:r>
    </w:p>
    <w:p>
      <w:pPr>
        <w:spacing w:after="60" w:line="269" w:lineRule="auto"/>
        <w:jc w:val="both"/>
      </w:pPr>
      <w:r>
        <w:rPr>
          <w:rFonts w:ascii="Times New Roman" w:hAnsi="Times New Roman"/>
          <w:sz w:val="19"/>
        </w:rPr>
        <w:t>The emergence of Large Language Models has enabled semantic understanding of configuration files. GenKubeSec [3] applied LLMs to Kubernetes misconfiguration detection; Ciri [4] evaluated general configuration validation; Minna et al. [5] audited Helm charts; and Toprani &amp; Madisetti [1] proposed a 3-agent LLM + RAG workflow for AWS CloudFormation. Despite demonstrating strong semantic reasoning, existing LLM workflows exhibit critical deficiencies: single-cloud scope, ~15% false positive rates due to hallucinations [6], text-only remediation advice, and complete absence of sandbox patch validation.</w:t>
      </w:r>
    </w:p>
    <w:p>
      <w:pPr>
        <w:spacing w:after="60" w:line="269" w:lineRule="auto"/>
        <w:jc w:val="both"/>
      </w:pPr>
      <w:r>
        <w:rPr>
          <w:rFonts w:ascii="Times New Roman" w:hAnsi="Times New Roman"/>
          <w:sz w:val="19"/>
        </w:rPr>
        <w:t>TABLE I: Comparative Feature Matrix Across IaC Security Paradigms</w:t>
      </w:r>
    </w:p>
    <w:tbl>
      <w:tblPr>
        <w:tblW w:type="auto" w:w="0"/>
        <w:jc w:val="center"/>
        <w:tblLook w:firstColumn="1" w:firstRow="1" w:lastColumn="0" w:lastRow="0" w:noHBand="0" w:noVBand="1" w:val="04A0"/>
        <w:tblBorders>
          <w:top w:val="single" w:sz="6" w:space="0" w:color="002060"/>
          <w:bottom w:val="single" w:sz="6" w:space="0" w:color="002060"/>
          <w:insideH w:val="single" w:sz="4" w:space="0" w:color="E0E0E0"/>
          <w:insideV w:val="none"/>
          <w:left w:val="none"/>
          <w:right w:val="none"/>
        </w:tblBorders>
      </w:tblPr>
      <w:tblGrid>
        <w:gridCol w:w="2016"/>
        <w:gridCol w:w="2016"/>
        <w:gridCol w:w="2016"/>
        <w:gridCol w:w="2016"/>
        <w:gridCol w:w="2016"/>
      </w:tblGrid>
      <w:tr>
        <w:tc>
          <w:tcPr>
            <w:tcW w:type="dxa" w:w="2016"/>
            <w:shd w:fill="002060"/>
          </w:tcPr>
          <w:p>
            <w:pPr>
              <w:jc w:val="center"/>
            </w:pPr>
            <w:r>
              <w:rPr>
                <w:rFonts w:ascii="Times New Roman" w:hAnsi="Times New Roman"/>
                <w:b/>
                <w:color w:val="FFFFFF"/>
                <w:sz w:val="16"/>
              </w:rPr>
              <w:t>Feature / Operational Dimension</w:t>
            </w:r>
          </w:p>
        </w:tc>
        <w:tc>
          <w:tcPr>
            <w:tcW w:type="dxa" w:w="2016"/>
            <w:shd w:fill="002060"/>
          </w:tcPr>
          <w:p>
            <w:pPr>
              <w:jc w:val="center"/>
            </w:pPr>
            <w:r>
              <w:rPr>
                <w:rFonts w:ascii="Times New Roman" w:hAnsi="Times New Roman"/>
                <w:b/>
                <w:color w:val="FFFFFF"/>
                <w:sz w:val="16"/>
              </w:rPr>
              <w:t>Checkov Linter [2]</w:t>
            </w:r>
          </w:p>
        </w:tc>
        <w:tc>
          <w:tcPr>
            <w:tcW w:type="dxa" w:w="2016"/>
            <w:shd w:fill="002060"/>
          </w:tcPr>
          <w:p>
            <w:pPr>
              <w:jc w:val="center"/>
            </w:pPr>
            <w:r>
              <w:rPr>
                <w:rFonts w:ascii="Times New Roman" w:hAnsi="Times New Roman"/>
                <w:b/>
                <w:color w:val="FFFFFF"/>
                <w:sz w:val="16"/>
              </w:rPr>
              <w:t>AWS Config CSPM</w:t>
            </w:r>
          </w:p>
        </w:tc>
        <w:tc>
          <w:tcPr>
            <w:tcW w:type="dxa" w:w="2016"/>
            <w:shd w:fill="002060"/>
          </w:tcPr>
          <w:p>
            <w:pPr>
              <w:jc w:val="center"/>
            </w:pPr>
            <w:r>
              <w:rPr>
                <w:rFonts w:ascii="Times New Roman" w:hAnsi="Times New Roman"/>
                <w:b/>
                <w:color w:val="FFFFFF"/>
                <w:sz w:val="16"/>
              </w:rPr>
              <w:t>Base Paper (IEEE '25) [1]</w:t>
            </w:r>
          </w:p>
        </w:tc>
        <w:tc>
          <w:tcPr>
            <w:tcW w:type="dxa" w:w="2016"/>
            <w:shd w:fill="002060"/>
          </w:tcPr>
          <w:p>
            <w:pPr>
              <w:jc w:val="center"/>
            </w:pPr>
            <w:r>
              <w:rPr>
                <w:rFonts w:ascii="Times New Roman" w:hAnsi="Times New Roman"/>
                <w:b/>
                <w:color w:val="FFFFFF"/>
                <w:sz w:val="16"/>
              </w:rPr>
              <w:t>AgentShield AI (Proposed)</w:t>
            </w:r>
          </w:p>
        </w:tc>
      </w:tr>
      <w:tr>
        <w:tc>
          <w:tcPr>
            <w:tcW w:type="dxa" w:w="2016"/>
          </w:tcPr>
          <w:p>
            <w:pPr>
              <w:spacing w:after="20" w:before="20"/>
              <w:jc w:val="left"/>
            </w:pPr>
            <w:r>
              <w:rPr>
                <w:rFonts w:ascii="Times New Roman" w:hAnsi="Times New Roman"/>
                <w:sz w:val="15"/>
              </w:rPr>
              <w:t>Pipeline Phase &amp; Timing</w:t>
            </w:r>
          </w:p>
        </w:tc>
        <w:tc>
          <w:tcPr>
            <w:tcW w:type="dxa" w:w="2016"/>
          </w:tcPr>
          <w:p>
            <w:pPr>
              <w:spacing w:after="20" w:before="20"/>
              <w:jc w:val="left"/>
            </w:pPr>
            <w:r>
              <w:rPr>
                <w:rFonts w:ascii="Times New Roman" w:hAnsi="Times New Roman"/>
                <w:sz w:val="15"/>
              </w:rPr>
              <w:t>Shift-Left (CI/CD)</w:t>
            </w:r>
          </w:p>
        </w:tc>
        <w:tc>
          <w:tcPr>
            <w:tcW w:type="dxa" w:w="2016"/>
          </w:tcPr>
          <w:p>
            <w:pPr>
              <w:spacing w:after="20" w:before="20"/>
              <w:jc w:val="left"/>
            </w:pPr>
            <w:r>
              <w:rPr>
                <w:rFonts w:ascii="Times New Roman" w:hAnsi="Times New Roman"/>
                <w:sz w:val="15"/>
              </w:rPr>
              <w:t>Shift-Right (Post-Deploy)</w:t>
            </w:r>
          </w:p>
        </w:tc>
        <w:tc>
          <w:tcPr>
            <w:tcW w:type="dxa" w:w="2016"/>
          </w:tcPr>
          <w:p>
            <w:pPr>
              <w:spacing w:after="20" w:before="20"/>
              <w:jc w:val="left"/>
            </w:pPr>
            <w:r>
              <w:rPr>
                <w:rFonts w:ascii="Times New Roman" w:hAnsi="Times New Roman"/>
                <w:sz w:val="15"/>
              </w:rPr>
              <w:t>Shift-Left (Pre-Deploy)</w:t>
            </w:r>
          </w:p>
        </w:tc>
        <w:tc>
          <w:tcPr>
            <w:tcW w:type="dxa" w:w="2016"/>
          </w:tcPr>
          <w:p>
            <w:pPr>
              <w:spacing w:after="20" w:before="20"/>
              <w:jc w:val="left"/>
            </w:pPr>
            <w:r>
              <w:rPr>
                <w:rFonts w:ascii="Times New Roman" w:hAnsi="Times New Roman"/>
                <w:b/>
                <w:sz w:val="15"/>
              </w:rPr>
              <w:t>Shift-Left (IDE + Pre-Commit + CI)</w:t>
            </w:r>
          </w:p>
        </w:tc>
      </w:tr>
      <w:tr>
        <w:tc>
          <w:tcPr>
            <w:tcW w:type="dxa" w:w="2016"/>
            <w:shd w:fill="F2F5F9"/>
          </w:tcPr>
          <w:p>
            <w:pPr>
              <w:spacing w:after="20" w:before="20"/>
              <w:jc w:val="left"/>
            </w:pPr>
            <w:r>
              <w:rPr>
                <w:rFonts w:ascii="Times New Roman" w:hAnsi="Times New Roman"/>
                <w:sz w:val="15"/>
              </w:rPr>
              <w:t>Supported IaC Languages</w:t>
            </w:r>
          </w:p>
        </w:tc>
        <w:tc>
          <w:tcPr>
            <w:tcW w:type="dxa" w:w="2016"/>
            <w:shd w:fill="F2F5F9"/>
          </w:tcPr>
          <w:p>
            <w:pPr>
              <w:spacing w:after="20" w:before="20"/>
              <w:jc w:val="left"/>
            </w:pPr>
            <w:r>
              <w:rPr>
                <w:rFonts w:ascii="Times New Roman" w:hAnsi="Times New Roman"/>
                <w:sz w:val="15"/>
              </w:rPr>
              <w:t>Terraform, CFN, K8s</w:t>
            </w:r>
          </w:p>
        </w:tc>
        <w:tc>
          <w:tcPr>
            <w:tcW w:type="dxa" w:w="2016"/>
            <w:shd w:fill="F2F5F9"/>
          </w:tcPr>
          <w:p>
            <w:pPr>
              <w:spacing w:after="20" w:before="20"/>
              <w:jc w:val="left"/>
            </w:pPr>
            <w:r>
              <w:rPr>
                <w:rFonts w:ascii="Times New Roman" w:hAnsi="Times New Roman"/>
                <w:sz w:val="15"/>
              </w:rPr>
              <w:t>AWS Resources Only</w:t>
            </w:r>
          </w:p>
        </w:tc>
        <w:tc>
          <w:tcPr>
            <w:tcW w:type="dxa" w:w="2016"/>
            <w:shd w:fill="F2F5F9"/>
          </w:tcPr>
          <w:p>
            <w:pPr>
              <w:spacing w:after="20" w:before="20"/>
              <w:jc w:val="left"/>
            </w:pPr>
            <w:r>
              <w:rPr>
                <w:rFonts w:ascii="Times New Roman" w:hAnsi="Times New Roman"/>
                <w:sz w:val="15"/>
              </w:rPr>
              <w:t>AWS CloudFormation Only [1]</w:t>
            </w:r>
          </w:p>
        </w:tc>
        <w:tc>
          <w:tcPr>
            <w:tcW w:type="dxa" w:w="2016"/>
            <w:shd w:fill="F2F5F9"/>
          </w:tcPr>
          <w:p>
            <w:pPr>
              <w:spacing w:after="20" w:before="20"/>
              <w:jc w:val="left"/>
            </w:pPr>
            <w:r>
              <w:rPr>
                <w:rFonts w:ascii="Times New Roman" w:hAnsi="Times New Roman"/>
                <w:b/>
                <w:sz w:val="15"/>
              </w:rPr>
              <w:t>Terraform, CFN, K8s, Helm (Multi-Cloud)</w:t>
            </w:r>
          </w:p>
        </w:tc>
      </w:tr>
      <w:tr>
        <w:tc>
          <w:tcPr>
            <w:tcW w:type="dxa" w:w="2016"/>
          </w:tcPr>
          <w:p>
            <w:pPr>
              <w:spacing w:after="20" w:before="20"/>
              <w:jc w:val="left"/>
            </w:pPr>
            <w:r>
              <w:rPr>
                <w:rFonts w:ascii="Times New Roman" w:hAnsi="Times New Roman"/>
                <w:sz w:val="15"/>
              </w:rPr>
              <w:t>Reasoning Mechanism</w:t>
            </w:r>
          </w:p>
        </w:tc>
        <w:tc>
          <w:tcPr>
            <w:tcW w:type="dxa" w:w="2016"/>
          </w:tcPr>
          <w:p>
            <w:pPr>
              <w:spacing w:after="20" w:before="20"/>
              <w:jc w:val="left"/>
            </w:pPr>
            <w:r>
              <w:rPr>
                <w:rFonts w:ascii="Times New Roman" w:hAnsi="Times New Roman"/>
                <w:sz w:val="15"/>
              </w:rPr>
              <w:t>Static Regex Rules</w:t>
            </w:r>
          </w:p>
        </w:tc>
        <w:tc>
          <w:tcPr>
            <w:tcW w:type="dxa" w:w="2016"/>
          </w:tcPr>
          <w:p>
            <w:pPr>
              <w:spacing w:after="20" w:before="20"/>
              <w:jc w:val="left"/>
            </w:pPr>
            <w:r>
              <w:rPr>
                <w:rFonts w:ascii="Times New Roman" w:hAnsi="Times New Roman"/>
                <w:sz w:val="15"/>
              </w:rPr>
              <w:t>Runtime API State Rules</w:t>
            </w:r>
          </w:p>
        </w:tc>
        <w:tc>
          <w:tcPr>
            <w:tcW w:type="dxa" w:w="2016"/>
          </w:tcPr>
          <w:p>
            <w:pPr>
              <w:spacing w:after="20" w:before="20"/>
              <w:jc w:val="left"/>
            </w:pPr>
            <w:r>
              <w:rPr>
                <w:rFonts w:ascii="Times New Roman" w:hAnsi="Times New Roman"/>
                <w:sz w:val="15"/>
              </w:rPr>
              <w:t>Single LLM + Vector RAG [1]</w:t>
            </w:r>
          </w:p>
        </w:tc>
        <w:tc>
          <w:tcPr>
            <w:tcW w:type="dxa" w:w="2016"/>
          </w:tcPr>
          <w:p>
            <w:pPr>
              <w:spacing w:after="20" w:before="20"/>
              <w:jc w:val="left"/>
            </w:pPr>
            <w:r>
              <w:rPr>
                <w:rFonts w:ascii="Times New Roman" w:hAnsi="Times New Roman"/>
                <w:b/>
                <w:sz w:val="15"/>
              </w:rPr>
              <w:t>Hybrid AST + Hybrid RAG + Dual-LLM Ensemble</w:t>
            </w:r>
          </w:p>
        </w:tc>
      </w:tr>
      <w:tr>
        <w:tc>
          <w:tcPr>
            <w:tcW w:type="dxa" w:w="2016"/>
            <w:shd w:fill="F2F5F9"/>
          </w:tcPr>
          <w:p>
            <w:pPr>
              <w:spacing w:after="20" w:before="20"/>
              <w:jc w:val="left"/>
            </w:pPr>
            <w:r>
              <w:rPr>
                <w:rFonts w:ascii="Times New Roman" w:hAnsi="Times New Roman"/>
                <w:sz w:val="15"/>
              </w:rPr>
              <w:t>Remediation Output</w:t>
            </w:r>
          </w:p>
        </w:tc>
        <w:tc>
          <w:tcPr>
            <w:tcW w:type="dxa" w:w="2016"/>
            <w:shd w:fill="F2F5F9"/>
          </w:tcPr>
          <w:p>
            <w:pPr>
              <w:spacing w:after="20" w:before="20"/>
              <w:jc w:val="left"/>
            </w:pPr>
            <w:r>
              <w:rPr>
                <w:rFonts w:ascii="Times New Roman" w:hAnsi="Times New Roman"/>
                <w:sz w:val="15"/>
              </w:rPr>
              <w:t>Documentation Links</w:t>
            </w:r>
          </w:p>
        </w:tc>
        <w:tc>
          <w:tcPr>
            <w:tcW w:type="dxa" w:w="2016"/>
            <w:shd w:fill="F2F5F9"/>
          </w:tcPr>
          <w:p>
            <w:pPr>
              <w:spacing w:after="20" w:before="20"/>
              <w:jc w:val="left"/>
            </w:pPr>
            <w:r>
              <w:rPr>
                <w:rFonts w:ascii="Times New Roman" w:hAnsi="Times New Roman"/>
                <w:sz w:val="15"/>
              </w:rPr>
              <w:t>Alert Notifications</w:t>
            </w:r>
          </w:p>
        </w:tc>
        <w:tc>
          <w:tcPr>
            <w:tcW w:type="dxa" w:w="2016"/>
            <w:shd w:fill="F2F5F9"/>
          </w:tcPr>
          <w:p>
            <w:pPr>
              <w:spacing w:after="20" w:before="20"/>
              <w:jc w:val="left"/>
            </w:pPr>
            <w:r>
              <w:rPr>
                <w:rFonts w:ascii="Times New Roman" w:hAnsi="Times New Roman"/>
                <w:sz w:val="15"/>
              </w:rPr>
              <w:t>Natural Language Text [1]</w:t>
            </w:r>
          </w:p>
        </w:tc>
        <w:tc>
          <w:tcPr>
            <w:tcW w:type="dxa" w:w="2016"/>
            <w:shd w:fill="F2F5F9"/>
          </w:tcPr>
          <w:p>
            <w:pPr>
              <w:spacing w:after="20" w:before="20"/>
              <w:jc w:val="left"/>
            </w:pPr>
            <w:r>
              <w:rPr>
                <w:rFonts w:ascii="Times New Roman" w:hAnsi="Times New Roman"/>
                <w:b/>
                <w:sz w:val="15"/>
              </w:rPr>
              <w:t>Syntactically Verified Diff Code Patches</w:t>
            </w:r>
          </w:p>
        </w:tc>
      </w:tr>
      <w:tr>
        <w:tc>
          <w:tcPr>
            <w:tcW w:type="dxa" w:w="2016"/>
          </w:tcPr>
          <w:p>
            <w:pPr>
              <w:spacing w:after="20" w:before="20"/>
              <w:jc w:val="left"/>
            </w:pPr>
            <w:r>
              <w:rPr>
                <w:rFonts w:ascii="Times New Roman" w:hAnsi="Times New Roman"/>
                <w:sz w:val="15"/>
              </w:rPr>
              <w:t>Embedded Secret Scanning</w:t>
            </w:r>
          </w:p>
        </w:tc>
        <w:tc>
          <w:tcPr>
            <w:tcW w:type="dxa" w:w="2016"/>
          </w:tcPr>
          <w:p>
            <w:pPr>
              <w:spacing w:after="20" w:before="20"/>
              <w:jc w:val="left"/>
            </w:pPr>
            <w:r>
              <w:rPr>
                <w:rFonts w:ascii="Times New Roman" w:hAnsi="Times New Roman"/>
                <w:sz w:val="15"/>
              </w:rPr>
              <w:t>Basic Pattern Matching</w:t>
            </w:r>
          </w:p>
        </w:tc>
        <w:tc>
          <w:tcPr>
            <w:tcW w:type="dxa" w:w="2016"/>
          </w:tcPr>
          <w:p>
            <w:pPr>
              <w:spacing w:after="20" w:before="20"/>
              <w:jc w:val="left"/>
            </w:pPr>
            <w:r>
              <w:rPr>
                <w:rFonts w:ascii="Times New Roman" w:hAnsi="Times New Roman"/>
                <w:sz w:val="15"/>
              </w:rPr>
              <w:t>None</w:t>
            </w:r>
          </w:p>
        </w:tc>
        <w:tc>
          <w:tcPr>
            <w:tcW w:type="dxa" w:w="2016"/>
          </w:tcPr>
          <w:p>
            <w:pPr>
              <w:spacing w:after="20" w:before="20"/>
              <w:jc w:val="left"/>
            </w:pPr>
            <w:r>
              <w:rPr>
                <w:rFonts w:ascii="Times New Roman" w:hAnsi="Times New Roman"/>
                <w:sz w:val="15"/>
              </w:rPr>
              <w:t>None [1]</w:t>
            </w:r>
          </w:p>
        </w:tc>
        <w:tc>
          <w:tcPr>
            <w:tcW w:type="dxa" w:w="2016"/>
          </w:tcPr>
          <w:p>
            <w:pPr>
              <w:spacing w:after="20" w:before="20"/>
              <w:jc w:val="left"/>
            </w:pPr>
            <w:r>
              <w:rPr>
                <w:rFonts w:ascii="Times New Roman" w:hAnsi="Times New Roman"/>
                <w:b/>
                <w:sz w:val="15"/>
              </w:rPr>
              <w:t>Dedicated Secrets Agent (Gitleaks Engine)</w:t>
            </w:r>
          </w:p>
        </w:tc>
      </w:tr>
      <w:tr>
        <w:tc>
          <w:tcPr>
            <w:tcW w:type="dxa" w:w="2016"/>
            <w:shd w:fill="F2F5F9"/>
          </w:tcPr>
          <w:p>
            <w:pPr>
              <w:spacing w:after="20" w:before="20"/>
              <w:jc w:val="left"/>
            </w:pPr>
            <w:r>
              <w:rPr>
                <w:rFonts w:ascii="Times New Roman" w:hAnsi="Times New Roman"/>
                <w:sz w:val="15"/>
              </w:rPr>
              <w:t>Patch Verification</w:t>
            </w:r>
          </w:p>
        </w:tc>
        <w:tc>
          <w:tcPr>
            <w:tcW w:type="dxa" w:w="2016"/>
            <w:shd w:fill="F2F5F9"/>
          </w:tcPr>
          <w:p>
            <w:pPr>
              <w:spacing w:after="20" w:before="20"/>
              <w:jc w:val="left"/>
            </w:pPr>
            <w:r>
              <w:rPr>
                <w:rFonts w:ascii="Times New Roman" w:hAnsi="Times New Roman"/>
                <w:sz w:val="15"/>
              </w:rPr>
              <w:t>None</w:t>
            </w:r>
          </w:p>
        </w:tc>
        <w:tc>
          <w:tcPr>
            <w:tcW w:type="dxa" w:w="2016"/>
            <w:shd w:fill="F2F5F9"/>
          </w:tcPr>
          <w:p>
            <w:pPr>
              <w:spacing w:after="20" w:before="20"/>
              <w:jc w:val="left"/>
            </w:pPr>
            <w:r>
              <w:rPr>
                <w:rFonts w:ascii="Times New Roman" w:hAnsi="Times New Roman"/>
                <w:sz w:val="15"/>
              </w:rPr>
              <w:t>None</w:t>
            </w:r>
          </w:p>
        </w:tc>
        <w:tc>
          <w:tcPr>
            <w:tcW w:type="dxa" w:w="2016"/>
            <w:shd w:fill="F2F5F9"/>
          </w:tcPr>
          <w:p>
            <w:pPr>
              <w:spacing w:after="20" w:before="20"/>
              <w:jc w:val="left"/>
            </w:pPr>
            <w:r>
              <w:rPr>
                <w:rFonts w:ascii="Times New Roman" w:hAnsi="Times New Roman"/>
                <w:sz w:val="15"/>
              </w:rPr>
              <w:t>None [1]</w:t>
            </w:r>
          </w:p>
        </w:tc>
        <w:tc>
          <w:tcPr>
            <w:tcW w:type="dxa" w:w="2016"/>
            <w:shd w:fill="F2F5F9"/>
          </w:tcPr>
          <w:p>
            <w:pPr>
              <w:spacing w:after="20" w:before="20"/>
              <w:jc w:val="left"/>
            </w:pPr>
            <w:r>
              <w:rPr>
                <w:rFonts w:ascii="Times New Roman" w:hAnsi="Times New Roman"/>
                <w:b/>
                <w:sz w:val="15"/>
              </w:rPr>
              <w:t>Static Linter + LocalStack Sandbox Dry-Run</w:t>
            </w:r>
          </w:p>
        </w:tc>
      </w:tr>
      <w:tr>
        <w:tc>
          <w:tcPr>
            <w:tcW w:type="dxa" w:w="2016"/>
          </w:tcPr>
          <w:p>
            <w:pPr>
              <w:spacing w:after="20" w:before="20"/>
              <w:jc w:val="left"/>
            </w:pPr>
            <w:r>
              <w:rPr>
                <w:rFonts w:ascii="Times New Roman" w:hAnsi="Times New Roman"/>
                <w:sz w:val="15"/>
              </w:rPr>
              <w:t>Compliance Mapping</w:t>
            </w:r>
          </w:p>
        </w:tc>
        <w:tc>
          <w:tcPr>
            <w:tcW w:type="dxa" w:w="2016"/>
          </w:tcPr>
          <w:p>
            <w:pPr>
              <w:spacing w:after="20" w:before="20"/>
              <w:jc w:val="left"/>
            </w:pPr>
            <w:r>
              <w:rPr>
                <w:rFonts w:ascii="Times New Roman" w:hAnsi="Times New Roman"/>
                <w:sz w:val="15"/>
              </w:rPr>
              <w:t>Basic Framework Tags</w:t>
            </w:r>
          </w:p>
        </w:tc>
        <w:tc>
          <w:tcPr>
            <w:tcW w:type="dxa" w:w="2016"/>
          </w:tcPr>
          <w:p>
            <w:pPr>
              <w:spacing w:after="20" w:before="20"/>
              <w:jc w:val="left"/>
            </w:pPr>
            <w:r>
              <w:rPr>
                <w:rFonts w:ascii="Times New Roman" w:hAnsi="Times New Roman"/>
                <w:sz w:val="15"/>
              </w:rPr>
              <w:t>Rule-Level Mapping</w:t>
            </w:r>
          </w:p>
        </w:tc>
        <w:tc>
          <w:tcPr>
            <w:tcW w:type="dxa" w:w="2016"/>
          </w:tcPr>
          <w:p>
            <w:pPr>
              <w:spacing w:after="20" w:before="20"/>
              <w:jc w:val="left"/>
            </w:pPr>
            <w:r>
              <w:rPr>
                <w:rFonts w:ascii="Times New Roman" w:hAnsi="Times New Roman"/>
                <w:sz w:val="15"/>
              </w:rPr>
              <w:t>None [1]</w:t>
            </w:r>
          </w:p>
        </w:tc>
        <w:tc>
          <w:tcPr>
            <w:tcW w:type="dxa" w:w="2016"/>
          </w:tcPr>
          <w:p>
            <w:pPr>
              <w:spacing w:after="20" w:before="20"/>
              <w:jc w:val="left"/>
            </w:pPr>
            <w:r>
              <w:rPr>
                <w:rFonts w:ascii="Times New Roman" w:hAnsi="Times New Roman"/>
                <w:b/>
                <w:sz w:val="15"/>
              </w:rPr>
              <w:t>SOC 2, HIPAA, PCI-DSS v4.0 [12], NIST 800-53 [11]</w:t>
            </w:r>
          </w:p>
        </w:tc>
      </w:tr>
      <w:tr>
        <w:tc>
          <w:tcPr>
            <w:tcW w:type="dxa" w:w="2016"/>
            <w:shd w:fill="F2F5F9"/>
          </w:tcPr>
          <w:p>
            <w:pPr>
              <w:spacing w:after="20" w:before="20"/>
              <w:jc w:val="left"/>
            </w:pPr>
            <w:r>
              <w:rPr>
                <w:rFonts w:ascii="Times New Roman" w:hAnsi="Times New Roman"/>
                <w:sz w:val="15"/>
              </w:rPr>
              <w:t>False Positive Rate (FPR)</w:t>
            </w:r>
          </w:p>
        </w:tc>
        <w:tc>
          <w:tcPr>
            <w:tcW w:type="dxa" w:w="2016"/>
            <w:shd w:fill="F2F5F9"/>
          </w:tcPr>
          <w:p>
            <w:pPr>
              <w:spacing w:after="20" w:before="20"/>
              <w:jc w:val="left"/>
            </w:pPr>
            <w:r>
              <w:rPr>
                <w:rFonts w:ascii="Times New Roman" w:hAnsi="Times New Roman"/>
                <w:sz w:val="15"/>
              </w:rPr>
              <w:t>25.0% - 40.0%</w:t>
            </w:r>
          </w:p>
        </w:tc>
        <w:tc>
          <w:tcPr>
            <w:tcW w:type="dxa" w:w="2016"/>
            <w:shd w:fill="F2F5F9"/>
          </w:tcPr>
          <w:p>
            <w:pPr>
              <w:spacing w:after="20" w:before="20"/>
              <w:jc w:val="left"/>
            </w:pPr>
            <w:r>
              <w:rPr>
                <w:rFonts w:ascii="Times New Roman" w:hAnsi="Times New Roman"/>
                <w:sz w:val="15"/>
              </w:rPr>
              <w:t>15.0% - 30.0%</w:t>
            </w:r>
          </w:p>
        </w:tc>
        <w:tc>
          <w:tcPr>
            <w:tcW w:type="dxa" w:w="2016"/>
            <w:shd w:fill="F2F5F9"/>
          </w:tcPr>
          <w:p>
            <w:pPr>
              <w:spacing w:after="20" w:before="20"/>
              <w:jc w:val="left"/>
            </w:pPr>
            <w:r>
              <w:rPr>
                <w:rFonts w:ascii="Times New Roman" w:hAnsi="Times New Roman"/>
                <w:sz w:val="15"/>
              </w:rPr>
              <w:t>~15.0% [1]</w:t>
            </w:r>
          </w:p>
        </w:tc>
        <w:tc>
          <w:tcPr>
            <w:tcW w:type="dxa" w:w="2016"/>
            <w:shd w:fill="F2F5F9"/>
          </w:tcPr>
          <w:p>
            <w:pPr>
              <w:spacing w:after="20" w:before="20"/>
              <w:jc w:val="left"/>
            </w:pPr>
            <w:r>
              <w:rPr>
                <w:rFonts w:ascii="Times New Roman" w:hAnsi="Times New Roman"/>
                <w:b/>
                <w:sz w:val="15"/>
              </w:rPr>
              <w:t>&lt; 2.4% (Multi-LLM Ensemble Validated)</w:t>
            </w:r>
          </w:p>
        </w:tc>
      </w:tr>
    </w:tbl>
    <w:p>
      <w:pPr>
        <w:spacing w:after="60" w:line="269" w:lineRule="auto"/>
        <w:jc w:val="both"/>
      </w:pPr>
      <w:r>
        <w:rPr>
          <w:rFonts w:ascii="Times New Roman" w:hAnsi="Times New Roman"/>
          <w:sz w:val="19"/>
        </w:rPr>
        <w:t>TABLE II: Literature Taxonomy and Benchmark Analysis of Related Works</w:t>
      </w:r>
    </w:p>
    <w:tbl>
      <w:tblPr>
        <w:tblW w:type="auto" w:w="0"/>
        <w:jc w:val="center"/>
        <w:tblLook w:firstColumn="1" w:firstRow="1" w:lastColumn="0" w:lastRow="0" w:noHBand="0" w:noVBand="1" w:val="04A0"/>
        <w:tblBorders>
          <w:top w:val="single" w:sz="6" w:space="0" w:color="002060"/>
          <w:bottom w:val="single" w:sz="6" w:space="0" w:color="002060"/>
          <w:insideH w:val="single" w:sz="4" w:space="0" w:color="E0E0E0"/>
          <w:insideV w:val="none"/>
          <w:left w:val="none"/>
          <w:right w:val="none"/>
        </w:tblBorders>
      </w:tblPr>
      <w:tblGrid>
        <w:gridCol w:w="1440"/>
        <w:gridCol w:w="1440"/>
        <w:gridCol w:w="1440"/>
        <w:gridCol w:w="1440"/>
        <w:gridCol w:w="1440"/>
        <w:gridCol w:w="1440"/>
        <w:gridCol w:w="1440"/>
      </w:tblGrid>
      <w:tr>
        <w:tc>
          <w:tcPr>
            <w:tcW w:type="dxa" w:w="1440"/>
            <w:shd w:fill="002060"/>
          </w:tcPr>
          <w:p>
            <w:pPr>
              <w:jc w:val="center"/>
            </w:pPr>
            <w:r>
              <w:rPr>
                <w:rFonts w:ascii="Times New Roman" w:hAnsi="Times New Roman"/>
                <w:b/>
                <w:color w:val="FFFFFF"/>
                <w:sz w:val="16"/>
              </w:rPr>
              <w:t>Study &amp; Reference</w:t>
            </w:r>
          </w:p>
        </w:tc>
        <w:tc>
          <w:tcPr>
            <w:tcW w:type="dxa" w:w="1440"/>
            <w:shd w:fill="002060"/>
          </w:tcPr>
          <w:p>
            <w:pPr>
              <w:jc w:val="center"/>
            </w:pPr>
            <w:r>
              <w:rPr>
                <w:rFonts w:ascii="Times New Roman" w:hAnsi="Times New Roman"/>
                <w:b/>
                <w:color w:val="FFFFFF"/>
                <w:sz w:val="16"/>
              </w:rPr>
              <w:t>Target Format</w:t>
            </w:r>
          </w:p>
        </w:tc>
        <w:tc>
          <w:tcPr>
            <w:tcW w:type="dxa" w:w="1440"/>
            <w:shd w:fill="002060"/>
          </w:tcPr>
          <w:p>
            <w:pPr>
              <w:jc w:val="center"/>
            </w:pPr>
            <w:r>
              <w:rPr>
                <w:rFonts w:ascii="Times New Roman" w:hAnsi="Times New Roman"/>
                <w:b/>
                <w:color w:val="FFFFFF"/>
                <w:sz w:val="16"/>
              </w:rPr>
              <w:t>Reasoning Core</w:t>
            </w:r>
          </w:p>
        </w:tc>
        <w:tc>
          <w:tcPr>
            <w:tcW w:type="dxa" w:w="1440"/>
            <w:shd w:fill="002060"/>
          </w:tcPr>
          <w:p>
            <w:pPr>
              <w:jc w:val="center"/>
            </w:pPr>
            <w:r>
              <w:rPr>
                <w:rFonts w:ascii="Times New Roman" w:hAnsi="Times New Roman"/>
                <w:b/>
                <w:color w:val="FFFFFF"/>
                <w:sz w:val="16"/>
              </w:rPr>
              <w:t>Secret Scan</w:t>
            </w:r>
          </w:p>
        </w:tc>
        <w:tc>
          <w:tcPr>
            <w:tcW w:type="dxa" w:w="1440"/>
            <w:shd w:fill="002060"/>
          </w:tcPr>
          <w:p>
            <w:pPr>
              <w:jc w:val="center"/>
            </w:pPr>
            <w:r>
              <w:rPr>
                <w:rFonts w:ascii="Times New Roman" w:hAnsi="Times New Roman"/>
                <w:b/>
                <w:color w:val="FFFFFF"/>
                <w:sz w:val="16"/>
              </w:rPr>
              <w:t>Patch Gen.</w:t>
            </w:r>
          </w:p>
        </w:tc>
        <w:tc>
          <w:tcPr>
            <w:tcW w:type="dxa" w:w="1440"/>
            <w:shd w:fill="002060"/>
          </w:tcPr>
          <w:p>
            <w:pPr>
              <w:jc w:val="center"/>
            </w:pPr>
            <w:r>
              <w:rPr>
                <w:rFonts w:ascii="Times New Roman" w:hAnsi="Times New Roman"/>
                <w:b/>
                <w:color w:val="FFFFFF"/>
                <w:sz w:val="16"/>
              </w:rPr>
              <w:t>FPR (%)</w:t>
            </w:r>
          </w:p>
        </w:tc>
        <w:tc>
          <w:tcPr>
            <w:tcW w:type="dxa" w:w="1440"/>
            <w:shd w:fill="002060"/>
          </w:tcPr>
          <w:p>
            <w:pPr>
              <w:jc w:val="center"/>
            </w:pPr>
            <w:r>
              <w:rPr>
                <w:rFonts w:ascii="Times New Roman" w:hAnsi="Times New Roman"/>
                <w:b/>
                <w:color w:val="FFFFFF"/>
                <w:sz w:val="16"/>
              </w:rPr>
              <w:t>Primary Limitation</w:t>
            </w:r>
          </w:p>
        </w:tc>
      </w:tr>
      <w:tr>
        <w:tc>
          <w:tcPr>
            <w:tcW w:type="dxa" w:w="1440"/>
          </w:tcPr>
          <w:p>
            <w:pPr>
              <w:spacing w:after="20" w:before="20"/>
              <w:jc w:val="left"/>
            </w:pPr>
            <w:r>
              <w:rPr>
                <w:rFonts w:ascii="Times New Roman" w:hAnsi="Times New Roman"/>
                <w:sz w:val="15"/>
              </w:rPr>
              <w:t>Saavedra et al. [2]</w:t>
            </w:r>
          </w:p>
        </w:tc>
        <w:tc>
          <w:tcPr>
            <w:tcW w:type="dxa" w:w="1440"/>
          </w:tcPr>
          <w:p>
            <w:pPr>
              <w:spacing w:after="20" w:before="20"/>
              <w:jc w:val="left"/>
            </w:pPr>
            <w:r>
              <w:rPr>
                <w:rFonts w:ascii="Times New Roman" w:hAnsi="Times New Roman"/>
                <w:sz w:val="15"/>
              </w:rPr>
              <w:t>Polyglot IaC</w:t>
            </w:r>
          </w:p>
        </w:tc>
        <w:tc>
          <w:tcPr>
            <w:tcW w:type="dxa" w:w="1440"/>
          </w:tcPr>
          <w:p>
            <w:pPr>
              <w:spacing w:after="20" w:before="20"/>
              <w:jc w:val="left"/>
            </w:pPr>
            <w:r>
              <w:rPr>
                <w:rFonts w:ascii="Times New Roman" w:hAnsi="Times New Roman"/>
                <w:sz w:val="15"/>
              </w:rPr>
              <w:t>AST Regex Rules</w:t>
            </w:r>
          </w:p>
        </w:tc>
        <w:tc>
          <w:tcPr>
            <w:tcW w:type="dxa" w:w="1440"/>
          </w:tcPr>
          <w:p>
            <w:pPr>
              <w:spacing w:after="20" w:before="20"/>
              <w:jc w:val="left"/>
            </w:pPr>
            <w:r>
              <w:rPr>
                <w:rFonts w:ascii="Times New Roman" w:hAnsi="Times New Roman"/>
                <w:sz w:val="15"/>
              </w:rPr>
              <w:t>Basic Regex</w:t>
            </w:r>
          </w:p>
        </w:tc>
        <w:tc>
          <w:tcPr>
            <w:tcW w:type="dxa" w:w="1440"/>
          </w:tcPr>
          <w:p>
            <w:pPr>
              <w:spacing w:after="20" w:before="20"/>
              <w:jc w:val="left"/>
            </w:pPr>
            <w:r>
              <w:rPr>
                <w:rFonts w:ascii="Times New Roman" w:hAnsi="Times New Roman"/>
                <w:sz w:val="15"/>
              </w:rPr>
              <w:t>None</w:t>
            </w:r>
          </w:p>
        </w:tc>
        <w:tc>
          <w:tcPr>
            <w:tcW w:type="dxa" w:w="1440"/>
          </w:tcPr>
          <w:p>
            <w:pPr>
              <w:spacing w:after="20" w:before="20"/>
              <w:jc w:val="left"/>
            </w:pPr>
            <w:r>
              <w:rPr>
                <w:rFonts w:ascii="Times New Roman" w:hAnsi="Times New Roman"/>
                <w:sz w:val="15"/>
              </w:rPr>
              <w:t>28.6%</w:t>
            </w:r>
          </w:p>
        </w:tc>
        <w:tc>
          <w:tcPr>
            <w:tcW w:type="dxa" w:w="1440"/>
          </w:tcPr>
          <w:p>
            <w:pPr>
              <w:spacing w:after="20" w:before="20"/>
              <w:jc w:val="left"/>
            </w:pPr>
            <w:r>
              <w:rPr>
                <w:rFonts w:ascii="Times New Roman" w:hAnsi="Times New Roman"/>
                <w:sz w:val="15"/>
              </w:rPr>
              <w:t>High false positives on dynamic code</w:t>
            </w:r>
          </w:p>
        </w:tc>
      </w:tr>
      <w:tr>
        <w:tc>
          <w:tcPr>
            <w:tcW w:type="dxa" w:w="1440"/>
            <w:shd w:fill="F2F5F9"/>
          </w:tcPr>
          <w:p>
            <w:pPr>
              <w:spacing w:after="20" w:before="20"/>
              <w:jc w:val="left"/>
            </w:pPr>
            <w:r>
              <w:rPr>
                <w:rFonts w:ascii="Times New Roman" w:hAnsi="Times New Roman"/>
                <w:sz w:val="15"/>
              </w:rPr>
              <w:t>GenKubeSec [3]</w:t>
            </w:r>
          </w:p>
        </w:tc>
        <w:tc>
          <w:tcPr>
            <w:tcW w:type="dxa" w:w="1440"/>
            <w:shd w:fill="F2F5F9"/>
          </w:tcPr>
          <w:p>
            <w:pPr>
              <w:spacing w:after="20" w:before="20"/>
              <w:jc w:val="left"/>
            </w:pPr>
            <w:r>
              <w:rPr>
                <w:rFonts w:ascii="Times New Roman" w:hAnsi="Times New Roman"/>
                <w:sz w:val="15"/>
              </w:rPr>
              <w:t>Kubernetes</w:t>
            </w:r>
          </w:p>
        </w:tc>
        <w:tc>
          <w:tcPr>
            <w:tcW w:type="dxa" w:w="1440"/>
            <w:shd w:fill="F2F5F9"/>
          </w:tcPr>
          <w:p>
            <w:pPr>
              <w:spacing w:after="20" w:before="20"/>
              <w:jc w:val="left"/>
            </w:pPr>
            <w:r>
              <w:rPr>
                <w:rFonts w:ascii="Times New Roman" w:hAnsi="Times New Roman"/>
                <w:sz w:val="15"/>
              </w:rPr>
              <w:t>Single LLM (GPT-4)</w:t>
            </w:r>
          </w:p>
        </w:tc>
        <w:tc>
          <w:tcPr>
            <w:tcW w:type="dxa" w:w="1440"/>
            <w:shd w:fill="F2F5F9"/>
          </w:tcPr>
          <w:p>
            <w:pPr>
              <w:spacing w:after="20" w:before="20"/>
              <w:jc w:val="left"/>
            </w:pPr>
            <w:r>
              <w:rPr>
                <w:rFonts w:ascii="Times New Roman" w:hAnsi="Times New Roman"/>
                <w:sz w:val="15"/>
              </w:rPr>
              <w:t>None</w:t>
            </w:r>
          </w:p>
        </w:tc>
        <w:tc>
          <w:tcPr>
            <w:tcW w:type="dxa" w:w="1440"/>
            <w:shd w:fill="F2F5F9"/>
          </w:tcPr>
          <w:p>
            <w:pPr>
              <w:spacing w:after="20" w:before="20"/>
              <w:jc w:val="left"/>
            </w:pPr>
            <w:r>
              <w:rPr>
                <w:rFonts w:ascii="Times New Roman" w:hAnsi="Times New Roman"/>
                <w:sz w:val="15"/>
              </w:rPr>
              <w:t>Text Advice</w:t>
            </w:r>
          </w:p>
        </w:tc>
        <w:tc>
          <w:tcPr>
            <w:tcW w:type="dxa" w:w="1440"/>
            <w:shd w:fill="F2F5F9"/>
          </w:tcPr>
          <w:p>
            <w:pPr>
              <w:spacing w:after="20" w:before="20"/>
              <w:jc w:val="left"/>
            </w:pPr>
            <w:r>
              <w:rPr>
                <w:rFonts w:ascii="Times New Roman" w:hAnsi="Times New Roman"/>
                <w:sz w:val="15"/>
              </w:rPr>
              <w:t>18.2%</w:t>
            </w:r>
          </w:p>
        </w:tc>
        <w:tc>
          <w:tcPr>
            <w:tcW w:type="dxa" w:w="1440"/>
            <w:shd w:fill="F2F5F9"/>
          </w:tcPr>
          <w:p>
            <w:pPr>
              <w:spacing w:after="20" w:before="20"/>
              <w:jc w:val="left"/>
            </w:pPr>
            <w:r>
              <w:rPr>
                <w:rFonts w:ascii="Times New Roman" w:hAnsi="Times New Roman"/>
                <w:sz w:val="15"/>
              </w:rPr>
              <w:t>Restricted to K8s manifests only</w:t>
            </w:r>
          </w:p>
        </w:tc>
      </w:tr>
      <w:tr>
        <w:tc>
          <w:tcPr>
            <w:tcW w:type="dxa" w:w="1440"/>
          </w:tcPr>
          <w:p>
            <w:pPr>
              <w:spacing w:after="20" w:before="20"/>
              <w:jc w:val="left"/>
            </w:pPr>
            <w:r>
              <w:rPr>
                <w:rFonts w:ascii="Times New Roman" w:hAnsi="Times New Roman"/>
                <w:sz w:val="15"/>
              </w:rPr>
              <w:t>Ciri (Lian et al.) [4]</w:t>
            </w:r>
          </w:p>
        </w:tc>
        <w:tc>
          <w:tcPr>
            <w:tcW w:type="dxa" w:w="1440"/>
          </w:tcPr>
          <w:p>
            <w:pPr>
              <w:spacing w:after="20" w:before="20"/>
              <w:jc w:val="left"/>
            </w:pPr>
            <w:r>
              <w:rPr>
                <w:rFonts w:ascii="Times New Roman" w:hAnsi="Times New Roman"/>
                <w:sz w:val="15"/>
              </w:rPr>
              <w:t>Config Files</w:t>
            </w:r>
          </w:p>
        </w:tc>
        <w:tc>
          <w:tcPr>
            <w:tcW w:type="dxa" w:w="1440"/>
          </w:tcPr>
          <w:p>
            <w:pPr>
              <w:spacing w:after="20" w:before="20"/>
              <w:jc w:val="left"/>
            </w:pPr>
            <w:r>
              <w:rPr>
                <w:rFonts w:ascii="Times New Roman" w:hAnsi="Times New Roman"/>
                <w:sz w:val="15"/>
              </w:rPr>
              <w:t>LLM Spec Match</w:t>
            </w:r>
          </w:p>
        </w:tc>
        <w:tc>
          <w:tcPr>
            <w:tcW w:type="dxa" w:w="1440"/>
          </w:tcPr>
          <w:p>
            <w:pPr>
              <w:spacing w:after="20" w:before="20"/>
              <w:jc w:val="left"/>
            </w:pPr>
            <w:r>
              <w:rPr>
                <w:rFonts w:ascii="Times New Roman" w:hAnsi="Times New Roman"/>
                <w:sz w:val="15"/>
              </w:rPr>
              <w:t>None</w:t>
            </w:r>
          </w:p>
        </w:tc>
        <w:tc>
          <w:tcPr>
            <w:tcW w:type="dxa" w:w="1440"/>
          </w:tcPr>
          <w:p>
            <w:pPr>
              <w:spacing w:after="20" w:before="20"/>
              <w:jc w:val="left"/>
            </w:pPr>
            <w:r>
              <w:rPr>
                <w:rFonts w:ascii="Times New Roman" w:hAnsi="Times New Roman"/>
                <w:sz w:val="15"/>
              </w:rPr>
              <w:t>None</w:t>
            </w:r>
          </w:p>
        </w:tc>
        <w:tc>
          <w:tcPr>
            <w:tcW w:type="dxa" w:w="1440"/>
          </w:tcPr>
          <w:p>
            <w:pPr>
              <w:spacing w:after="20" w:before="20"/>
              <w:jc w:val="left"/>
            </w:pPr>
            <w:r>
              <w:rPr>
                <w:rFonts w:ascii="Times New Roman" w:hAnsi="Times New Roman"/>
                <w:sz w:val="15"/>
              </w:rPr>
              <w:t>16.4%</w:t>
            </w:r>
          </w:p>
        </w:tc>
        <w:tc>
          <w:tcPr>
            <w:tcW w:type="dxa" w:w="1440"/>
          </w:tcPr>
          <w:p>
            <w:pPr>
              <w:spacing w:after="20" w:before="20"/>
              <w:jc w:val="left"/>
            </w:pPr>
            <w:r>
              <w:rPr>
                <w:rFonts w:ascii="Times New Roman" w:hAnsi="Times New Roman"/>
                <w:sz w:val="15"/>
              </w:rPr>
              <w:t>Lacks executable code patch generation</w:t>
            </w:r>
          </w:p>
        </w:tc>
      </w:tr>
      <w:tr>
        <w:tc>
          <w:tcPr>
            <w:tcW w:type="dxa" w:w="1440"/>
            <w:shd w:fill="F2F5F9"/>
          </w:tcPr>
          <w:p>
            <w:pPr>
              <w:spacing w:after="20" w:before="20"/>
              <w:jc w:val="left"/>
            </w:pPr>
            <w:r>
              <w:rPr>
                <w:rFonts w:ascii="Times New Roman" w:hAnsi="Times New Roman"/>
                <w:sz w:val="15"/>
              </w:rPr>
              <w:t>Minna et al. [5]</w:t>
            </w:r>
          </w:p>
        </w:tc>
        <w:tc>
          <w:tcPr>
            <w:tcW w:type="dxa" w:w="1440"/>
            <w:shd w:fill="F2F5F9"/>
          </w:tcPr>
          <w:p>
            <w:pPr>
              <w:spacing w:after="20" w:before="20"/>
              <w:jc w:val="left"/>
            </w:pPr>
            <w:r>
              <w:rPr>
                <w:rFonts w:ascii="Times New Roman" w:hAnsi="Times New Roman"/>
                <w:sz w:val="15"/>
              </w:rPr>
              <w:t>Helm Charts</w:t>
            </w:r>
          </w:p>
        </w:tc>
        <w:tc>
          <w:tcPr>
            <w:tcW w:type="dxa" w:w="1440"/>
            <w:shd w:fill="F2F5F9"/>
          </w:tcPr>
          <w:p>
            <w:pPr>
              <w:spacing w:after="20" w:before="20"/>
              <w:jc w:val="left"/>
            </w:pPr>
            <w:r>
              <w:rPr>
                <w:rFonts w:ascii="Times New Roman" w:hAnsi="Times New Roman"/>
                <w:sz w:val="15"/>
              </w:rPr>
              <w:t>LLM Smell Check</w:t>
            </w:r>
          </w:p>
        </w:tc>
        <w:tc>
          <w:tcPr>
            <w:tcW w:type="dxa" w:w="1440"/>
            <w:shd w:fill="F2F5F9"/>
          </w:tcPr>
          <w:p>
            <w:pPr>
              <w:spacing w:after="20" w:before="20"/>
              <w:jc w:val="left"/>
            </w:pPr>
            <w:r>
              <w:rPr>
                <w:rFonts w:ascii="Times New Roman" w:hAnsi="Times New Roman"/>
                <w:sz w:val="15"/>
              </w:rPr>
              <w:t>Basic Regex</w:t>
            </w:r>
          </w:p>
        </w:tc>
        <w:tc>
          <w:tcPr>
            <w:tcW w:type="dxa" w:w="1440"/>
            <w:shd w:fill="F2F5F9"/>
          </w:tcPr>
          <w:p>
            <w:pPr>
              <w:spacing w:after="20" w:before="20"/>
              <w:jc w:val="left"/>
            </w:pPr>
            <w:r>
              <w:rPr>
                <w:rFonts w:ascii="Times New Roman" w:hAnsi="Times New Roman"/>
                <w:sz w:val="15"/>
              </w:rPr>
              <w:t>Text Advice</w:t>
            </w:r>
          </w:p>
        </w:tc>
        <w:tc>
          <w:tcPr>
            <w:tcW w:type="dxa" w:w="1440"/>
            <w:shd w:fill="F2F5F9"/>
          </w:tcPr>
          <w:p>
            <w:pPr>
              <w:spacing w:after="20" w:before="20"/>
              <w:jc w:val="left"/>
            </w:pPr>
            <w:r>
              <w:rPr>
                <w:rFonts w:ascii="Times New Roman" w:hAnsi="Times New Roman"/>
                <w:sz w:val="15"/>
              </w:rPr>
              <w:t>19.1%</w:t>
            </w:r>
          </w:p>
        </w:tc>
        <w:tc>
          <w:tcPr>
            <w:tcW w:type="dxa" w:w="1440"/>
            <w:shd w:fill="F2F5F9"/>
          </w:tcPr>
          <w:p>
            <w:pPr>
              <w:spacing w:after="20" w:before="20"/>
              <w:jc w:val="left"/>
            </w:pPr>
            <w:r>
              <w:rPr>
                <w:rFonts w:ascii="Times New Roman" w:hAnsi="Times New Roman"/>
                <w:sz w:val="15"/>
              </w:rPr>
              <w:t>No runtime sandbox verification</w:t>
            </w:r>
          </w:p>
        </w:tc>
      </w:tr>
      <w:tr>
        <w:tc>
          <w:tcPr>
            <w:tcW w:type="dxa" w:w="1440"/>
          </w:tcPr>
          <w:p>
            <w:pPr>
              <w:spacing w:after="20" w:before="20"/>
              <w:jc w:val="left"/>
            </w:pPr>
            <w:r>
              <w:rPr>
                <w:rFonts w:ascii="Times New Roman" w:hAnsi="Times New Roman"/>
                <w:sz w:val="15"/>
              </w:rPr>
              <w:t>Ullah et al. [6]</w:t>
            </w:r>
          </w:p>
        </w:tc>
        <w:tc>
          <w:tcPr>
            <w:tcW w:type="dxa" w:w="1440"/>
          </w:tcPr>
          <w:p>
            <w:pPr>
              <w:spacing w:after="20" w:before="20"/>
              <w:jc w:val="left"/>
            </w:pPr>
            <w:r>
              <w:rPr>
                <w:rFonts w:ascii="Times New Roman" w:hAnsi="Times New Roman"/>
                <w:sz w:val="15"/>
              </w:rPr>
              <w:t>General Code</w:t>
            </w:r>
          </w:p>
        </w:tc>
        <w:tc>
          <w:tcPr>
            <w:tcW w:type="dxa" w:w="1440"/>
          </w:tcPr>
          <w:p>
            <w:pPr>
              <w:spacing w:after="20" w:before="20"/>
              <w:jc w:val="left"/>
            </w:pPr>
            <w:r>
              <w:rPr>
                <w:rFonts w:ascii="Times New Roman" w:hAnsi="Times New Roman"/>
                <w:sz w:val="15"/>
              </w:rPr>
              <w:t>LLM Benchmarks</w:t>
            </w:r>
          </w:p>
        </w:tc>
        <w:tc>
          <w:tcPr>
            <w:tcW w:type="dxa" w:w="1440"/>
          </w:tcPr>
          <w:p>
            <w:pPr>
              <w:spacing w:after="20" w:before="20"/>
              <w:jc w:val="left"/>
            </w:pPr>
            <w:r>
              <w:rPr>
                <w:rFonts w:ascii="Times New Roman" w:hAnsi="Times New Roman"/>
                <w:sz w:val="15"/>
              </w:rPr>
              <w:t>None</w:t>
            </w:r>
          </w:p>
        </w:tc>
        <w:tc>
          <w:tcPr>
            <w:tcW w:type="dxa" w:w="1440"/>
          </w:tcPr>
          <w:p>
            <w:pPr>
              <w:spacing w:after="20" w:before="20"/>
              <w:jc w:val="left"/>
            </w:pPr>
            <w:r>
              <w:rPr>
                <w:rFonts w:ascii="Times New Roman" w:hAnsi="Times New Roman"/>
                <w:sz w:val="15"/>
              </w:rPr>
              <w:t>None</w:t>
            </w:r>
          </w:p>
        </w:tc>
        <w:tc>
          <w:tcPr>
            <w:tcW w:type="dxa" w:w="1440"/>
          </w:tcPr>
          <w:p>
            <w:pPr>
              <w:spacing w:after="20" w:before="20"/>
              <w:jc w:val="left"/>
            </w:pPr>
            <w:r>
              <w:rPr>
                <w:rFonts w:ascii="Times New Roman" w:hAnsi="Times New Roman"/>
                <w:sz w:val="15"/>
              </w:rPr>
              <w:t>32.0%</w:t>
            </w:r>
          </w:p>
        </w:tc>
        <w:tc>
          <w:tcPr>
            <w:tcW w:type="dxa" w:w="1440"/>
          </w:tcPr>
          <w:p>
            <w:pPr>
              <w:spacing w:after="20" w:before="20"/>
              <w:jc w:val="left"/>
            </w:pPr>
            <w:r>
              <w:rPr>
                <w:rFonts w:ascii="Times New Roman" w:hAnsi="Times New Roman"/>
                <w:sz w:val="15"/>
              </w:rPr>
              <w:t>Proves single LLMs hallucinate security</w:t>
            </w:r>
          </w:p>
        </w:tc>
      </w:tr>
      <w:tr>
        <w:tc>
          <w:tcPr>
            <w:tcW w:type="dxa" w:w="1440"/>
            <w:shd w:fill="F2F5F9"/>
          </w:tcPr>
          <w:p>
            <w:pPr>
              <w:spacing w:after="20" w:before="20"/>
              <w:jc w:val="left"/>
            </w:pPr>
            <w:r>
              <w:rPr>
                <w:rFonts w:ascii="Times New Roman" w:hAnsi="Times New Roman"/>
                <w:sz w:val="15"/>
              </w:rPr>
              <w:t>Toprani &amp; Madisetti [1]</w:t>
            </w:r>
          </w:p>
        </w:tc>
        <w:tc>
          <w:tcPr>
            <w:tcW w:type="dxa" w:w="1440"/>
            <w:shd w:fill="F2F5F9"/>
          </w:tcPr>
          <w:p>
            <w:pPr>
              <w:spacing w:after="20" w:before="20"/>
              <w:jc w:val="left"/>
            </w:pPr>
            <w:r>
              <w:rPr>
                <w:rFonts w:ascii="Times New Roman" w:hAnsi="Times New Roman"/>
                <w:sz w:val="15"/>
              </w:rPr>
              <w:t>AWS CFN Only</w:t>
            </w:r>
          </w:p>
        </w:tc>
        <w:tc>
          <w:tcPr>
            <w:tcW w:type="dxa" w:w="1440"/>
            <w:shd w:fill="F2F5F9"/>
          </w:tcPr>
          <w:p>
            <w:pPr>
              <w:spacing w:after="20" w:before="20"/>
              <w:jc w:val="left"/>
            </w:pPr>
            <w:r>
              <w:rPr>
                <w:rFonts w:ascii="Times New Roman" w:hAnsi="Times New Roman"/>
                <w:sz w:val="15"/>
              </w:rPr>
              <w:t>Claude 3.5 + RAG</w:t>
            </w:r>
          </w:p>
        </w:tc>
        <w:tc>
          <w:tcPr>
            <w:tcW w:type="dxa" w:w="1440"/>
            <w:shd w:fill="F2F5F9"/>
          </w:tcPr>
          <w:p>
            <w:pPr>
              <w:spacing w:after="20" w:before="20"/>
              <w:jc w:val="left"/>
            </w:pPr>
            <w:r>
              <w:rPr>
                <w:rFonts w:ascii="Times New Roman" w:hAnsi="Times New Roman"/>
                <w:sz w:val="15"/>
              </w:rPr>
              <w:t>None</w:t>
            </w:r>
          </w:p>
        </w:tc>
        <w:tc>
          <w:tcPr>
            <w:tcW w:type="dxa" w:w="1440"/>
            <w:shd w:fill="F2F5F9"/>
          </w:tcPr>
          <w:p>
            <w:pPr>
              <w:spacing w:after="20" w:before="20"/>
              <w:jc w:val="left"/>
            </w:pPr>
            <w:r>
              <w:rPr>
                <w:rFonts w:ascii="Times New Roman" w:hAnsi="Times New Roman"/>
                <w:sz w:val="15"/>
              </w:rPr>
              <w:t>Text Only</w:t>
            </w:r>
          </w:p>
        </w:tc>
        <w:tc>
          <w:tcPr>
            <w:tcW w:type="dxa" w:w="1440"/>
            <w:shd w:fill="F2F5F9"/>
          </w:tcPr>
          <w:p>
            <w:pPr>
              <w:spacing w:after="20" w:before="20"/>
              <w:jc w:val="left"/>
            </w:pPr>
            <w:r>
              <w:rPr>
                <w:rFonts w:ascii="Times New Roman" w:hAnsi="Times New Roman"/>
                <w:sz w:val="15"/>
              </w:rPr>
              <w:t>15.0%</w:t>
            </w:r>
          </w:p>
        </w:tc>
        <w:tc>
          <w:tcPr>
            <w:tcW w:type="dxa" w:w="1440"/>
            <w:shd w:fill="F2F5F9"/>
          </w:tcPr>
          <w:p>
            <w:pPr>
              <w:spacing w:after="20" w:before="20"/>
              <w:jc w:val="left"/>
            </w:pPr>
            <w:r>
              <w:rPr>
                <w:rFonts w:ascii="Times New Roman" w:hAnsi="Times New Roman"/>
                <w:sz w:val="15"/>
              </w:rPr>
              <w:t>Single-cloud, unvalidated text fixes</w:t>
            </w:r>
          </w:p>
        </w:tc>
      </w:tr>
      <w:tr>
        <w:tc>
          <w:tcPr>
            <w:tcW w:type="dxa" w:w="1440"/>
          </w:tcPr>
          <w:p>
            <w:pPr>
              <w:spacing w:after="20" w:before="20"/>
              <w:jc w:val="left"/>
            </w:pPr>
            <w:r>
              <w:rPr>
                <w:rFonts w:ascii="Times New Roman" w:hAnsi="Times New Roman"/>
                <w:b/>
                <w:sz w:val="15"/>
              </w:rPr>
              <w:t>AgentShield AI (Ours)</w:t>
            </w:r>
          </w:p>
        </w:tc>
        <w:tc>
          <w:tcPr>
            <w:tcW w:type="dxa" w:w="1440"/>
          </w:tcPr>
          <w:p>
            <w:pPr>
              <w:spacing w:after="20" w:before="20"/>
              <w:jc w:val="left"/>
            </w:pPr>
            <w:r>
              <w:rPr>
                <w:rFonts w:ascii="Times New Roman" w:hAnsi="Times New Roman"/>
                <w:b/>
                <w:sz w:val="15"/>
              </w:rPr>
              <w:t>Multi-Cloud IaC</w:t>
            </w:r>
          </w:p>
        </w:tc>
        <w:tc>
          <w:tcPr>
            <w:tcW w:type="dxa" w:w="1440"/>
          </w:tcPr>
          <w:p>
            <w:pPr>
              <w:spacing w:after="20" w:before="20"/>
              <w:jc w:val="left"/>
            </w:pPr>
            <w:r>
              <w:rPr>
                <w:rFonts w:ascii="Times New Roman" w:hAnsi="Times New Roman"/>
                <w:b/>
                <w:sz w:val="15"/>
              </w:rPr>
              <w:t>AST+RAG+Ensemble</w:t>
            </w:r>
          </w:p>
        </w:tc>
        <w:tc>
          <w:tcPr>
            <w:tcW w:type="dxa" w:w="1440"/>
          </w:tcPr>
          <w:p>
            <w:pPr>
              <w:spacing w:after="20" w:before="20"/>
              <w:jc w:val="left"/>
            </w:pPr>
            <w:r>
              <w:rPr>
                <w:rFonts w:ascii="Times New Roman" w:hAnsi="Times New Roman"/>
                <w:b/>
                <w:sz w:val="15"/>
              </w:rPr>
              <w:t>Gitleaks Engine</w:t>
            </w:r>
          </w:p>
        </w:tc>
        <w:tc>
          <w:tcPr>
            <w:tcW w:type="dxa" w:w="1440"/>
          </w:tcPr>
          <w:p>
            <w:pPr>
              <w:spacing w:after="20" w:before="20"/>
              <w:jc w:val="left"/>
            </w:pPr>
            <w:r>
              <w:rPr>
                <w:rFonts w:ascii="Times New Roman" w:hAnsi="Times New Roman"/>
                <w:b/>
                <w:sz w:val="15"/>
              </w:rPr>
              <w:t>Verified Diff</w:t>
            </w:r>
          </w:p>
        </w:tc>
        <w:tc>
          <w:tcPr>
            <w:tcW w:type="dxa" w:w="1440"/>
          </w:tcPr>
          <w:p>
            <w:pPr>
              <w:spacing w:after="20" w:before="20"/>
              <w:jc w:val="left"/>
            </w:pPr>
            <w:r>
              <w:rPr>
                <w:rFonts w:ascii="Times New Roman" w:hAnsi="Times New Roman"/>
                <w:b/>
                <w:sz w:val="15"/>
              </w:rPr>
              <w:t>2.4%</w:t>
            </w:r>
          </w:p>
        </w:tc>
        <w:tc>
          <w:tcPr>
            <w:tcW w:type="dxa" w:w="1440"/>
          </w:tcPr>
          <w:p>
            <w:pPr>
              <w:spacing w:after="20" w:before="20"/>
              <w:jc w:val="left"/>
            </w:pPr>
            <w:r>
              <w:rPr>
                <w:rFonts w:ascii="Times New Roman" w:hAnsi="Times New Roman"/>
                <w:b/>
                <w:sz w:val="15"/>
              </w:rPr>
              <w:t>Zero-breakage multi-cloud patch engine</w:t>
            </w:r>
          </w:p>
        </w:tc>
      </w:tr>
    </w:tbl>
    <w:p>
      <w:pPr>
        <w:keepNext/>
        <w:spacing w:before="240" w:after="60"/>
        <w:jc w:val="left"/>
      </w:pPr>
      <w:r>
        <w:rPr>
          <w:rFonts w:ascii="Times New Roman" w:hAnsi="Times New Roman"/>
          <w:b/>
          <w:color w:val="002060"/>
          <w:sz w:val="21"/>
        </w:rPr>
        <w:t>III. PROPOSED METHODOLOGY</w:t>
      </w:r>
    </w:p>
    <w:p>
      <w:pPr>
        <w:spacing w:after="60" w:line="269" w:lineRule="auto"/>
        <w:jc w:val="both"/>
      </w:pPr>
      <w:r>
        <w:rPr>
          <w:rFonts w:ascii="Times New Roman" w:hAnsi="Times New Roman"/>
          <w:sz w:val="19"/>
        </w:rPr>
        <w:t>AgentShield AI replaces linear, single-model LLM scripts with a stateful, non-linear multi-agent orchestration network built on LangGraph. The framework coordinates 8 specialized AI agents operating over an immutable Pydantic state container ('AgentShieldState'), ensuring complete auditability, deterministic execution, and human-in-the-loop fallback control.</w:t>
      </w:r>
    </w:p>
    <w:p>
      <w:pPr>
        <w:keepNext/>
        <w:spacing w:before="160" w:after="40"/>
        <w:jc w:val="left"/>
      </w:pPr>
      <w:r>
        <w:rPr>
          <w:rFonts w:ascii="Times New Roman" w:hAnsi="Times New Roman"/>
          <w:b/>
          <w:i/>
          <w:color w:val="222222"/>
          <w:sz w:val="20"/>
        </w:rPr>
        <w:t>A. Stateful LangGraph Orchestration &amp; Immutable Pydantic State Schema</w:t>
      </w:r>
    </w:p>
    <w:p>
      <w:pPr>
        <w:spacing w:after="60" w:line="269" w:lineRule="auto"/>
        <w:jc w:val="both"/>
      </w:pPr>
      <w:r>
        <w:rPr>
          <w:rFonts w:ascii="Times New Roman" w:hAnsi="Times New Roman"/>
          <w:sz w:val="19"/>
        </w:rPr>
        <w:t>The core execution workflow is modeled as a directed cyclic graph (DCG) managed by LangGraph. Agent execution state is encapsulated in a strongly-typed Pydantic schema containing input IaC source files, resolved AST node representations, detected secrets, vector RAG context chunks, multi-LLM confidence scores, generated diff patches, and sandbox execution logs.</w:t>
      </w:r>
    </w:p>
    <w:p>
      <w:pPr>
        <w:keepNext/>
        <w:spacing w:before="160" w:after="40"/>
        <w:jc w:val="left"/>
      </w:pPr>
      <w:r>
        <w:rPr>
          <w:rFonts w:ascii="Times New Roman" w:hAnsi="Times New Roman"/>
          <w:b/>
          <w:i/>
          <w:color w:val="222222"/>
          <w:sz w:val="20"/>
        </w:rPr>
        <w:t>B. Dynamic AST Parameter Resolution Engine</w:t>
      </w:r>
    </w:p>
    <w:p>
      <w:pPr>
        <w:spacing w:after="60" w:line="269" w:lineRule="auto"/>
        <w:jc w:val="both"/>
      </w:pPr>
      <w:r>
        <w:rPr>
          <w:rFonts w:ascii="Times New Roman" w:hAnsi="Times New Roman"/>
          <w:sz w:val="19"/>
        </w:rPr>
        <w:t>To eliminate parameterized context blindness, input IaC templates pass through a Hybrid AST Parser prior to LLM ingestion. The parser evaluates local variable assignments ('locals'), variable defaults ('variables.tf'), and conditional resource flags ('count', 'for_each'), producing a fully resolved intermediate representation (AST-IR). This ensures the LLM reasons over exact evaluable resource properties rather than unparsed variable placeholders.</w:t>
      </w:r>
    </w:p>
    <w:p>
      <w:pPr>
        <w:keepNext/>
        <w:spacing w:before="160" w:after="40"/>
        <w:jc w:val="left"/>
      </w:pPr>
      <w:r>
        <w:rPr>
          <w:rFonts w:ascii="Times New Roman" w:hAnsi="Times New Roman"/>
          <w:b/>
          <w:i/>
          <w:color w:val="222222"/>
          <w:sz w:val="20"/>
        </w:rPr>
        <w:t>C. Embedded Secrets Interception Engine</w:t>
      </w:r>
    </w:p>
    <w:p>
      <w:pPr>
        <w:spacing w:after="60" w:line="269" w:lineRule="auto"/>
        <w:jc w:val="both"/>
      </w:pPr>
      <w:r>
        <w:rPr>
          <w:rFonts w:ascii="Times New Roman" w:hAnsi="Times New Roman"/>
          <w:sz w:val="19"/>
        </w:rPr>
        <w:t>AgentShield AI incorporates a dedicated Secrets Scanner Agent executing embedded Gitleaks and TruffleHog entropy scanners. Templates are scanned prior to vector embedding or LLM inference, ensuring that hardcoded API keys, JWT tokens, and private RSA keys are intercepted, redacting sensitive material before downstream model processing.</w:t>
      </w:r>
    </w:p>
    <w:p>
      <w:pPr>
        <w:keepNext/>
        <w:spacing w:before="160" w:after="40"/>
        <w:jc w:val="left"/>
      </w:pPr>
      <w:r>
        <w:rPr>
          <w:rFonts w:ascii="Times New Roman" w:hAnsi="Times New Roman"/>
          <w:b/>
          <w:i/>
          <w:color w:val="222222"/>
          <w:sz w:val="20"/>
        </w:rPr>
        <w:t>D. Dense-Sparse Hybrid RAG Knowledge Retrieval Core</w:t>
      </w:r>
    </w:p>
    <w:p>
      <w:pPr>
        <w:spacing w:after="60" w:line="269" w:lineRule="auto"/>
        <w:jc w:val="both"/>
      </w:pPr>
      <w:r>
        <w:rPr>
          <w:rFonts w:ascii="Times New Roman" w:hAnsi="Times New Roman"/>
          <w:sz w:val="19"/>
        </w:rPr>
        <w:t>The knowledge core utilizes a hybrid retrieval architecture combining dense vector embeddings (Qdrant/ChromaDB with OpenAI text-embedding-3-large) and sparse keyword retrieval (BM25). The knowledge base indexes CIS Foundations Benchmarks [9], AWS Well-Architected guidelines [8], NIST 800-53 controls [11], PCI-DSS v4.0 rules [12], and daily updated CVE databases.</w:t>
      </w:r>
    </w:p>
    <w:p>
      <w:pPr>
        <w:keepNext/>
        <w:spacing w:before="160" w:after="40"/>
        <w:jc w:val="left"/>
      </w:pPr>
      <w:r>
        <w:rPr>
          <w:rFonts w:ascii="Times New Roman" w:hAnsi="Times New Roman"/>
          <w:b/>
          <w:i/>
          <w:color w:val="222222"/>
          <w:sz w:val="20"/>
        </w:rPr>
        <w:t>E. Multi-LLM Ensemble Consensus &amp; Voting Engine</w:t>
      </w:r>
    </w:p>
    <w:p>
      <w:pPr>
        <w:spacing w:after="60" w:line="269" w:lineRule="auto"/>
        <w:jc w:val="both"/>
      </w:pPr>
      <w:r>
        <w:rPr>
          <w:rFonts w:ascii="Times New Roman" w:hAnsi="Times New Roman"/>
          <w:sz w:val="19"/>
        </w:rPr>
        <w:t>To overcome single-model hallucinations (~15% FPR in base paper [1]), AgentShield AI executes parallel Multi-LLM Ensemble Voting utilizing Anthropic Claude 3.5 Sonnet and OpenAI GPT-4o. Findings are evaluated via Chain-of-Thought reasoning. If both models agree and the calculated ensemble confidence score exceeds 0.85, findings proceed to automated patching; otherwise, findings escalate to the Human Security Audit Queue.</w:t>
      </w:r>
    </w:p>
    <w:p>
      <w:pPr>
        <w:keepNext/>
        <w:spacing w:before="160" w:after="40"/>
        <w:jc w:val="left"/>
      </w:pPr>
      <w:r>
        <w:rPr>
          <w:rFonts w:ascii="Times New Roman" w:hAnsi="Times New Roman"/>
          <w:b/>
          <w:i/>
          <w:color w:val="222222"/>
          <w:sz w:val="20"/>
        </w:rPr>
        <w:t>F. Automated Patch Remediation &amp; Unified Code Diff Generation</w:t>
      </w:r>
    </w:p>
    <w:p>
      <w:pPr>
        <w:spacing w:after="60" w:line="269" w:lineRule="auto"/>
        <w:jc w:val="both"/>
      </w:pPr>
      <w:r>
        <w:rPr>
          <w:rFonts w:ascii="Times New Roman" w:hAnsi="Times New Roman"/>
          <w:sz w:val="19"/>
        </w:rPr>
        <w:t>The Auto-Patch Remediation Agent converts high-confidence findings into exact, syntactically valid unified code diff patches. Unlike baseline models that generate natural language text advice [1], AgentShield AI modifies exact resource blocks while preserving code style, comments, and original indentations.</w:t>
      </w:r>
    </w:p>
    <w:p>
      <w:pPr>
        <w:keepNext/>
        <w:spacing w:before="160" w:after="40"/>
        <w:jc w:val="left"/>
      </w:pPr>
      <w:r>
        <w:rPr>
          <w:rFonts w:ascii="Times New Roman" w:hAnsi="Times New Roman"/>
          <w:b/>
          <w:i/>
          <w:color w:val="222222"/>
          <w:sz w:val="20"/>
        </w:rPr>
        <w:t>G. LocalStack Runtime Sandbox &amp; Static Linter Harness</w:t>
      </w:r>
    </w:p>
    <w:p>
      <w:pPr>
        <w:spacing w:after="60" w:line="269" w:lineRule="auto"/>
        <w:jc w:val="both"/>
      </w:pPr>
      <w:r>
        <w:rPr>
          <w:rFonts w:ascii="Times New Roman" w:hAnsi="Times New Roman"/>
          <w:sz w:val="19"/>
        </w:rPr>
        <w:t>Generated patches undergo dual-stage verification: Stage 1 executes static linters ('terraform validate', 'cfn-lint'), and Stage 2 deploys the patched code into a containerized LocalStack dry-run sandbox. This guarantees that recommended patches are syntactically valid and deployable without breaking cloud infrastructure.</w:t>
      </w:r>
    </w:p>
    <w:p>
      <w:pPr>
        <w:spacing w:after="60" w:line="269" w:lineRule="auto"/>
        <w:jc w:val="both"/>
      </w:pPr>
      <w:r>
        <w:rPr>
          <w:rFonts w:ascii="Times New Roman" w:hAnsi="Times New Roman"/>
          <w:sz w:val="19"/>
        </w:rPr>
        <w:t>TABLE III: AgentShield AI 8-Agent Modular Architecture Specification</w:t>
      </w:r>
    </w:p>
    <w:tbl>
      <w:tblPr>
        <w:tblW w:type="auto" w:w="0"/>
        <w:jc w:val="center"/>
        <w:tblLook w:firstColumn="1" w:firstRow="1" w:lastColumn="0" w:lastRow="0" w:noHBand="0" w:noVBand="1" w:val="04A0"/>
        <w:tblBorders>
          <w:top w:val="single" w:sz="6" w:space="0" w:color="002060"/>
          <w:bottom w:val="single" w:sz="6" w:space="0" w:color="002060"/>
          <w:insideH w:val="single" w:sz="4" w:space="0" w:color="E0E0E0"/>
          <w:insideV w:val="none"/>
          <w:left w:val="none"/>
          <w:right w:val="none"/>
        </w:tblBorders>
      </w:tblPr>
      <w:tblGrid>
        <w:gridCol w:w="2016"/>
        <w:gridCol w:w="2016"/>
        <w:gridCol w:w="2016"/>
        <w:gridCol w:w="2016"/>
        <w:gridCol w:w="2016"/>
      </w:tblGrid>
      <w:tr>
        <w:tc>
          <w:tcPr>
            <w:tcW w:type="dxa" w:w="2016"/>
            <w:shd w:fill="002060"/>
          </w:tcPr>
          <w:p>
            <w:pPr>
              <w:jc w:val="center"/>
            </w:pPr>
            <w:r>
              <w:rPr>
                <w:rFonts w:ascii="Times New Roman" w:hAnsi="Times New Roman"/>
                <w:b/>
                <w:color w:val="FFFFFF"/>
                <w:sz w:val="16"/>
              </w:rPr>
              <w:t>Agent Name</w:t>
            </w:r>
          </w:p>
        </w:tc>
        <w:tc>
          <w:tcPr>
            <w:tcW w:type="dxa" w:w="2016"/>
            <w:shd w:fill="002060"/>
          </w:tcPr>
          <w:p>
            <w:pPr>
              <w:jc w:val="center"/>
            </w:pPr>
            <w:r>
              <w:rPr>
                <w:rFonts w:ascii="Times New Roman" w:hAnsi="Times New Roman"/>
                <w:b/>
                <w:color w:val="FFFFFF"/>
                <w:sz w:val="16"/>
              </w:rPr>
              <w:t>Input Schema</w:t>
            </w:r>
          </w:p>
        </w:tc>
        <w:tc>
          <w:tcPr>
            <w:tcW w:type="dxa" w:w="2016"/>
            <w:shd w:fill="002060"/>
          </w:tcPr>
          <w:p>
            <w:pPr>
              <w:jc w:val="center"/>
            </w:pPr>
            <w:r>
              <w:rPr>
                <w:rFonts w:ascii="Times New Roman" w:hAnsi="Times New Roman"/>
                <w:b/>
                <w:color w:val="FFFFFF"/>
                <w:sz w:val="16"/>
              </w:rPr>
              <w:t>Core Execution Engine</w:t>
            </w:r>
          </w:p>
        </w:tc>
        <w:tc>
          <w:tcPr>
            <w:tcW w:type="dxa" w:w="2016"/>
            <w:shd w:fill="002060"/>
          </w:tcPr>
          <w:p>
            <w:pPr>
              <w:jc w:val="center"/>
            </w:pPr>
            <w:r>
              <w:rPr>
                <w:rFonts w:ascii="Times New Roman" w:hAnsi="Times New Roman"/>
                <w:b/>
                <w:color w:val="FFFFFF"/>
                <w:sz w:val="16"/>
              </w:rPr>
              <w:t>Output Artifact</w:t>
            </w:r>
          </w:p>
        </w:tc>
        <w:tc>
          <w:tcPr>
            <w:tcW w:type="dxa" w:w="2016"/>
            <w:shd w:fill="002060"/>
          </w:tcPr>
          <w:p>
            <w:pPr>
              <w:jc w:val="center"/>
            </w:pPr>
            <w:r>
              <w:rPr>
                <w:rFonts w:ascii="Times New Roman" w:hAnsi="Times New Roman"/>
                <w:b/>
                <w:color w:val="FFFFFF"/>
                <w:sz w:val="16"/>
              </w:rPr>
              <w:t>Fallback / Escalation</w:t>
            </w:r>
          </w:p>
        </w:tc>
      </w:tr>
      <w:tr>
        <w:tc>
          <w:tcPr>
            <w:tcW w:type="dxa" w:w="2016"/>
          </w:tcPr>
          <w:p>
            <w:pPr>
              <w:spacing w:after="20" w:before="20"/>
              <w:jc w:val="left"/>
            </w:pPr>
            <w:r>
              <w:rPr>
                <w:rFonts w:ascii="Times New Roman" w:hAnsi="Times New Roman"/>
                <w:sz w:val="15"/>
              </w:rPr>
              <w:t>1. Manager / Router</w:t>
            </w:r>
          </w:p>
        </w:tc>
        <w:tc>
          <w:tcPr>
            <w:tcW w:type="dxa" w:w="2016"/>
          </w:tcPr>
          <w:p>
            <w:pPr>
              <w:spacing w:after="20" w:before="20"/>
              <w:jc w:val="left"/>
            </w:pPr>
            <w:r>
              <w:rPr>
                <w:rFonts w:ascii="Times New Roman" w:hAnsi="Times New Roman"/>
                <w:sz w:val="15"/>
              </w:rPr>
              <w:t>Raw IaC Package</w:t>
            </w:r>
          </w:p>
        </w:tc>
        <w:tc>
          <w:tcPr>
            <w:tcW w:type="dxa" w:w="2016"/>
          </w:tcPr>
          <w:p>
            <w:pPr>
              <w:spacing w:after="20" w:before="20"/>
              <w:jc w:val="left"/>
            </w:pPr>
            <w:r>
              <w:rPr>
                <w:rFonts w:ascii="Times New Roman" w:hAnsi="Times New Roman"/>
                <w:sz w:val="15"/>
              </w:rPr>
              <w:t>Regex Format Detection</w:t>
            </w:r>
          </w:p>
        </w:tc>
        <w:tc>
          <w:tcPr>
            <w:tcW w:type="dxa" w:w="2016"/>
          </w:tcPr>
          <w:p>
            <w:pPr>
              <w:spacing w:after="20" w:before="20"/>
              <w:jc w:val="left"/>
            </w:pPr>
            <w:r>
              <w:rPr>
                <w:rFonts w:ascii="Times New Roman" w:hAnsi="Times New Roman"/>
                <w:sz w:val="15"/>
              </w:rPr>
              <w:t>Target Graph Route</w:t>
            </w:r>
          </w:p>
        </w:tc>
        <w:tc>
          <w:tcPr>
            <w:tcW w:type="dxa" w:w="2016"/>
          </w:tcPr>
          <w:p>
            <w:pPr>
              <w:spacing w:after="20" w:before="20"/>
              <w:jc w:val="left"/>
            </w:pPr>
            <w:r>
              <w:rPr>
                <w:rFonts w:ascii="Times New Roman" w:hAnsi="Times New Roman"/>
                <w:sz w:val="15"/>
              </w:rPr>
              <w:t>Default to Generic AST</w:t>
            </w:r>
          </w:p>
        </w:tc>
      </w:tr>
      <w:tr>
        <w:tc>
          <w:tcPr>
            <w:tcW w:type="dxa" w:w="2016"/>
            <w:shd w:fill="F2F5F9"/>
          </w:tcPr>
          <w:p>
            <w:pPr>
              <w:spacing w:after="20" w:before="20"/>
              <w:jc w:val="left"/>
            </w:pPr>
            <w:r>
              <w:rPr>
                <w:rFonts w:ascii="Times New Roman" w:hAnsi="Times New Roman"/>
                <w:sz w:val="15"/>
              </w:rPr>
              <w:t>2. Hybrid AST Parser</w:t>
            </w:r>
          </w:p>
        </w:tc>
        <w:tc>
          <w:tcPr>
            <w:tcW w:type="dxa" w:w="2016"/>
            <w:shd w:fill="F2F5F9"/>
          </w:tcPr>
          <w:p>
            <w:pPr>
              <w:spacing w:after="20" w:before="20"/>
              <w:jc w:val="left"/>
            </w:pPr>
            <w:r>
              <w:rPr>
                <w:rFonts w:ascii="Times New Roman" w:hAnsi="Times New Roman"/>
                <w:sz w:val="15"/>
              </w:rPr>
              <w:t>IaC Files + Vars</w:t>
            </w:r>
          </w:p>
        </w:tc>
        <w:tc>
          <w:tcPr>
            <w:tcW w:type="dxa" w:w="2016"/>
            <w:shd w:fill="F2F5F9"/>
          </w:tcPr>
          <w:p>
            <w:pPr>
              <w:spacing w:after="20" w:before="20"/>
              <w:jc w:val="left"/>
            </w:pPr>
            <w:r>
              <w:rPr>
                <w:rFonts w:ascii="Times New Roman" w:hAnsi="Times New Roman"/>
                <w:sz w:val="15"/>
              </w:rPr>
              <w:t>Tree-sitter HCL/JSON/YAML</w:t>
            </w:r>
          </w:p>
        </w:tc>
        <w:tc>
          <w:tcPr>
            <w:tcW w:type="dxa" w:w="2016"/>
            <w:shd w:fill="F2F5F9"/>
          </w:tcPr>
          <w:p>
            <w:pPr>
              <w:spacing w:after="20" w:before="20"/>
              <w:jc w:val="left"/>
            </w:pPr>
            <w:r>
              <w:rPr>
                <w:rFonts w:ascii="Times New Roman" w:hAnsi="Times New Roman"/>
                <w:sz w:val="15"/>
              </w:rPr>
              <w:t>AST-IR State Object</w:t>
            </w:r>
          </w:p>
        </w:tc>
        <w:tc>
          <w:tcPr>
            <w:tcW w:type="dxa" w:w="2016"/>
            <w:shd w:fill="F2F5F9"/>
          </w:tcPr>
          <w:p>
            <w:pPr>
              <w:spacing w:after="20" w:before="20"/>
              <w:jc w:val="left"/>
            </w:pPr>
            <w:r>
              <w:rPr>
                <w:rFonts w:ascii="Times New Roman" w:hAnsi="Times New Roman"/>
                <w:sz w:val="15"/>
              </w:rPr>
              <w:t>Raw Text Ingestion Fallback</w:t>
            </w:r>
          </w:p>
        </w:tc>
      </w:tr>
      <w:tr>
        <w:tc>
          <w:tcPr>
            <w:tcW w:type="dxa" w:w="2016"/>
          </w:tcPr>
          <w:p>
            <w:pPr>
              <w:spacing w:after="20" w:before="20"/>
              <w:jc w:val="left"/>
            </w:pPr>
            <w:r>
              <w:rPr>
                <w:rFonts w:ascii="Times New Roman" w:hAnsi="Times New Roman"/>
                <w:sz w:val="15"/>
              </w:rPr>
              <w:t>3. Secrets Scanner</w:t>
            </w:r>
          </w:p>
        </w:tc>
        <w:tc>
          <w:tcPr>
            <w:tcW w:type="dxa" w:w="2016"/>
          </w:tcPr>
          <w:p>
            <w:pPr>
              <w:spacing w:after="20" w:before="20"/>
              <w:jc w:val="left"/>
            </w:pPr>
            <w:r>
              <w:rPr>
                <w:rFonts w:ascii="Times New Roman" w:hAnsi="Times New Roman"/>
                <w:sz w:val="15"/>
              </w:rPr>
              <w:t>AST-IR State</w:t>
            </w:r>
          </w:p>
        </w:tc>
        <w:tc>
          <w:tcPr>
            <w:tcW w:type="dxa" w:w="2016"/>
          </w:tcPr>
          <w:p>
            <w:pPr>
              <w:spacing w:after="20" w:before="20"/>
              <w:jc w:val="left"/>
            </w:pPr>
            <w:r>
              <w:rPr>
                <w:rFonts w:ascii="Times New Roman" w:hAnsi="Times New Roman"/>
                <w:sz w:val="15"/>
              </w:rPr>
              <w:t>Gitleaks + TruffleHog Engine</w:t>
            </w:r>
          </w:p>
        </w:tc>
        <w:tc>
          <w:tcPr>
            <w:tcW w:type="dxa" w:w="2016"/>
          </w:tcPr>
          <w:p>
            <w:pPr>
              <w:spacing w:after="20" w:before="20"/>
              <w:jc w:val="left"/>
            </w:pPr>
            <w:r>
              <w:rPr>
                <w:rFonts w:ascii="Times New Roman" w:hAnsi="Times New Roman"/>
                <w:sz w:val="15"/>
              </w:rPr>
              <w:t>Redacted Secret State</w:t>
            </w:r>
          </w:p>
        </w:tc>
        <w:tc>
          <w:tcPr>
            <w:tcW w:type="dxa" w:w="2016"/>
          </w:tcPr>
          <w:p>
            <w:pPr>
              <w:spacing w:after="20" w:before="20"/>
              <w:jc w:val="left"/>
            </w:pPr>
            <w:r>
              <w:rPr>
                <w:rFonts w:ascii="Times New Roman" w:hAnsi="Times New Roman"/>
                <w:sz w:val="15"/>
              </w:rPr>
              <w:t>Block Pipeline on Hard Key</w:t>
            </w:r>
          </w:p>
        </w:tc>
      </w:tr>
      <w:tr>
        <w:tc>
          <w:tcPr>
            <w:tcW w:type="dxa" w:w="2016"/>
            <w:shd w:fill="F2F5F9"/>
          </w:tcPr>
          <w:p>
            <w:pPr>
              <w:spacing w:after="20" w:before="20"/>
              <w:jc w:val="left"/>
            </w:pPr>
            <w:r>
              <w:rPr>
                <w:rFonts w:ascii="Times New Roman" w:hAnsi="Times New Roman"/>
                <w:sz w:val="15"/>
              </w:rPr>
              <w:t>4. RAG Query Agent</w:t>
            </w:r>
          </w:p>
        </w:tc>
        <w:tc>
          <w:tcPr>
            <w:tcW w:type="dxa" w:w="2016"/>
            <w:shd w:fill="F2F5F9"/>
          </w:tcPr>
          <w:p>
            <w:pPr>
              <w:spacing w:after="20" w:before="20"/>
              <w:jc w:val="left"/>
            </w:pPr>
            <w:r>
              <w:rPr>
                <w:rFonts w:ascii="Times New Roman" w:hAnsi="Times New Roman"/>
                <w:sz w:val="15"/>
              </w:rPr>
              <w:t>AST-IR + Secrets</w:t>
            </w:r>
          </w:p>
        </w:tc>
        <w:tc>
          <w:tcPr>
            <w:tcW w:type="dxa" w:w="2016"/>
            <w:shd w:fill="F2F5F9"/>
          </w:tcPr>
          <w:p>
            <w:pPr>
              <w:spacing w:after="20" w:before="20"/>
              <w:jc w:val="left"/>
            </w:pPr>
            <w:r>
              <w:rPr>
                <w:rFonts w:ascii="Times New Roman" w:hAnsi="Times New Roman"/>
                <w:sz w:val="15"/>
              </w:rPr>
              <w:t>Qdrant Vector + BM25 Core</w:t>
            </w:r>
          </w:p>
        </w:tc>
        <w:tc>
          <w:tcPr>
            <w:tcW w:type="dxa" w:w="2016"/>
            <w:shd w:fill="F2F5F9"/>
          </w:tcPr>
          <w:p>
            <w:pPr>
              <w:spacing w:after="20" w:before="20"/>
              <w:jc w:val="left"/>
            </w:pPr>
            <w:r>
              <w:rPr>
                <w:rFonts w:ascii="Times New Roman" w:hAnsi="Times New Roman"/>
                <w:sz w:val="15"/>
              </w:rPr>
              <w:t>Annotated Policy Context</w:t>
            </w:r>
          </w:p>
        </w:tc>
        <w:tc>
          <w:tcPr>
            <w:tcW w:type="dxa" w:w="2016"/>
            <w:shd w:fill="F2F5F9"/>
          </w:tcPr>
          <w:p>
            <w:pPr>
              <w:spacing w:after="20" w:before="20"/>
              <w:jc w:val="left"/>
            </w:pPr>
            <w:r>
              <w:rPr>
                <w:rFonts w:ascii="Times New Roman" w:hAnsi="Times New Roman"/>
                <w:sz w:val="15"/>
              </w:rPr>
              <w:t>Default CIS Baseline Vector</w:t>
            </w:r>
          </w:p>
        </w:tc>
      </w:tr>
      <w:tr>
        <w:tc>
          <w:tcPr>
            <w:tcW w:type="dxa" w:w="2016"/>
          </w:tcPr>
          <w:p>
            <w:pPr>
              <w:spacing w:after="20" w:before="20"/>
              <w:jc w:val="left"/>
            </w:pPr>
            <w:r>
              <w:rPr>
                <w:rFonts w:ascii="Times New Roman" w:hAnsi="Times New Roman"/>
                <w:sz w:val="15"/>
              </w:rPr>
              <w:t>5. Security Analyst</w:t>
            </w:r>
          </w:p>
        </w:tc>
        <w:tc>
          <w:tcPr>
            <w:tcW w:type="dxa" w:w="2016"/>
          </w:tcPr>
          <w:p>
            <w:pPr>
              <w:spacing w:after="20" w:before="20"/>
              <w:jc w:val="left"/>
            </w:pPr>
            <w:r>
              <w:rPr>
                <w:rFonts w:ascii="Times New Roman" w:hAnsi="Times New Roman"/>
                <w:sz w:val="15"/>
              </w:rPr>
              <w:t>AST + Policy Context</w:t>
            </w:r>
          </w:p>
        </w:tc>
        <w:tc>
          <w:tcPr>
            <w:tcW w:type="dxa" w:w="2016"/>
          </w:tcPr>
          <w:p>
            <w:pPr>
              <w:spacing w:after="20" w:before="20"/>
              <w:jc w:val="left"/>
            </w:pPr>
            <w:r>
              <w:rPr>
                <w:rFonts w:ascii="Times New Roman" w:hAnsi="Times New Roman"/>
                <w:sz w:val="15"/>
              </w:rPr>
              <w:t>Claude 3.5 + GPT-4o Ensemble</w:t>
            </w:r>
          </w:p>
        </w:tc>
        <w:tc>
          <w:tcPr>
            <w:tcW w:type="dxa" w:w="2016"/>
          </w:tcPr>
          <w:p>
            <w:pPr>
              <w:spacing w:after="20" w:before="20"/>
              <w:jc w:val="left"/>
            </w:pPr>
            <w:r>
              <w:rPr>
                <w:rFonts w:ascii="Times New Roman" w:hAnsi="Times New Roman"/>
                <w:sz w:val="15"/>
              </w:rPr>
              <w:t>Vulnerability Finding + C_score</w:t>
            </w:r>
          </w:p>
        </w:tc>
        <w:tc>
          <w:tcPr>
            <w:tcW w:type="dxa" w:w="2016"/>
          </w:tcPr>
          <w:p>
            <w:pPr>
              <w:spacing w:after="20" w:before="20"/>
              <w:jc w:val="left"/>
            </w:pPr>
            <w:r>
              <w:rPr>
                <w:rFonts w:ascii="Times New Roman" w:hAnsi="Times New Roman"/>
                <w:sz w:val="15"/>
              </w:rPr>
              <w:t>Escalate to Human Queue (C&lt;0.85)</w:t>
            </w:r>
          </w:p>
        </w:tc>
      </w:tr>
      <w:tr>
        <w:tc>
          <w:tcPr>
            <w:tcW w:type="dxa" w:w="2016"/>
            <w:shd w:fill="F2F5F9"/>
          </w:tcPr>
          <w:p>
            <w:pPr>
              <w:spacing w:after="20" w:before="20"/>
              <w:jc w:val="left"/>
            </w:pPr>
            <w:r>
              <w:rPr>
                <w:rFonts w:ascii="Times New Roman" w:hAnsi="Times New Roman"/>
                <w:sz w:val="15"/>
              </w:rPr>
              <w:t>6. Human Audit Queue</w:t>
            </w:r>
          </w:p>
        </w:tc>
        <w:tc>
          <w:tcPr>
            <w:tcW w:type="dxa" w:w="2016"/>
            <w:shd w:fill="F2F5F9"/>
          </w:tcPr>
          <w:p>
            <w:pPr>
              <w:spacing w:after="20" w:before="20"/>
              <w:jc w:val="left"/>
            </w:pPr>
            <w:r>
              <w:rPr>
                <w:rFonts w:ascii="Times New Roman" w:hAnsi="Times New Roman"/>
                <w:sz w:val="15"/>
              </w:rPr>
              <w:t>Low-C Findings</w:t>
            </w:r>
          </w:p>
        </w:tc>
        <w:tc>
          <w:tcPr>
            <w:tcW w:type="dxa" w:w="2016"/>
            <w:shd w:fill="F2F5F9"/>
          </w:tcPr>
          <w:p>
            <w:pPr>
              <w:spacing w:after="20" w:before="20"/>
              <w:jc w:val="left"/>
            </w:pPr>
            <w:r>
              <w:rPr>
                <w:rFonts w:ascii="Times New Roman" w:hAnsi="Times New Roman"/>
                <w:sz w:val="15"/>
              </w:rPr>
              <w:t>Web Triage Interface</w:t>
            </w:r>
          </w:p>
        </w:tc>
        <w:tc>
          <w:tcPr>
            <w:tcW w:type="dxa" w:w="2016"/>
            <w:shd w:fill="F2F5F9"/>
          </w:tcPr>
          <w:p>
            <w:pPr>
              <w:spacing w:after="20" w:before="20"/>
              <w:jc w:val="left"/>
            </w:pPr>
            <w:r>
              <w:rPr>
                <w:rFonts w:ascii="Times New Roman" w:hAnsi="Times New Roman"/>
                <w:sz w:val="15"/>
              </w:rPr>
              <w:t>Human Verification Bit</w:t>
            </w:r>
          </w:p>
        </w:tc>
        <w:tc>
          <w:tcPr>
            <w:tcW w:type="dxa" w:w="2016"/>
            <w:shd w:fill="F2F5F9"/>
          </w:tcPr>
          <w:p>
            <w:pPr>
              <w:spacing w:after="20" w:before="20"/>
              <w:jc w:val="left"/>
            </w:pPr>
            <w:r>
              <w:rPr>
                <w:rFonts w:ascii="Times New Roman" w:hAnsi="Times New Roman"/>
                <w:sz w:val="15"/>
              </w:rPr>
              <w:t>Timeout to Blocked State</w:t>
            </w:r>
          </w:p>
        </w:tc>
      </w:tr>
      <w:tr>
        <w:tc>
          <w:tcPr>
            <w:tcW w:type="dxa" w:w="2016"/>
          </w:tcPr>
          <w:p>
            <w:pPr>
              <w:spacing w:after="20" w:before="20"/>
              <w:jc w:val="left"/>
            </w:pPr>
            <w:r>
              <w:rPr>
                <w:rFonts w:ascii="Times New Roman" w:hAnsi="Times New Roman"/>
                <w:sz w:val="15"/>
              </w:rPr>
              <w:t>7. Auto-Patch Rem.</w:t>
            </w:r>
          </w:p>
        </w:tc>
        <w:tc>
          <w:tcPr>
            <w:tcW w:type="dxa" w:w="2016"/>
          </w:tcPr>
          <w:p>
            <w:pPr>
              <w:spacing w:after="20" w:before="20"/>
              <w:jc w:val="left"/>
            </w:pPr>
            <w:r>
              <w:rPr>
                <w:rFonts w:ascii="Times New Roman" w:hAnsi="Times New Roman"/>
                <w:sz w:val="15"/>
              </w:rPr>
              <w:t>High-C Findings</w:t>
            </w:r>
          </w:p>
        </w:tc>
        <w:tc>
          <w:tcPr>
            <w:tcW w:type="dxa" w:w="2016"/>
          </w:tcPr>
          <w:p>
            <w:pPr>
              <w:spacing w:after="20" w:before="20"/>
              <w:jc w:val="left"/>
            </w:pPr>
            <w:r>
              <w:rPr>
                <w:rFonts w:ascii="Times New Roman" w:hAnsi="Times New Roman"/>
                <w:sz w:val="15"/>
              </w:rPr>
              <w:t>AST Syntax Diff Generator</w:t>
            </w:r>
          </w:p>
        </w:tc>
        <w:tc>
          <w:tcPr>
            <w:tcW w:type="dxa" w:w="2016"/>
          </w:tcPr>
          <w:p>
            <w:pPr>
              <w:spacing w:after="20" w:before="20"/>
              <w:jc w:val="left"/>
            </w:pPr>
            <w:r>
              <w:rPr>
                <w:rFonts w:ascii="Times New Roman" w:hAnsi="Times New Roman"/>
                <w:sz w:val="15"/>
              </w:rPr>
              <w:t>Unified Code Diff Patch</w:t>
            </w:r>
          </w:p>
        </w:tc>
        <w:tc>
          <w:tcPr>
            <w:tcW w:type="dxa" w:w="2016"/>
          </w:tcPr>
          <w:p>
            <w:pPr>
              <w:spacing w:after="20" w:before="20"/>
              <w:jc w:val="left"/>
            </w:pPr>
            <w:r>
              <w:rPr>
                <w:rFonts w:ascii="Times New Roman" w:hAnsi="Times New Roman"/>
                <w:sz w:val="15"/>
              </w:rPr>
              <w:t>Regenerate with Alternative Prompt</w:t>
            </w:r>
          </w:p>
        </w:tc>
      </w:tr>
      <w:tr>
        <w:tc>
          <w:tcPr>
            <w:tcW w:type="dxa" w:w="2016"/>
            <w:shd w:fill="F2F5F9"/>
          </w:tcPr>
          <w:p>
            <w:pPr>
              <w:spacing w:after="20" w:before="20"/>
              <w:jc w:val="left"/>
            </w:pPr>
            <w:r>
              <w:rPr>
                <w:rFonts w:ascii="Times New Roman" w:hAnsi="Times New Roman"/>
                <w:sz w:val="15"/>
              </w:rPr>
              <w:t>8. Sandbox Validator</w:t>
            </w:r>
          </w:p>
        </w:tc>
        <w:tc>
          <w:tcPr>
            <w:tcW w:type="dxa" w:w="2016"/>
            <w:shd w:fill="F2F5F9"/>
          </w:tcPr>
          <w:p>
            <w:pPr>
              <w:spacing w:after="20" w:before="20"/>
              <w:jc w:val="left"/>
            </w:pPr>
            <w:r>
              <w:rPr>
                <w:rFonts w:ascii="Times New Roman" w:hAnsi="Times New Roman"/>
                <w:sz w:val="15"/>
              </w:rPr>
              <w:t>Diff Patch + Code</w:t>
            </w:r>
          </w:p>
        </w:tc>
        <w:tc>
          <w:tcPr>
            <w:tcW w:type="dxa" w:w="2016"/>
            <w:shd w:fill="F2F5F9"/>
          </w:tcPr>
          <w:p>
            <w:pPr>
              <w:spacing w:after="20" w:before="20"/>
              <w:jc w:val="left"/>
            </w:pPr>
            <w:r>
              <w:rPr>
                <w:rFonts w:ascii="Times New Roman" w:hAnsi="Times New Roman"/>
                <w:sz w:val="15"/>
              </w:rPr>
              <w:t>Linter + LocalStack Sandbox</w:t>
            </w:r>
          </w:p>
        </w:tc>
        <w:tc>
          <w:tcPr>
            <w:tcW w:type="dxa" w:w="2016"/>
            <w:shd w:fill="F2F5F9"/>
          </w:tcPr>
          <w:p>
            <w:pPr>
              <w:spacing w:after="20" w:before="20"/>
              <w:jc w:val="left"/>
            </w:pPr>
            <w:r>
              <w:rPr>
                <w:rFonts w:ascii="Times New Roman" w:hAnsi="Times New Roman"/>
                <w:sz w:val="15"/>
              </w:rPr>
              <w:t>Pass/Fail Log Verification</w:t>
            </w:r>
          </w:p>
        </w:tc>
        <w:tc>
          <w:tcPr>
            <w:tcW w:type="dxa" w:w="2016"/>
            <w:shd w:fill="F2F5F9"/>
          </w:tcPr>
          <w:p>
            <w:pPr>
              <w:spacing w:after="20" w:before="20"/>
              <w:jc w:val="left"/>
            </w:pPr>
            <w:r>
              <w:rPr>
                <w:rFonts w:ascii="Times New Roman" w:hAnsi="Times New Roman"/>
                <w:sz w:val="15"/>
              </w:rPr>
              <w:t>Revert Patch &amp; Flag Analyst</w:t>
            </w:r>
          </w:p>
        </w:tc>
      </w:tr>
    </w:tbl>
    <w:p>
      <w:pPr>
        <w:spacing w:after="60" w:line="269" w:lineRule="auto"/>
        <w:jc w:val="both"/>
      </w:pPr>
      <w:r>
        <w:rPr>
          <w:rFonts w:ascii="Times New Roman" w:hAnsi="Times New Roman"/>
          <w:sz w:val="19"/>
        </w:rPr>
        <w:t>TABLE IV: Regulatory Compliance and Risk Control Mapping Matrix</w:t>
      </w:r>
    </w:p>
    <w:tbl>
      <w:tblPr>
        <w:tblW w:type="auto" w:w="0"/>
        <w:jc w:val="center"/>
        <w:tblLook w:firstColumn="1" w:firstRow="1" w:lastColumn="0" w:lastRow="0" w:noHBand="0" w:noVBand="1" w:val="04A0"/>
        <w:tblBorders>
          <w:top w:val="single" w:sz="6" w:space="0" w:color="002060"/>
          <w:bottom w:val="single" w:sz="6" w:space="0" w:color="002060"/>
          <w:insideH w:val="single" w:sz="4" w:space="0" w:color="E0E0E0"/>
          <w:insideV w:val="none"/>
          <w:left w:val="none"/>
          <w:right w:val="none"/>
        </w:tblBorders>
      </w:tblPr>
      <w:tblGrid>
        <w:gridCol w:w="2016"/>
        <w:gridCol w:w="2016"/>
        <w:gridCol w:w="2016"/>
        <w:gridCol w:w="2016"/>
        <w:gridCol w:w="2016"/>
      </w:tblGrid>
      <w:tr>
        <w:tc>
          <w:tcPr>
            <w:tcW w:type="dxa" w:w="2016"/>
            <w:shd w:fill="002060"/>
          </w:tcPr>
          <w:p>
            <w:pPr>
              <w:jc w:val="center"/>
            </w:pPr>
            <w:r>
              <w:rPr>
                <w:rFonts w:ascii="Times New Roman" w:hAnsi="Times New Roman"/>
                <w:b/>
                <w:color w:val="FFFFFF"/>
                <w:sz w:val="16"/>
              </w:rPr>
              <w:t>Vulnerability Class</w:t>
            </w:r>
          </w:p>
        </w:tc>
        <w:tc>
          <w:tcPr>
            <w:tcW w:type="dxa" w:w="2016"/>
            <w:shd w:fill="002060"/>
          </w:tcPr>
          <w:p>
            <w:pPr>
              <w:jc w:val="center"/>
            </w:pPr>
            <w:r>
              <w:rPr>
                <w:rFonts w:ascii="Times New Roman" w:hAnsi="Times New Roman"/>
                <w:b/>
                <w:color w:val="FFFFFF"/>
                <w:sz w:val="16"/>
              </w:rPr>
              <w:t>Target IaC Resource</w:t>
            </w:r>
          </w:p>
        </w:tc>
        <w:tc>
          <w:tcPr>
            <w:tcW w:type="dxa" w:w="2016"/>
            <w:shd w:fill="002060"/>
          </w:tcPr>
          <w:p>
            <w:pPr>
              <w:jc w:val="center"/>
            </w:pPr>
            <w:r>
              <w:rPr>
                <w:rFonts w:ascii="Times New Roman" w:hAnsi="Times New Roman"/>
                <w:b/>
                <w:color w:val="FFFFFF"/>
                <w:sz w:val="16"/>
              </w:rPr>
              <w:t>SOC 2 Control</w:t>
            </w:r>
          </w:p>
        </w:tc>
        <w:tc>
          <w:tcPr>
            <w:tcW w:type="dxa" w:w="2016"/>
            <w:shd w:fill="002060"/>
          </w:tcPr>
          <w:p>
            <w:pPr>
              <w:jc w:val="center"/>
            </w:pPr>
            <w:r>
              <w:rPr>
                <w:rFonts w:ascii="Times New Roman" w:hAnsi="Times New Roman"/>
                <w:b/>
                <w:color w:val="FFFFFF"/>
                <w:sz w:val="16"/>
              </w:rPr>
              <w:t>HIPAA Safeguard</w:t>
            </w:r>
          </w:p>
        </w:tc>
        <w:tc>
          <w:tcPr>
            <w:tcW w:type="dxa" w:w="2016"/>
            <w:shd w:fill="002060"/>
          </w:tcPr>
          <w:p>
            <w:pPr>
              <w:jc w:val="center"/>
            </w:pPr>
            <w:r>
              <w:rPr>
                <w:rFonts w:ascii="Times New Roman" w:hAnsi="Times New Roman"/>
                <w:b/>
                <w:color w:val="FFFFFF"/>
                <w:sz w:val="16"/>
              </w:rPr>
              <w:t>NIST 800-53 / PCI-DSS v4.0 [11],[12]</w:t>
            </w:r>
          </w:p>
        </w:tc>
      </w:tr>
      <w:tr>
        <w:tc>
          <w:tcPr>
            <w:tcW w:type="dxa" w:w="2016"/>
          </w:tcPr>
          <w:p>
            <w:pPr>
              <w:spacing w:after="20" w:before="20"/>
              <w:jc w:val="left"/>
            </w:pPr>
            <w:r>
              <w:rPr>
                <w:rFonts w:ascii="Times New Roman" w:hAnsi="Times New Roman"/>
                <w:sz w:val="15"/>
              </w:rPr>
              <w:t>Unencrypted Storage</w:t>
            </w:r>
          </w:p>
        </w:tc>
        <w:tc>
          <w:tcPr>
            <w:tcW w:type="dxa" w:w="2016"/>
          </w:tcPr>
          <w:p>
            <w:pPr>
              <w:spacing w:after="20" w:before="20"/>
              <w:jc w:val="left"/>
            </w:pPr>
            <w:r>
              <w:rPr>
                <w:rFonts w:ascii="Times New Roman" w:hAnsi="Times New Roman"/>
                <w:sz w:val="15"/>
              </w:rPr>
              <w:t>aws_s3_bucket, azurerm_storage</w:t>
            </w:r>
          </w:p>
        </w:tc>
        <w:tc>
          <w:tcPr>
            <w:tcW w:type="dxa" w:w="2016"/>
          </w:tcPr>
          <w:p>
            <w:pPr>
              <w:spacing w:after="20" w:before="20"/>
              <w:jc w:val="left"/>
            </w:pPr>
            <w:r>
              <w:rPr>
                <w:rFonts w:ascii="Times New Roman" w:hAnsi="Times New Roman"/>
                <w:sz w:val="15"/>
              </w:rPr>
              <w:t>CC6.1 (Encryption)</w:t>
            </w:r>
          </w:p>
        </w:tc>
        <w:tc>
          <w:tcPr>
            <w:tcW w:type="dxa" w:w="2016"/>
          </w:tcPr>
          <w:p>
            <w:pPr>
              <w:spacing w:after="20" w:before="20"/>
              <w:jc w:val="left"/>
            </w:pPr>
            <w:r>
              <w:rPr>
                <w:rFonts w:ascii="Times New Roman" w:hAnsi="Times New Roman"/>
                <w:sz w:val="15"/>
              </w:rPr>
              <w:t>§164.312(a)(2)(iv)</w:t>
            </w:r>
          </w:p>
        </w:tc>
        <w:tc>
          <w:tcPr>
            <w:tcW w:type="dxa" w:w="2016"/>
          </w:tcPr>
          <w:p>
            <w:pPr>
              <w:spacing w:after="20" w:before="20"/>
              <w:jc w:val="left"/>
            </w:pPr>
            <w:r>
              <w:rPr>
                <w:rFonts w:ascii="Times New Roman" w:hAnsi="Times New Roman"/>
                <w:sz w:val="15"/>
              </w:rPr>
              <w:t>NIST SC-28 / PCI-DSS Req 3.4</w:t>
            </w:r>
          </w:p>
        </w:tc>
      </w:tr>
      <w:tr>
        <w:tc>
          <w:tcPr>
            <w:tcW w:type="dxa" w:w="2016"/>
            <w:shd w:fill="F2F5F9"/>
          </w:tcPr>
          <w:p>
            <w:pPr>
              <w:spacing w:after="20" w:before="20"/>
              <w:jc w:val="left"/>
            </w:pPr>
            <w:r>
              <w:rPr>
                <w:rFonts w:ascii="Times New Roman" w:hAnsi="Times New Roman"/>
                <w:sz w:val="15"/>
              </w:rPr>
              <w:t>Public Ingress Port</w:t>
            </w:r>
          </w:p>
        </w:tc>
        <w:tc>
          <w:tcPr>
            <w:tcW w:type="dxa" w:w="2016"/>
            <w:shd w:fill="F2F5F9"/>
          </w:tcPr>
          <w:p>
            <w:pPr>
              <w:spacing w:after="20" w:before="20"/>
              <w:jc w:val="left"/>
            </w:pPr>
            <w:r>
              <w:rPr>
                <w:rFonts w:ascii="Times New Roman" w:hAnsi="Times New Roman"/>
                <w:sz w:val="15"/>
              </w:rPr>
              <w:t>aws_security_group (0.0.0.0/0)</w:t>
            </w:r>
          </w:p>
        </w:tc>
        <w:tc>
          <w:tcPr>
            <w:tcW w:type="dxa" w:w="2016"/>
            <w:shd w:fill="F2F5F9"/>
          </w:tcPr>
          <w:p>
            <w:pPr>
              <w:spacing w:after="20" w:before="20"/>
              <w:jc w:val="left"/>
            </w:pPr>
            <w:r>
              <w:rPr>
                <w:rFonts w:ascii="Times New Roman" w:hAnsi="Times New Roman"/>
                <w:sz w:val="15"/>
              </w:rPr>
              <w:t>CC6.6 (Boundary)</w:t>
            </w:r>
          </w:p>
        </w:tc>
        <w:tc>
          <w:tcPr>
            <w:tcW w:type="dxa" w:w="2016"/>
            <w:shd w:fill="F2F5F9"/>
          </w:tcPr>
          <w:p>
            <w:pPr>
              <w:spacing w:after="20" w:before="20"/>
              <w:jc w:val="left"/>
            </w:pPr>
            <w:r>
              <w:rPr>
                <w:rFonts w:ascii="Times New Roman" w:hAnsi="Times New Roman"/>
                <w:sz w:val="15"/>
              </w:rPr>
              <w:t>§164.312(e)(1)</w:t>
            </w:r>
          </w:p>
        </w:tc>
        <w:tc>
          <w:tcPr>
            <w:tcW w:type="dxa" w:w="2016"/>
            <w:shd w:fill="F2F5F9"/>
          </w:tcPr>
          <w:p>
            <w:pPr>
              <w:spacing w:after="20" w:before="20"/>
              <w:jc w:val="left"/>
            </w:pPr>
            <w:r>
              <w:rPr>
                <w:rFonts w:ascii="Times New Roman" w:hAnsi="Times New Roman"/>
                <w:sz w:val="15"/>
              </w:rPr>
              <w:t>NIST AC-4 / PCI-DSS Req 1.3</w:t>
            </w:r>
          </w:p>
        </w:tc>
      </w:tr>
      <w:tr>
        <w:tc>
          <w:tcPr>
            <w:tcW w:type="dxa" w:w="2016"/>
          </w:tcPr>
          <w:p>
            <w:pPr>
              <w:spacing w:after="20" w:before="20"/>
              <w:jc w:val="left"/>
            </w:pPr>
            <w:r>
              <w:rPr>
                <w:rFonts w:ascii="Times New Roman" w:hAnsi="Times New Roman"/>
                <w:sz w:val="15"/>
              </w:rPr>
              <w:t>IAM Wildcard Action</w:t>
            </w:r>
          </w:p>
        </w:tc>
        <w:tc>
          <w:tcPr>
            <w:tcW w:type="dxa" w:w="2016"/>
          </w:tcPr>
          <w:p>
            <w:pPr>
              <w:spacing w:after="20" w:before="20"/>
              <w:jc w:val="left"/>
            </w:pPr>
            <w:r>
              <w:rPr>
                <w:rFonts w:ascii="Times New Roman" w:hAnsi="Times New Roman"/>
                <w:sz w:val="15"/>
              </w:rPr>
              <w:t>aws_iam_policy ('Action': '*')</w:t>
            </w:r>
          </w:p>
        </w:tc>
        <w:tc>
          <w:tcPr>
            <w:tcW w:type="dxa" w:w="2016"/>
          </w:tcPr>
          <w:p>
            <w:pPr>
              <w:spacing w:after="20" w:before="20"/>
              <w:jc w:val="left"/>
            </w:pPr>
            <w:r>
              <w:rPr>
                <w:rFonts w:ascii="Times New Roman" w:hAnsi="Times New Roman"/>
                <w:sz w:val="15"/>
              </w:rPr>
              <w:t>CC6.3 (Least Privilege)</w:t>
            </w:r>
          </w:p>
        </w:tc>
        <w:tc>
          <w:tcPr>
            <w:tcW w:type="dxa" w:w="2016"/>
          </w:tcPr>
          <w:p>
            <w:pPr>
              <w:spacing w:after="20" w:before="20"/>
              <w:jc w:val="left"/>
            </w:pPr>
            <w:r>
              <w:rPr>
                <w:rFonts w:ascii="Times New Roman" w:hAnsi="Times New Roman"/>
                <w:sz w:val="15"/>
              </w:rPr>
              <w:t>§164.312(a)(1)</w:t>
            </w:r>
          </w:p>
        </w:tc>
        <w:tc>
          <w:tcPr>
            <w:tcW w:type="dxa" w:w="2016"/>
          </w:tcPr>
          <w:p>
            <w:pPr>
              <w:spacing w:after="20" w:before="20"/>
              <w:jc w:val="left"/>
            </w:pPr>
            <w:r>
              <w:rPr>
                <w:rFonts w:ascii="Times New Roman" w:hAnsi="Times New Roman"/>
                <w:sz w:val="15"/>
              </w:rPr>
              <w:t>NIST AC-6 / PCI-DSS Req 7.1</w:t>
            </w:r>
          </w:p>
        </w:tc>
      </w:tr>
      <w:tr>
        <w:tc>
          <w:tcPr>
            <w:tcW w:type="dxa" w:w="2016"/>
            <w:shd w:fill="F2F5F9"/>
          </w:tcPr>
          <w:p>
            <w:pPr>
              <w:spacing w:after="20" w:before="20"/>
              <w:jc w:val="left"/>
            </w:pPr>
            <w:r>
              <w:rPr>
                <w:rFonts w:ascii="Times New Roman" w:hAnsi="Times New Roman"/>
                <w:sz w:val="15"/>
              </w:rPr>
              <w:t>Plaintext Secrets</w:t>
            </w:r>
          </w:p>
        </w:tc>
        <w:tc>
          <w:tcPr>
            <w:tcW w:type="dxa" w:w="2016"/>
            <w:shd w:fill="F2F5F9"/>
          </w:tcPr>
          <w:p>
            <w:pPr>
              <w:spacing w:after="20" w:before="20"/>
              <w:jc w:val="left"/>
            </w:pPr>
            <w:r>
              <w:rPr>
                <w:rFonts w:ascii="Times New Roman" w:hAnsi="Times New Roman"/>
                <w:sz w:val="15"/>
              </w:rPr>
              <w:t>Hardcoded API Keys / Tokens</w:t>
            </w:r>
          </w:p>
        </w:tc>
        <w:tc>
          <w:tcPr>
            <w:tcW w:type="dxa" w:w="2016"/>
            <w:shd w:fill="F2F5F9"/>
          </w:tcPr>
          <w:p>
            <w:pPr>
              <w:spacing w:after="20" w:before="20"/>
              <w:jc w:val="left"/>
            </w:pPr>
            <w:r>
              <w:rPr>
                <w:rFonts w:ascii="Times New Roman" w:hAnsi="Times New Roman"/>
                <w:sz w:val="15"/>
              </w:rPr>
              <w:t>CC6.2 (Credential Mgmt)</w:t>
            </w:r>
          </w:p>
        </w:tc>
        <w:tc>
          <w:tcPr>
            <w:tcW w:type="dxa" w:w="2016"/>
            <w:shd w:fill="F2F5F9"/>
          </w:tcPr>
          <w:p>
            <w:pPr>
              <w:spacing w:after="20" w:before="20"/>
              <w:jc w:val="left"/>
            </w:pPr>
            <w:r>
              <w:rPr>
                <w:rFonts w:ascii="Times New Roman" w:hAnsi="Times New Roman"/>
                <w:sz w:val="15"/>
              </w:rPr>
              <w:t>§164.312(d)</w:t>
            </w:r>
          </w:p>
        </w:tc>
        <w:tc>
          <w:tcPr>
            <w:tcW w:type="dxa" w:w="2016"/>
            <w:shd w:fill="F2F5F9"/>
          </w:tcPr>
          <w:p>
            <w:pPr>
              <w:spacing w:after="20" w:before="20"/>
              <w:jc w:val="left"/>
            </w:pPr>
            <w:r>
              <w:rPr>
                <w:rFonts w:ascii="Times New Roman" w:hAnsi="Times New Roman"/>
                <w:sz w:val="15"/>
              </w:rPr>
              <w:t>NIST IA-5 / PCI-DSS Req 8.2</w:t>
            </w:r>
          </w:p>
        </w:tc>
      </w:tr>
      <w:tr>
        <w:tc>
          <w:tcPr>
            <w:tcW w:type="dxa" w:w="2016"/>
          </w:tcPr>
          <w:p>
            <w:pPr>
              <w:spacing w:after="20" w:before="20"/>
              <w:jc w:val="left"/>
            </w:pPr>
            <w:r>
              <w:rPr>
                <w:rFonts w:ascii="Times New Roman" w:hAnsi="Times New Roman"/>
                <w:sz w:val="15"/>
              </w:rPr>
              <w:t>Public DB Instance</w:t>
            </w:r>
          </w:p>
        </w:tc>
        <w:tc>
          <w:tcPr>
            <w:tcW w:type="dxa" w:w="2016"/>
          </w:tcPr>
          <w:p>
            <w:pPr>
              <w:spacing w:after="20" w:before="20"/>
              <w:jc w:val="left"/>
            </w:pPr>
            <w:r>
              <w:rPr>
                <w:rFonts w:ascii="Times New Roman" w:hAnsi="Times New Roman"/>
                <w:sz w:val="15"/>
              </w:rPr>
              <w:t>aws_db_instance (PubliclyAvail)</w:t>
            </w:r>
          </w:p>
        </w:tc>
        <w:tc>
          <w:tcPr>
            <w:tcW w:type="dxa" w:w="2016"/>
          </w:tcPr>
          <w:p>
            <w:pPr>
              <w:spacing w:after="20" w:before="20"/>
              <w:jc w:val="left"/>
            </w:pPr>
            <w:r>
              <w:rPr>
                <w:rFonts w:ascii="Times New Roman" w:hAnsi="Times New Roman"/>
                <w:sz w:val="15"/>
              </w:rPr>
              <w:t>CC6.6 (Network Isolation)</w:t>
            </w:r>
          </w:p>
        </w:tc>
        <w:tc>
          <w:tcPr>
            <w:tcW w:type="dxa" w:w="2016"/>
          </w:tcPr>
          <w:p>
            <w:pPr>
              <w:spacing w:after="20" w:before="20"/>
              <w:jc w:val="left"/>
            </w:pPr>
            <w:r>
              <w:rPr>
                <w:rFonts w:ascii="Times New Roman" w:hAnsi="Times New Roman"/>
                <w:sz w:val="15"/>
              </w:rPr>
              <w:t>§164.312(e)(2)</w:t>
            </w:r>
          </w:p>
        </w:tc>
        <w:tc>
          <w:tcPr>
            <w:tcW w:type="dxa" w:w="2016"/>
          </w:tcPr>
          <w:p>
            <w:pPr>
              <w:spacing w:after="20" w:before="20"/>
              <w:jc w:val="left"/>
            </w:pPr>
            <w:r>
              <w:rPr>
                <w:rFonts w:ascii="Times New Roman" w:hAnsi="Times New Roman"/>
                <w:sz w:val="15"/>
              </w:rPr>
              <w:t>NIST SC-7 / PCI-DSS Req 1.2</w:t>
            </w:r>
          </w:p>
        </w:tc>
      </w:tr>
      <w:tr>
        <w:tc>
          <w:tcPr>
            <w:tcW w:type="dxa" w:w="2016"/>
            <w:shd w:fill="F2F5F9"/>
          </w:tcPr>
          <w:p>
            <w:pPr>
              <w:spacing w:after="20" w:before="20"/>
              <w:jc w:val="left"/>
            </w:pPr>
            <w:r>
              <w:rPr>
                <w:rFonts w:ascii="Times New Roman" w:hAnsi="Times New Roman"/>
                <w:sz w:val="15"/>
              </w:rPr>
              <w:t>Privileged Container</w:t>
            </w:r>
          </w:p>
        </w:tc>
        <w:tc>
          <w:tcPr>
            <w:tcW w:type="dxa" w:w="2016"/>
            <w:shd w:fill="F2F5F9"/>
          </w:tcPr>
          <w:p>
            <w:pPr>
              <w:spacing w:after="20" w:before="20"/>
              <w:jc w:val="left"/>
            </w:pPr>
            <w:r>
              <w:rPr>
                <w:rFonts w:ascii="Times New Roman" w:hAnsi="Times New Roman"/>
                <w:sz w:val="15"/>
              </w:rPr>
              <w:t>k8s_pod (securityContext)</w:t>
            </w:r>
          </w:p>
        </w:tc>
        <w:tc>
          <w:tcPr>
            <w:tcW w:type="dxa" w:w="2016"/>
            <w:shd w:fill="F2F5F9"/>
          </w:tcPr>
          <w:p>
            <w:pPr>
              <w:spacing w:after="20" w:before="20"/>
              <w:jc w:val="left"/>
            </w:pPr>
            <w:r>
              <w:rPr>
                <w:rFonts w:ascii="Times New Roman" w:hAnsi="Times New Roman"/>
                <w:sz w:val="15"/>
              </w:rPr>
              <w:t>CC6.8 (Software Integrity)</w:t>
            </w:r>
          </w:p>
        </w:tc>
        <w:tc>
          <w:tcPr>
            <w:tcW w:type="dxa" w:w="2016"/>
            <w:shd w:fill="F2F5F9"/>
          </w:tcPr>
          <w:p>
            <w:pPr>
              <w:spacing w:after="20" w:before="20"/>
              <w:jc w:val="left"/>
            </w:pPr>
            <w:r>
              <w:rPr>
                <w:rFonts w:ascii="Times New Roman" w:hAnsi="Times New Roman"/>
                <w:sz w:val="15"/>
              </w:rPr>
              <w:t>§164.312(c)(1)</w:t>
            </w:r>
          </w:p>
        </w:tc>
        <w:tc>
          <w:tcPr>
            <w:tcW w:type="dxa" w:w="2016"/>
            <w:shd w:fill="F2F5F9"/>
          </w:tcPr>
          <w:p>
            <w:pPr>
              <w:spacing w:after="20" w:before="20"/>
              <w:jc w:val="left"/>
            </w:pPr>
            <w:r>
              <w:rPr>
                <w:rFonts w:ascii="Times New Roman" w:hAnsi="Times New Roman"/>
                <w:sz w:val="15"/>
              </w:rPr>
              <w:t>NIST CM-7 / PCI-DSS Req 2.2</w:t>
            </w:r>
          </w:p>
        </w:tc>
      </w:tr>
    </w:tbl>
    <w:p>
      <w:pPr>
        <w:keepNext/>
        <w:spacing w:before="240" w:after="60"/>
        <w:jc w:val="left"/>
      </w:pPr>
      <w:r>
        <w:rPr>
          <w:rFonts w:ascii="Times New Roman" w:hAnsi="Times New Roman"/>
          <w:b/>
          <w:color w:val="002060"/>
          <w:sz w:val="21"/>
        </w:rPr>
        <w:t>IV. SYSTEM ARCHITECTURE &amp; MATHEMATICAL FORMULATION</w:t>
      </w:r>
    </w:p>
    <w:p>
      <w:pPr>
        <w:spacing w:after="60" w:line="269" w:lineRule="auto"/>
        <w:jc w:val="both"/>
      </w:pPr>
      <w:r>
        <w:rPr>
          <w:rFonts w:ascii="Times New Roman" w:hAnsi="Times New Roman"/>
          <w:sz w:val="19"/>
        </w:rPr>
        <w:t>This section details the modular breakdown of the 8 specialized AI agents and formalizes the underlying mathematical equations governing AST resolution, RAG retrieval, ensemble consensus scoring, and compliance crosswalking.</w:t>
      </w:r>
    </w:p>
    <w:p>
      <w:pPr>
        <w:keepNext/>
        <w:spacing w:before="160" w:after="40"/>
        <w:jc w:val="left"/>
      </w:pPr>
      <w:r>
        <w:rPr>
          <w:rFonts w:ascii="Times New Roman" w:hAnsi="Times New Roman"/>
          <w:b/>
          <w:i/>
          <w:color w:val="222222"/>
          <w:sz w:val="20"/>
        </w:rPr>
        <w:t>A. Modular Breakdown of 8 Specialized AI Agents</w:t>
      </w:r>
    </w:p>
    <w:p>
      <w:pPr>
        <w:spacing w:after="60" w:line="269" w:lineRule="auto"/>
        <w:jc w:val="both"/>
      </w:pPr>
      <w:r>
        <w:rPr>
          <w:rFonts w:ascii="Times New Roman" w:hAnsi="Times New Roman"/>
          <w:b/>
          <w:sz w:val="19"/>
        </w:rPr>
        <w:t xml:space="preserve">1) Manager / Router Agent: </w:t>
      </w:r>
      <w:r>
        <w:rPr>
          <w:rFonts w:ascii="Times New Roman" w:hAnsi="Times New Roman"/>
          <w:sz w:val="19"/>
        </w:rPr>
        <w:t>Primary orchestrator that inspects incoming IaC packages, identifies template formats (HCL2, CFN, K8s, Helm), and manages dynamic graph routing.</w:t>
      </w:r>
    </w:p>
    <w:p>
      <w:pPr>
        <w:spacing w:after="60" w:line="269" w:lineRule="auto"/>
        <w:jc w:val="both"/>
      </w:pPr>
      <w:r>
        <w:rPr>
          <w:rFonts w:ascii="Times New Roman" w:hAnsi="Times New Roman"/>
          <w:b/>
          <w:sz w:val="19"/>
        </w:rPr>
        <w:t xml:space="preserve">2) Hybrid AST Parser Agent: </w:t>
      </w:r>
      <w:r>
        <w:rPr>
          <w:rFonts w:ascii="Times New Roman" w:hAnsi="Times New Roman"/>
          <w:sz w:val="19"/>
        </w:rPr>
        <w:t>Parses IaC code into structured ASTs, pre-evaluating dynamic parameter references and conditional blocks ('count', 'for_each') prior to LLM reasoning [1].</w:t>
      </w:r>
    </w:p>
    <w:p>
      <w:pPr>
        <w:spacing w:after="60" w:line="269" w:lineRule="auto"/>
        <w:jc w:val="both"/>
      </w:pPr>
      <w:r>
        <w:rPr>
          <w:rFonts w:ascii="Times New Roman" w:hAnsi="Times New Roman"/>
          <w:b/>
          <w:sz w:val="19"/>
        </w:rPr>
        <w:t xml:space="preserve">3) Secrets Scanner Agent: </w:t>
      </w:r>
      <w:r>
        <w:rPr>
          <w:rFonts w:ascii="Times New Roman" w:hAnsi="Times New Roman"/>
          <w:sz w:val="19"/>
        </w:rPr>
        <w:t>Executes embedded Gitleaks and TruffleHog engines over IaC templates to intercept hardcoded API keys, JWT tokens, and private certificates.</w:t>
      </w:r>
    </w:p>
    <w:p>
      <w:pPr>
        <w:spacing w:after="60" w:line="269" w:lineRule="auto"/>
        <w:jc w:val="both"/>
      </w:pPr>
      <w:r>
        <w:rPr>
          <w:rFonts w:ascii="Times New Roman" w:hAnsi="Times New Roman"/>
          <w:b/>
          <w:sz w:val="19"/>
        </w:rPr>
        <w:t xml:space="preserve">4) RAG Query Agent: </w:t>
      </w:r>
      <w:r>
        <w:rPr>
          <w:rFonts w:ascii="Times New Roman" w:hAnsi="Times New Roman"/>
          <w:sz w:val="19"/>
        </w:rPr>
        <w:t>Queries the vector store containing CIS Benchmarks [9] and CVE databases using a hybrid dense-sparse (vector + BM25) retrieval model.</w:t>
      </w:r>
    </w:p>
    <w:p>
      <w:pPr>
        <w:spacing w:after="60" w:line="269" w:lineRule="auto"/>
        <w:jc w:val="both"/>
      </w:pPr>
      <w:r>
        <w:rPr>
          <w:rFonts w:ascii="Times New Roman" w:hAnsi="Times New Roman"/>
          <w:b/>
          <w:sz w:val="19"/>
        </w:rPr>
        <w:t xml:space="preserve">5) Security Analyst Agent: </w:t>
      </w:r>
      <w:r>
        <w:rPr>
          <w:rFonts w:ascii="Times New Roman" w:hAnsi="Times New Roman"/>
          <w:sz w:val="19"/>
        </w:rPr>
        <w:t>Executes parallel Multi-LLM Ensemble Voting utilizing Anthropic Claude 3.5 Sonnet and OpenAI GPT-4o with Chain-of-Thought reasoning.</w:t>
      </w:r>
    </w:p>
    <w:p>
      <w:pPr>
        <w:spacing w:after="60" w:line="269" w:lineRule="auto"/>
        <w:jc w:val="both"/>
      </w:pPr>
      <w:r>
        <w:rPr>
          <w:rFonts w:ascii="Times New Roman" w:hAnsi="Times New Roman"/>
          <w:b/>
          <w:sz w:val="19"/>
        </w:rPr>
        <w:t xml:space="preserve">6) Human Security Audit Queue: </w:t>
      </w:r>
      <w:r>
        <w:rPr>
          <w:rFonts w:ascii="Times New Roman" w:hAnsi="Times New Roman"/>
          <w:sz w:val="19"/>
        </w:rPr>
        <w:t>Receives low-confidence or non-consensus security findings, providing a web triage interface for human security engineers to inspect or override.</w:t>
      </w:r>
    </w:p>
    <w:p>
      <w:pPr>
        <w:spacing w:after="60" w:line="269" w:lineRule="auto"/>
        <w:jc w:val="both"/>
      </w:pPr>
      <w:r>
        <w:rPr>
          <w:rFonts w:ascii="Times New Roman" w:hAnsi="Times New Roman"/>
          <w:b/>
          <w:sz w:val="19"/>
        </w:rPr>
        <w:t xml:space="preserve">7) Auto-Patch Remediation Agent: </w:t>
      </w:r>
      <w:r>
        <w:rPr>
          <w:rFonts w:ascii="Times New Roman" w:hAnsi="Times New Roman"/>
          <w:sz w:val="19"/>
        </w:rPr>
        <w:t>Generates syntactically valid unified code diff patches targeting exact IaC resource blocks, avoiding conversational text advice [1].</w:t>
      </w:r>
    </w:p>
    <w:p>
      <w:pPr>
        <w:spacing w:after="60" w:line="269" w:lineRule="auto"/>
        <w:jc w:val="both"/>
      </w:pPr>
      <w:r>
        <w:rPr>
          <w:rFonts w:ascii="Times New Roman" w:hAnsi="Times New Roman"/>
          <w:b/>
          <w:sz w:val="19"/>
        </w:rPr>
        <w:t xml:space="preserve">8) Code &amp; Sandbox Validator Agent: </w:t>
      </w:r>
      <w:r>
        <w:rPr>
          <w:rFonts w:ascii="Times New Roman" w:hAnsi="Times New Roman"/>
          <w:sz w:val="19"/>
        </w:rPr>
        <w:t>Executes a dual-stage validation harness running static linters and LocalStack containerized dry-run sandbox deployments.</w:t>
      </w:r>
    </w:p>
    <w:p>
      <w:pPr>
        <w:keepNext/>
        <w:spacing w:before="160" w:after="40"/>
        <w:jc w:val="left"/>
      </w:pPr>
      <w:r>
        <w:rPr>
          <w:rFonts w:ascii="Times New Roman" w:hAnsi="Times New Roman"/>
          <w:b/>
          <w:i/>
          <w:color w:val="222222"/>
          <w:sz w:val="20"/>
        </w:rPr>
        <w:t>B. Technical Mathematical Formulations</w:t>
      </w:r>
    </w:p>
    <w:p>
      <w:pPr>
        <w:spacing w:after="60" w:line="269" w:lineRule="auto"/>
        <w:jc w:val="both"/>
      </w:pPr>
      <w:r>
        <w:rPr>
          <w:rFonts w:ascii="Times New Roman" w:hAnsi="Times New Roman"/>
          <w:sz w:val="19"/>
        </w:rPr>
        <w:t>1) Dynamic AST Parameter Resolution Formulation:</w:t>
      </w:r>
    </w:p>
    <w:p>
      <w:pPr>
        <w:spacing w:after="60" w:line="269" w:lineRule="auto"/>
        <w:jc w:val="both"/>
      </w:pPr>
      <w:r>
        <w:rPr>
          <w:rFonts w:ascii="Times New Roman" w:hAnsi="Times New Roman"/>
          <w:sz w:val="19"/>
        </w:rPr>
        <w:t>Given IaC template T and variable mapping set V, the evaluated AST block R_eval is mathematically defined as:</w:t>
      </w:r>
    </w:p>
    <w:p>
      <w:pPr>
        <w:spacing w:after="60" w:line="269" w:lineRule="auto"/>
        <w:jc w:val="both"/>
      </w:pPr>
      <w:r>
        <w:rPr>
          <w:rFonts w:ascii="Times New Roman" w:hAnsi="Times New Roman"/>
          <w:b/>
          <w:sz w:val="19"/>
        </w:rPr>
        <w:t xml:space="preserve">Equation (1): </w:t>
      </w:r>
      <w:r>
        <w:rPr>
          <w:rFonts w:ascii="Times New Roman" w:hAnsi="Times New Roman"/>
          <w:sz w:val="19"/>
        </w:rPr>
        <w:t>R_eval = EvaluateAST(T, V)</w:t>
        <w:br/>
        <w:t>VarRef(v) -&gt; Val(v);  CountCond(c) = 1 if Eval(c) == True else 0</w:t>
      </w:r>
    </w:p>
    <w:p>
      <w:pPr>
        <w:spacing w:after="60" w:line="269" w:lineRule="auto"/>
        <w:jc w:val="both"/>
      </w:pPr>
      <w:r>
        <w:rPr>
          <w:rFonts w:ascii="Times New Roman" w:hAnsi="Times New Roman"/>
          <w:sz w:val="19"/>
        </w:rPr>
        <w:t>2) Hybrid Dense-Sparse RAG Retrieval Score Formulation:</w:t>
      </w:r>
    </w:p>
    <w:p>
      <w:pPr>
        <w:spacing w:after="60" w:line="269" w:lineRule="auto"/>
        <w:jc w:val="both"/>
      </w:pPr>
      <w:r>
        <w:rPr>
          <w:rFonts w:ascii="Times New Roman" w:hAnsi="Times New Roman"/>
          <w:sz w:val="19"/>
        </w:rPr>
        <w:t>For user query q and policy document chunk d, the hybrid retrieval score S_hybrid(q, d) balances semantic intent with exact control ID matching:</w:t>
      </w:r>
    </w:p>
    <w:p>
      <w:pPr>
        <w:spacing w:after="60" w:line="269" w:lineRule="auto"/>
        <w:jc w:val="both"/>
      </w:pPr>
      <w:r>
        <w:rPr>
          <w:rFonts w:ascii="Times New Roman" w:hAnsi="Times New Roman"/>
          <w:b/>
          <w:sz w:val="19"/>
        </w:rPr>
        <w:t xml:space="preserve">Equation (2): </w:t>
      </w:r>
      <w:r>
        <w:rPr>
          <w:rFonts w:ascii="Times New Roman" w:hAnsi="Times New Roman"/>
          <w:sz w:val="19"/>
        </w:rPr>
        <w:t>S_hybrid(q, d) = alpha * CosineSim(e(q), e(d)) + (1 - alpha) * BM25(q, d)</w:t>
        <w:br/>
        <w:t>where alpha = 0.7 balances dense vector similarity with sparse keyword match.</w:t>
      </w:r>
    </w:p>
    <w:p>
      <w:pPr>
        <w:spacing w:after="60" w:line="269" w:lineRule="auto"/>
        <w:jc w:val="both"/>
      </w:pPr>
      <w:r>
        <w:rPr>
          <w:rFonts w:ascii="Times New Roman" w:hAnsi="Times New Roman"/>
          <w:sz w:val="19"/>
        </w:rPr>
        <w:t>3) Multi-LLM Ensemble Confidence &amp; Consensus Scoring Formulation:</w:t>
      </w:r>
    </w:p>
    <w:p>
      <w:pPr>
        <w:spacing w:after="60" w:line="269" w:lineRule="auto"/>
        <w:jc w:val="both"/>
      </w:pPr>
      <w:r>
        <w:rPr>
          <w:rFonts w:ascii="Times New Roman" w:hAnsi="Times New Roman"/>
          <w:sz w:val="19"/>
        </w:rPr>
        <w:t>Given model outputs M1 (Claude 3.5 Sonnet) and M2 (GPT-4o) for finding v, the ensemble confidence C_ensemble(v) is defined as:</w:t>
      </w:r>
    </w:p>
    <w:p>
      <w:pPr>
        <w:spacing w:after="60" w:line="269" w:lineRule="auto"/>
        <w:jc w:val="both"/>
      </w:pPr>
      <w:r>
        <w:rPr>
          <w:rFonts w:ascii="Times New Roman" w:hAnsi="Times New Roman"/>
          <w:b/>
          <w:sz w:val="19"/>
        </w:rPr>
        <w:t xml:space="preserve">Equation (3): </w:t>
      </w:r>
      <w:r>
        <w:rPr>
          <w:rFonts w:ascii="Times New Roman" w:hAnsi="Times New Roman"/>
          <w:sz w:val="19"/>
        </w:rPr>
        <w:t>C_ensemble(v) = w1 * C(M1, v) + w2 * C(M2, v) + gamma * Jaccard(AST(M1), AST(M2))</w:t>
        <w:br/>
        <w:t>where w1 = w2 = 0.45, gamma = 0.10. Findings with C_ensemble &lt; 0.85 are escalated to Human Audit.</w:t>
      </w:r>
    </w:p>
    <w:p>
      <w:pPr>
        <w:spacing w:after="60" w:line="269" w:lineRule="auto"/>
        <w:jc w:val="both"/>
      </w:pPr>
      <w:r>
        <w:rPr>
          <w:rFonts w:ascii="Times New Roman" w:hAnsi="Times New Roman"/>
          <w:sz w:val="19"/>
        </w:rPr>
        <w:t>4) Automated Compliance Crosswalking Formulation:</w:t>
      </w:r>
    </w:p>
    <w:p>
      <w:pPr>
        <w:spacing w:after="60" w:line="269" w:lineRule="auto"/>
        <w:jc w:val="both"/>
      </w:pPr>
      <w:r>
        <w:rPr>
          <w:rFonts w:ascii="Times New Roman" w:hAnsi="Times New Roman"/>
          <w:b/>
          <w:sz w:val="19"/>
        </w:rPr>
        <w:t xml:space="preserve">Equation (4): </w:t>
      </w:r>
      <w:r>
        <w:rPr>
          <w:rFonts w:ascii="Times New Roman" w:hAnsi="Times New Roman"/>
          <w:sz w:val="19"/>
        </w:rPr>
        <w:t>Each validated vulnerability finding v is mapped to compliance controls across regulatory frameworks:</w:t>
        <w:br/>
        <w:t>MapCompliance(v) -&gt; { SOC2: CC6.1, HIPAA: §164.312, PCI_DSS: Req_1.3 [12], NIST_800_53: AC-6 [11] }</w:t>
      </w:r>
    </w:p>
    <w:p>
      <w:pPr>
        <w:keepNext/>
        <w:spacing w:before="240" w:after="60"/>
        <w:jc w:val="left"/>
      </w:pPr>
      <w:r>
        <w:rPr>
          <w:rFonts w:ascii="Times New Roman" w:hAnsi="Times New Roman"/>
          <w:b/>
          <w:color w:val="002060"/>
          <w:sz w:val="21"/>
        </w:rPr>
        <w:t>V. EXPERIMENTAL RESULTS AND PERFORMANCE ANALYSIS</w:t>
      </w:r>
    </w:p>
    <w:p>
      <w:pPr>
        <w:spacing w:after="60" w:line="269" w:lineRule="auto"/>
        <w:jc w:val="both"/>
      </w:pPr>
      <w:r>
        <w:rPr>
          <w:rFonts w:ascii="Times New Roman" w:hAnsi="Times New Roman"/>
          <w:sz w:val="19"/>
        </w:rPr>
        <w:t>To evaluate AgentShield AI, we constructed a benchmark corpus of 120 heterogeneous multi-cloud IaC templates (40 HashiCorp Terraform, 40 AWS CloudFormation, 20 Kubernetes Manifests, 20 Helm Charts) sourced from vulnerable repositories (Terragoat, cfngoat, KICS suites) and production enterprise baselines. Ground truth misconfigurations were verified by certified cloud security architects.</w:t>
      </w:r>
    </w:p>
    <w:p>
      <w:pPr>
        <w:keepNext/>
        <w:spacing w:before="160" w:after="40"/>
        <w:jc w:val="left"/>
      </w:pPr>
      <w:r>
        <w:rPr>
          <w:rFonts w:ascii="Times New Roman" w:hAnsi="Times New Roman"/>
          <w:b/>
          <w:i/>
          <w:color w:val="222222"/>
          <w:sz w:val="20"/>
        </w:rPr>
        <w:t>A. Benchmark Comparison Results</w:t>
      </w:r>
    </w:p>
    <w:p>
      <w:pPr>
        <w:spacing w:after="60" w:line="269" w:lineRule="auto"/>
        <w:jc w:val="both"/>
      </w:pPr>
      <w:r>
        <w:rPr>
          <w:rFonts w:ascii="Times New Roman" w:hAnsi="Times New Roman"/>
          <w:sz w:val="19"/>
        </w:rPr>
        <w:t>We evaluated AgentShield AI against baseline static checkers (Checkov [2]), machine learning smell detectors (GLITCH [2]), and the IEEE base paper by Toprani &amp; Madisetti (2025) [1]. Metrics evaluated include Precision (P), Recall (R), F1-Score (F1), False Positive Rate (FPR), Patch Pass Rate (PPR), and Average Execution Latency (seconds).</w:t>
      </w:r>
    </w:p>
    <w:p>
      <w:pPr>
        <w:spacing w:after="60" w:line="269" w:lineRule="auto"/>
        <w:jc w:val="both"/>
      </w:pPr>
      <w:r>
        <w:rPr>
          <w:rFonts w:ascii="Times New Roman" w:hAnsi="Times New Roman"/>
          <w:sz w:val="19"/>
        </w:rPr>
        <w:t>TABLE V: Comprehensive Empirical Benchmark Evaluation across 120 Multi-Cloud Templates</w:t>
      </w:r>
    </w:p>
    <w:tbl>
      <w:tblPr>
        <w:tblW w:type="auto" w:w="0"/>
        <w:jc w:val="center"/>
        <w:tblLook w:firstColumn="1" w:firstRow="1" w:lastColumn="0" w:lastRow="0" w:noHBand="0" w:noVBand="1" w:val="04A0"/>
        <w:tblBorders>
          <w:top w:val="single" w:sz="6" w:space="0" w:color="002060"/>
          <w:bottom w:val="single" w:sz="6" w:space="0" w:color="002060"/>
          <w:insideH w:val="single" w:sz="4" w:space="0" w:color="E0E0E0"/>
          <w:insideV w:val="none"/>
          <w:left w:val="none"/>
          <w:right w:val="none"/>
        </w:tblBorders>
      </w:tblPr>
      <w:tblGrid>
        <w:gridCol w:w="1440"/>
        <w:gridCol w:w="1440"/>
        <w:gridCol w:w="1440"/>
        <w:gridCol w:w="1440"/>
        <w:gridCol w:w="1440"/>
        <w:gridCol w:w="1440"/>
        <w:gridCol w:w="1440"/>
      </w:tblGrid>
      <w:tr>
        <w:tc>
          <w:tcPr>
            <w:tcW w:type="dxa" w:w="1440"/>
            <w:shd w:fill="002060"/>
          </w:tcPr>
          <w:p>
            <w:pPr>
              <w:jc w:val="center"/>
            </w:pPr>
            <w:r>
              <w:rPr>
                <w:rFonts w:ascii="Times New Roman" w:hAnsi="Times New Roman"/>
                <w:b/>
                <w:color w:val="FFFFFF"/>
                <w:sz w:val="16"/>
              </w:rPr>
              <w:t>System / Model</w:t>
            </w:r>
          </w:p>
        </w:tc>
        <w:tc>
          <w:tcPr>
            <w:tcW w:type="dxa" w:w="1440"/>
            <w:shd w:fill="002060"/>
          </w:tcPr>
          <w:p>
            <w:pPr>
              <w:jc w:val="center"/>
            </w:pPr>
            <w:r>
              <w:rPr>
                <w:rFonts w:ascii="Times New Roman" w:hAnsi="Times New Roman"/>
                <w:b/>
                <w:color w:val="FFFFFF"/>
                <w:sz w:val="16"/>
              </w:rPr>
              <w:t>Precision (%)</w:t>
            </w:r>
          </w:p>
        </w:tc>
        <w:tc>
          <w:tcPr>
            <w:tcW w:type="dxa" w:w="1440"/>
            <w:shd w:fill="002060"/>
          </w:tcPr>
          <w:p>
            <w:pPr>
              <w:jc w:val="center"/>
            </w:pPr>
            <w:r>
              <w:rPr>
                <w:rFonts w:ascii="Times New Roman" w:hAnsi="Times New Roman"/>
                <w:b/>
                <w:color w:val="FFFFFF"/>
                <w:sz w:val="16"/>
              </w:rPr>
              <w:t>Recall (%)</w:t>
            </w:r>
          </w:p>
        </w:tc>
        <w:tc>
          <w:tcPr>
            <w:tcW w:type="dxa" w:w="1440"/>
            <w:shd w:fill="002060"/>
          </w:tcPr>
          <w:p>
            <w:pPr>
              <w:jc w:val="center"/>
            </w:pPr>
            <w:r>
              <w:rPr>
                <w:rFonts w:ascii="Times New Roman" w:hAnsi="Times New Roman"/>
                <w:b/>
                <w:color w:val="FFFFFF"/>
                <w:sz w:val="16"/>
              </w:rPr>
              <w:t>F1-Score (%)</w:t>
            </w:r>
          </w:p>
        </w:tc>
        <w:tc>
          <w:tcPr>
            <w:tcW w:type="dxa" w:w="1440"/>
            <w:shd w:fill="002060"/>
          </w:tcPr>
          <w:p>
            <w:pPr>
              <w:jc w:val="center"/>
            </w:pPr>
            <w:r>
              <w:rPr>
                <w:rFonts w:ascii="Times New Roman" w:hAnsi="Times New Roman"/>
                <w:b/>
                <w:color w:val="FFFFFF"/>
                <w:sz w:val="16"/>
              </w:rPr>
              <w:t>FPR (%)</w:t>
            </w:r>
          </w:p>
        </w:tc>
        <w:tc>
          <w:tcPr>
            <w:tcW w:type="dxa" w:w="1440"/>
            <w:shd w:fill="002060"/>
          </w:tcPr>
          <w:p>
            <w:pPr>
              <w:jc w:val="center"/>
            </w:pPr>
            <w:r>
              <w:rPr>
                <w:rFonts w:ascii="Times New Roman" w:hAnsi="Times New Roman"/>
                <w:b/>
                <w:color w:val="FFFFFF"/>
                <w:sz w:val="16"/>
              </w:rPr>
              <w:t>Patch Pass Rate (%)</w:t>
            </w:r>
          </w:p>
        </w:tc>
        <w:tc>
          <w:tcPr>
            <w:tcW w:type="dxa" w:w="1440"/>
            <w:shd w:fill="002060"/>
          </w:tcPr>
          <w:p>
            <w:pPr>
              <w:jc w:val="center"/>
            </w:pPr>
            <w:r>
              <w:rPr>
                <w:rFonts w:ascii="Times New Roman" w:hAnsi="Times New Roman"/>
                <w:b/>
                <w:color w:val="FFFFFF"/>
                <w:sz w:val="16"/>
              </w:rPr>
              <w:t>Latency (s)</w:t>
            </w:r>
          </w:p>
        </w:tc>
      </w:tr>
      <w:tr>
        <w:tc>
          <w:tcPr>
            <w:tcW w:type="dxa" w:w="1440"/>
          </w:tcPr>
          <w:p>
            <w:pPr>
              <w:spacing w:after="20" w:before="20"/>
              <w:jc w:val="left"/>
            </w:pPr>
            <w:r>
              <w:rPr>
                <w:rFonts w:ascii="Times New Roman" w:hAnsi="Times New Roman"/>
                <w:sz w:val="15"/>
              </w:rPr>
              <w:t>Checkov Static Linter [2]</w:t>
            </w:r>
          </w:p>
        </w:tc>
        <w:tc>
          <w:tcPr>
            <w:tcW w:type="dxa" w:w="1440"/>
          </w:tcPr>
          <w:p>
            <w:pPr>
              <w:spacing w:after="20" w:before="20"/>
              <w:jc w:val="center"/>
            </w:pPr>
            <w:r>
              <w:rPr>
                <w:rFonts w:ascii="Times New Roman" w:hAnsi="Times New Roman"/>
                <w:sz w:val="15"/>
              </w:rPr>
              <w:t>71.4%</w:t>
            </w:r>
          </w:p>
        </w:tc>
        <w:tc>
          <w:tcPr>
            <w:tcW w:type="dxa" w:w="1440"/>
          </w:tcPr>
          <w:p>
            <w:pPr>
              <w:spacing w:after="20" w:before="20"/>
              <w:jc w:val="center"/>
            </w:pPr>
            <w:r>
              <w:rPr>
                <w:rFonts w:ascii="Times New Roman" w:hAnsi="Times New Roman"/>
                <w:sz w:val="15"/>
              </w:rPr>
              <w:t>82.0%</w:t>
            </w:r>
          </w:p>
        </w:tc>
        <w:tc>
          <w:tcPr>
            <w:tcW w:type="dxa" w:w="1440"/>
          </w:tcPr>
          <w:p>
            <w:pPr>
              <w:spacing w:after="20" w:before="20"/>
              <w:jc w:val="center"/>
            </w:pPr>
            <w:r>
              <w:rPr>
                <w:rFonts w:ascii="Times New Roman" w:hAnsi="Times New Roman"/>
                <w:sz w:val="15"/>
              </w:rPr>
              <w:t>76.3%</w:t>
            </w:r>
          </w:p>
        </w:tc>
        <w:tc>
          <w:tcPr>
            <w:tcW w:type="dxa" w:w="1440"/>
          </w:tcPr>
          <w:p>
            <w:pPr>
              <w:spacing w:after="20" w:before="20"/>
              <w:jc w:val="center"/>
            </w:pPr>
            <w:r>
              <w:rPr>
                <w:rFonts w:ascii="Times New Roman" w:hAnsi="Times New Roman"/>
                <w:sz w:val="15"/>
              </w:rPr>
              <w:t>28.6%</w:t>
            </w:r>
          </w:p>
        </w:tc>
        <w:tc>
          <w:tcPr>
            <w:tcW w:type="dxa" w:w="1440"/>
          </w:tcPr>
          <w:p>
            <w:pPr>
              <w:spacing w:after="20" w:before="20"/>
              <w:jc w:val="center"/>
            </w:pPr>
            <w:r>
              <w:rPr>
                <w:rFonts w:ascii="Times New Roman" w:hAnsi="Times New Roman"/>
                <w:sz w:val="15"/>
              </w:rPr>
              <w:t>N/A (No Patch)</w:t>
            </w:r>
          </w:p>
        </w:tc>
        <w:tc>
          <w:tcPr>
            <w:tcW w:type="dxa" w:w="1440"/>
          </w:tcPr>
          <w:p>
            <w:pPr>
              <w:spacing w:after="20" w:before="20"/>
              <w:jc w:val="center"/>
            </w:pPr>
            <w:r>
              <w:rPr>
                <w:rFonts w:ascii="Times New Roman" w:hAnsi="Times New Roman"/>
                <w:sz w:val="15"/>
              </w:rPr>
              <w:t>3.2s</w:t>
            </w:r>
          </w:p>
        </w:tc>
      </w:tr>
      <w:tr>
        <w:tc>
          <w:tcPr>
            <w:tcW w:type="dxa" w:w="1440"/>
            <w:shd w:fill="F2F5F9"/>
          </w:tcPr>
          <w:p>
            <w:pPr>
              <w:spacing w:after="20" w:before="20"/>
              <w:jc w:val="left"/>
            </w:pPr>
            <w:r>
              <w:rPr>
                <w:rFonts w:ascii="Times New Roman" w:hAnsi="Times New Roman"/>
                <w:sz w:val="15"/>
              </w:rPr>
              <w:t>GLITCH ML Detector [2]</w:t>
            </w:r>
          </w:p>
        </w:tc>
        <w:tc>
          <w:tcPr>
            <w:tcW w:type="dxa" w:w="1440"/>
            <w:shd w:fill="F2F5F9"/>
          </w:tcPr>
          <w:p>
            <w:pPr>
              <w:spacing w:after="20" w:before="20"/>
              <w:jc w:val="center"/>
            </w:pPr>
            <w:r>
              <w:rPr>
                <w:rFonts w:ascii="Times New Roman" w:hAnsi="Times New Roman"/>
                <w:sz w:val="15"/>
              </w:rPr>
              <w:t>78.2%</w:t>
            </w:r>
          </w:p>
        </w:tc>
        <w:tc>
          <w:tcPr>
            <w:tcW w:type="dxa" w:w="1440"/>
            <w:shd w:fill="F2F5F9"/>
          </w:tcPr>
          <w:p>
            <w:pPr>
              <w:spacing w:after="20" w:before="20"/>
              <w:jc w:val="center"/>
            </w:pPr>
            <w:r>
              <w:rPr>
                <w:rFonts w:ascii="Times New Roman" w:hAnsi="Times New Roman"/>
                <w:sz w:val="15"/>
              </w:rPr>
              <w:t>74.5%</w:t>
            </w:r>
          </w:p>
        </w:tc>
        <w:tc>
          <w:tcPr>
            <w:tcW w:type="dxa" w:w="1440"/>
            <w:shd w:fill="F2F5F9"/>
          </w:tcPr>
          <w:p>
            <w:pPr>
              <w:spacing w:after="20" w:before="20"/>
              <w:jc w:val="center"/>
            </w:pPr>
            <w:r>
              <w:rPr>
                <w:rFonts w:ascii="Times New Roman" w:hAnsi="Times New Roman"/>
                <w:sz w:val="15"/>
              </w:rPr>
              <w:t>76.3%</w:t>
            </w:r>
          </w:p>
        </w:tc>
        <w:tc>
          <w:tcPr>
            <w:tcW w:type="dxa" w:w="1440"/>
            <w:shd w:fill="F2F5F9"/>
          </w:tcPr>
          <w:p>
            <w:pPr>
              <w:spacing w:after="20" w:before="20"/>
              <w:jc w:val="center"/>
            </w:pPr>
            <w:r>
              <w:rPr>
                <w:rFonts w:ascii="Times New Roman" w:hAnsi="Times New Roman"/>
                <w:sz w:val="15"/>
              </w:rPr>
              <w:t>21.8%</w:t>
            </w:r>
          </w:p>
        </w:tc>
        <w:tc>
          <w:tcPr>
            <w:tcW w:type="dxa" w:w="1440"/>
            <w:shd w:fill="F2F5F9"/>
          </w:tcPr>
          <w:p>
            <w:pPr>
              <w:spacing w:after="20" w:before="20"/>
              <w:jc w:val="center"/>
            </w:pPr>
            <w:r>
              <w:rPr>
                <w:rFonts w:ascii="Times New Roman" w:hAnsi="Times New Roman"/>
                <w:sz w:val="15"/>
              </w:rPr>
              <w:t>N/A (No Patch)</w:t>
            </w:r>
          </w:p>
        </w:tc>
        <w:tc>
          <w:tcPr>
            <w:tcW w:type="dxa" w:w="1440"/>
            <w:shd w:fill="F2F5F9"/>
          </w:tcPr>
          <w:p>
            <w:pPr>
              <w:spacing w:after="20" w:before="20"/>
              <w:jc w:val="center"/>
            </w:pPr>
            <w:r>
              <w:rPr>
                <w:rFonts w:ascii="Times New Roman" w:hAnsi="Times New Roman"/>
                <w:sz w:val="15"/>
              </w:rPr>
              <w:t>8.5s</w:t>
            </w:r>
          </w:p>
        </w:tc>
      </w:tr>
      <w:tr>
        <w:tc>
          <w:tcPr>
            <w:tcW w:type="dxa" w:w="1440"/>
          </w:tcPr>
          <w:p>
            <w:pPr>
              <w:spacing w:after="20" w:before="20"/>
              <w:jc w:val="left"/>
            </w:pPr>
            <w:r>
              <w:rPr>
                <w:rFonts w:ascii="Times New Roman" w:hAnsi="Times New Roman"/>
                <w:sz w:val="15"/>
              </w:rPr>
              <w:t>Base IEEE Paper (2025) [1]</w:t>
            </w:r>
          </w:p>
        </w:tc>
        <w:tc>
          <w:tcPr>
            <w:tcW w:type="dxa" w:w="1440"/>
          </w:tcPr>
          <w:p>
            <w:pPr>
              <w:spacing w:after="20" w:before="20"/>
              <w:jc w:val="center"/>
            </w:pPr>
            <w:r>
              <w:rPr>
                <w:rFonts w:ascii="Times New Roman" w:hAnsi="Times New Roman"/>
                <w:sz w:val="15"/>
              </w:rPr>
              <w:t>85.0%</w:t>
            </w:r>
          </w:p>
        </w:tc>
        <w:tc>
          <w:tcPr>
            <w:tcW w:type="dxa" w:w="1440"/>
          </w:tcPr>
          <w:p>
            <w:pPr>
              <w:spacing w:after="20" w:before="20"/>
              <w:jc w:val="center"/>
            </w:pPr>
            <w:r>
              <w:rPr>
                <w:rFonts w:ascii="Times New Roman" w:hAnsi="Times New Roman"/>
                <w:sz w:val="15"/>
              </w:rPr>
              <w:t>85.0%</w:t>
            </w:r>
          </w:p>
        </w:tc>
        <w:tc>
          <w:tcPr>
            <w:tcW w:type="dxa" w:w="1440"/>
          </w:tcPr>
          <w:p>
            <w:pPr>
              <w:spacing w:after="20" w:before="20"/>
              <w:jc w:val="center"/>
            </w:pPr>
            <w:r>
              <w:rPr>
                <w:rFonts w:ascii="Times New Roman" w:hAnsi="Times New Roman"/>
                <w:sz w:val="15"/>
              </w:rPr>
              <w:t>85.0%</w:t>
            </w:r>
          </w:p>
        </w:tc>
        <w:tc>
          <w:tcPr>
            <w:tcW w:type="dxa" w:w="1440"/>
          </w:tcPr>
          <w:p>
            <w:pPr>
              <w:spacing w:after="20" w:before="20"/>
              <w:jc w:val="center"/>
            </w:pPr>
            <w:r>
              <w:rPr>
                <w:rFonts w:ascii="Times New Roman" w:hAnsi="Times New Roman"/>
                <w:sz w:val="15"/>
              </w:rPr>
              <w:t>15.0%</w:t>
            </w:r>
          </w:p>
        </w:tc>
        <w:tc>
          <w:tcPr>
            <w:tcW w:type="dxa" w:w="1440"/>
          </w:tcPr>
          <w:p>
            <w:pPr>
              <w:spacing w:after="20" w:before="20"/>
              <w:jc w:val="center"/>
            </w:pPr>
            <w:r>
              <w:rPr>
                <w:rFonts w:ascii="Times New Roman" w:hAnsi="Times New Roman"/>
                <w:sz w:val="15"/>
              </w:rPr>
              <w:t>N/A (Text Only)</w:t>
            </w:r>
          </w:p>
        </w:tc>
        <w:tc>
          <w:tcPr>
            <w:tcW w:type="dxa" w:w="1440"/>
          </w:tcPr>
          <w:p>
            <w:pPr>
              <w:spacing w:after="20" w:before="20"/>
              <w:jc w:val="center"/>
            </w:pPr>
            <w:r>
              <w:rPr>
                <w:rFonts w:ascii="Times New Roman" w:hAnsi="Times New Roman"/>
                <w:sz w:val="15"/>
              </w:rPr>
              <w:t>90.0s</w:t>
            </w:r>
          </w:p>
        </w:tc>
      </w:tr>
      <w:tr>
        <w:tc>
          <w:tcPr>
            <w:tcW w:type="dxa" w:w="1440"/>
            <w:shd w:fill="F2F5F9"/>
          </w:tcPr>
          <w:p>
            <w:pPr>
              <w:spacing w:after="20" w:before="20"/>
              <w:jc w:val="left"/>
            </w:pPr>
            <w:r>
              <w:rPr>
                <w:rFonts w:ascii="Times New Roman" w:hAnsi="Times New Roman"/>
                <w:b/>
                <w:sz w:val="15"/>
              </w:rPr>
              <w:t>AgentShield AI (Proposed)</w:t>
            </w:r>
          </w:p>
        </w:tc>
        <w:tc>
          <w:tcPr>
            <w:tcW w:type="dxa" w:w="1440"/>
            <w:shd w:fill="F2F5F9"/>
          </w:tcPr>
          <w:p>
            <w:pPr>
              <w:spacing w:after="20" w:before="20"/>
              <w:jc w:val="center"/>
            </w:pPr>
            <w:r>
              <w:rPr>
                <w:rFonts w:ascii="Times New Roman" w:hAnsi="Times New Roman"/>
                <w:b/>
                <w:sz w:val="15"/>
              </w:rPr>
              <w:t>97.6%</w:t>
            </w:r>
          </w:p>
        </w:tc>
        <w:tc>
          <w:tcPr>
            <w:tcW w:type="dxa" w:w="1440"/>
            <w:shd w:fill="F2F5F9"/>
          </w:tcPr>
          <w:p>
            <w:pPr>
              <w:spacing w:after="20" w:before="20"/>
              <w:jc w:val="center"/>
            </w:pPr>
            <w:r>
              <w:rPr>
                <w:rFonts w:ascii="Times New Roman" w:hAnsi="Times New Roman"/>
                <w:b/>
                <w:sz w:val="15"/>
              </w:rPr>
              <w:t>95.1%</w:t>
            </w:r>
          </w:p>
        </w:tc>
        <w:tc>
          <w:tcPr>
            <w:tcW w:type="dxa" w:w="1440"/>
            <w:shd w:fill="F2F5F9"/>
          </w:tcPr>
          <w:p>
            <w:pPr>
              <w:spacing w:after="20" w:before="20"/>
              <w:jc w:val="center"/>
            </w:pPr>
            <w:r>
              <w:rPr>
                <w:rFonts w:ascii="Times New Roman" w:hAnsi="Times New Roman"/>
                <w:b/>
                <w:sz w:val="15"/>
              </w:rPr>
              <w:t>96.3%</w:t>
            </w:r>
          </w:p>
        </w:tc>
        <w:tc>
          <w:tcPr>
            <w:tcW w:type="dxa" w:w="1440"/>
            <w:shd w:fill="F2F5F9"/>
          </w:tcPr>
          <w:p>
            <w:pPr>
              <w:spacing w:after="20" w:before="20"/>
              <w:jc w:val="center"/>
            </w:pPr>
            <w:r>
              <w:rPr>
                <w:rFonts w:ascii="Times New Roman" w:hAnsi="Times New Roman"/>
                <w:b/>
                <w:sz w:val="15"/>
              </w:rPr>
              <w:t>2.4%</w:t>
            </w:r>
          </w:p>
        </w:tc>
        <w:tc>
          <w:tcPr>
            <w:tcW w:type="dxa" w:w="1440"/>
            <w:shd w:fill="F2F5F9"/>
          </w:tcPr>
          <w:p>
            <w:pPr>
              <w:spacing w:after="20" w:before="20"/>
              <w:jc w:val="center"/>
            </w:pPr>
            <w:r>
              <w:rPr>
                <w:rFonts w:ascii="Times New Roman" w:hAnsi="Times New Roman"/>
                <w:b/>
                <w:sz w:val="15"/>
              </w:rPr>
              <w:t>94.8%</w:t>
            </w:r>
          </w:p>
        </w:tc>
        <w:tc>
          <w:tcPr>
            <w:tcW w:type="dxa" w:w="1440"/>
            <w:shd w:fill="F2F5F9"/>
          </w:tcPr>
          <w:p>
            <w:pPr>
              <w:spacing w:after="20" w:before="20"/>
              <w:jc w:val="center"/>
            </w:pPr>
            <w:r>
              <w:rPr>
                <w:rFonts w:ascii="Times New Roman" w:hAnsi="Times New Roman"/>
                <w:b/>
                <w:sz w:val="15"/>
              </w:rPr>
              <w:t>18.4s</w:t>
            </w:r>
          </w:p>
        </w:tc>
      </w:tr>
    </w:tbl>
    <w:p>
      <w:pPr>
        <w:keepNext/>
        <w:spacing w:before="160" w:after="40"/>
        <w:jc w:val="left"/>
      </w:pPr>
      <w:r>
        <w:rPr>
          <w:rFonts w:ascii="Times New Roman" w:hAnsi="Times New Roman"/>
          <w:b/>
          <w:i/>
          <w:color w:val="222222"/>
          <w:sz w:val="20"/>
        </w:rPr>
        <w:t>B. System Component Ablation Studies</w:t>
      </w:r>
    </w:p>
    <w:p>
      <w:pPr>
        <w:spacing w:after="60" w:line="269" w:lineRule="auto"/>
        <w:jc w:val="both"/>
      </w:pPr>
      <w:r>
        <w:rPr>
          <w:rFonts w:ascii="Times New Roman" w:hAnsi="Times New Roman"/>
          <w:sz w:val="19"/>
        </w:rPr>
        <w:t>To quantify individual component contributions, we conducted five systematic ablation experiments:</w:t>
      </w:r>
    </w:p>
    <w:p>
      <w:pPr>
        <w:spacing w:after="60" w:line="269" w:lineRule="auto"/>
        <w:jc w:val="both"/>
      </w:pPr>
      <w:r>
        <w:rPr>
          <w:rFonts w:ascii="Times New Roman" w:hAnsi="Times New Roman"/>
          <w:sz w:val="19"/>
        </w:rPr>
        <w:t>TABLE VI: System Component Ablation Study Results</w:t>
      </w:r>
    </w:p>
    <w:tbl>
      <w:tblPr>
        <w:tblW w:type="auto" w:w="0"/>
        <w:jc w:val="center"/>
        <w:tblLook w:firstColumn="1" w:firstRow="1" w:lastColumn="0" w:lastRow="0" w:noHBand="0" w:noVBand="1" w:val="04A0"/>
        <w:tblBorders>
          <w:top w:val="single" w:sz="6" w:space="0" w:color="002060"/>
          <w:bottom w:val="single" w:sz="6" w:space="0" w:color="002060"/>
          <w:insideH w:val="single" w:sz="4" w:space="0" w:color="E0E0E0"/>
          <w:insideV w:val="none"/>
          <w:left w:val="none"/>
          <w:right w:val="none"/>
        </w:tblBorders>
      </w:tblPr>
      <w:tblGrid>
        <w:gridCol w:w="1680"/>
        <w:gridCol w:w="1680"/>
        <w:gridCol w:w="1680"/>
        <w:gridCol w:w="1680"/>
        <w:gridCol w:w="1680"/>
        <w:gridCol w:w="1680"/>
      </w:tblGrid>
      <w:tr>
        <w:tc>
          <w:tcPr>
            <w:tcW w:type="dxa" w:w="1680"/>
            <w:shd w:fill="002060"/>
          </w:tcPr>
          <w:p>
            <w:pPr>
              <w:jc w:val="center"/>
            </w:pPr>
            <w:r>
              <w:rPr>
                <w:rFonts w:ascii="Times New Roman" w:hAnsi="Times New Roman"/>
                <w:b/>
                <w:color w:val="FFFFFF"/>
                <w:sz w:val="16"/>
              </w:rPr>
              <w:t>Ablation Configuration</w:t>
            </w:r>
          </w:p>
        </w:tc>
        <w:tc>
          <w:tcPr>
            <w:tcW w:type="dxa" w:w="1680"/>
            <w:shd w:fill="002060"/>
          </w:tcPr>
          <w:p>
            <w:pPr>
              <w:jc w:val="center"/>
            </w:pPr>
            <w:r>
              <w:rPr>
                <w:rFonts w:ascii="Times New Roman" w:hAnsi="Times New Roman"/>
                <w:b/>
                <w:color w:val="FFFFFF"/>
                <w:sz w:val="16"/>
              </w:rPr>
              <w:t>Precision (%)</w:t>
            </w:r>
          </w:p>
        </w:tc>
        <w:tc>
          <w:tcPr>
            <w:tcW w:type="dxa" w:w="1680"/>
            <w:shd w:fill="002060"/>
          </w:tcPr>
          <w:p>
            <w:pPr>
              <w:jc w:val="center"/>
            </w:pPr>
            <w:r>
              <w:rPr>
                <w:rFonts w:ascii="Times New Roman" w:hAnsi="Times New Roman"/>
                <w:b/>
                <w:color w:val="FFFFFF"/>
                <w:sz w:val="16"/>
              </w:rPr>
              <w:t>Recall (%)</w:t>
            </w:r>
          </w:p>
        </w:tc>
        <w:tc>
          <w:tcPr>
            <w:tcW w:type="dxa" w:w="1680"/>
            <w:shd w:fill="002060"/>
          </w:tcPr>
          <w:p>
            <w:pPr>
              <w:jc w:val="center"/>
            </w:pPr>
            <w:r>
              <w:rPr>
                <w:rFonts w:ascii="Times New Roman" w:hAnsi="Times New Roman"/>
                <w:b/>
                <w:color w:val="FFFFFF"/>
                <w:sz w:val="16"/>
              </w:rPr>
              <w:t>FPR (%)</w:t>
            </w:r>
          </w:p>
        </w:tc>
        <w:tc>
          <w:tcPr>
            <w:tcW w:type="dxa" w:w="1680"/>
            <w:shd w:fill="002060"/>
          </w:tcPr>
          <w:p>
            <w:pPr>
              <w:jc w:val="center"/>
            </w:pPr>
            <w:r>
              <w:rPr>
                <w:rFonts w:ascii="Times New Roman" w:hAnsi="Times New Roman"/>
                <w:b/>
                <w:color w:val="FFFFFF"/>
                <w:sz w:val="16"/>
              </w:rPr>
              <w:t>Patch Pass Rate (%)</w:t>
            </w:r>
          </w:p>
        </w:tc>
        <w:tc>
          <w:tcPr>
            <w:tcW w:type="dxa" w:w="1680"/>
            <w:shd w:fill="002060"/>
          </w:tcPr>
          <w:p>
            <w:pPr>
              <w:jc w:val="center"/>
            </w:pPr>
            <w:r>
              <w:rPr>
                <w:rFonts w:ascii="Times New Roman" w:hAnsi="Times New Roman"/>
                <w:b/>
                <w:color w:val="FFFFFF"/>
                <w:sz w:val="16"/>
              </w:rPr>
              <w:t>Key Impact Identified</w:t>
            </w:r>
          </w:p>
        </w:tc>
      </w:tr>
      <w:tr>
        <w:tc>
          <w:tcPr>
            <w:tcW w:type="dxa" w:w="1680"/>
          </w:tcPr>
          <w:p>
            <w:pPr>
              <w:spacing w:after="20" w:before="20"/>
              <w:jc w:val="left"/>
            </w:pPr>
            <w:r>
              <w:rPr>
                <w:rFonts w:ascii="Times New Roman" w:hAnsi="Times New Roman"/>
                <w:sz w:val="15"/>
              </w:rPr>
              <w:t>1. No AST Resolution (Raw Text)</w:t>
            </w:r>
          </w:p>
        </w:tc>
        <w:tc>
          <w:tcPr>
            <w:tcW w:type="dxa" w:w="1680"/>
          </w:tcPr>
          <w:p>
            <w:pPr>
              <w:spacing w:after="20" w:before="20"/>
              <w:jc w:val="center"/>
            </w:pPr>
            <w:r>
              <w:rPr>
                <w:rFonts w:ascii="Times New Roman" w:hAnsi="Times New Roman"/>
                <w:sz w:val="15"/>
              </w:rPr>
              <w:t>81.2%</w:t>
            </w:r>
          </w:p>
        </w:tc>
        <w:tc>
          <w:tcPr>
            <w:tcW w:type="dxa" w:w="1680"/>
          </w:tcPr>
          <w:p>
            <w:pPr>
              <w:spacing w:after="20" w:before="20"/>
              <w:jc w:val="center"/>
            </w:pPr>
            <w:r>
              <w:rPr>
                <w:rFonts w:ascii="Times New Roman" w:hAnsi="Times New Roman"/>
                <w:sz w:val="15"/>
              </w:rPr>
              <w:t>83.5%</w:t>
            </w:r>
          </w:p>
        </w:tc>
        <w:tc>
          <w:tcPr>
            <w:tcW w:type="dxa" w:w="1680"/>
          </w:tcPr>
          <w:p>
            <w:pPr>
              <w:spacing w:after="20" w:before="20"/>
              <w:jc w:val="center"/>
            </w:pPr>
            <w:r>
              <w:rPr>
                <w:rFonts w:ascii="Times New Roman" w:hAnsi="Times New Roman"/>
                <w:sz w:val="15"/>
              </w:rPr>
              <w:t>18.8%</w:t>
            </w:r>
          </w:p>
        </w:tc>
        <w:tc>
          <w:tcPr>
            <w:tcW w:type="dxa" w:w="1680"/>
          </w:tcPr>
          <w:p>
            <w:pPr>
              <w:spacing w:after="20" w:before="20"/>
              <w:jc w:val="center"/>
            </w:pPr>
            <w:r>
              <w:rPr>
                <w:rFonts w:ascii="Times New Roman" w:hAnsi="Times New Roman"/>
                <w:sz w:val="15"/>
              </w:rPr>
              <w:t>72.0%</w:t>
            </w:r>
          </w:p>
        </w:tc>
        <w:tc>
          <w:tcPr>
            <w:tcW w:type="dxa" w:w="1680"/>
          </w:tcPr>
          <w:p>
            <w:pPr>
              <w:spacing w:after="20" w:before="20"/>
              <w:jc w:val="left"/>
            </w:pPr>
            <w:r>
              <w:rPr>
                <w:rFonts w:ascii="Times New Roman" w:hAnsi="Times New Roman"/>
                <w:sz w:val="15"/>
              </w:rPr>
              <w:t>Dynamic variable context blind</w:t>
            </w:r>
          </w:p>
        </w:tc>
      </w:tr>
      <w:tr>
        <w:tc>
          <w:tcPr>
            <w:tcW w:type="dxa" w:w="1680"/>
            <w:shd w:fill="F2F5F9"/>
          </w:tcPr>
          <w:p>
            <w:pPr>
              <w:spacing w:after="20" w:before="20"/>
              <w:jc w:val="left"/>
            </w:pPr>
            <w:r>
              <w:rPr>
                <w:rFonts w:ascii="Times New Roman" w:hAnsi="Times New Roman"/>
                <w:sz w:val="15"/>
              </w:rPr>
              <w:t>2. RAG Disabled (No Vector Core)</w:t>
            </w:r>
          </w:p>
        </w:tc>
        <w:tc>
          <w:tcPr>
            <w:tcW w:type="dxa" w:w="1680"/>
            <w:shd w:fill="F2F5F9"/>
          </w:tcPr>
          <w:p>
            <w:pPr>
              <w:spacing w:after="20" w:before="20"/>
              <w:jc w:val="center"/>
            </w:pPr>
            <w:r>
              <w:rPr>
                <w:rFonts w:ascii="Times New Roman" w:hAnsi="Times New Roman"/>
                <w:sz w:val="15"/>
              </w:rPr>
              <w:t>84.0%</w:t>
            </w:r>
          </w:p>
        </w:tc>
        <w:tc>
          <w:tcPr>
            <w:tcW w:type="dxa" w:w="1680"/>
            <w:shd w:fill="F2F5F9"/>
          </w:tcPr>
          <w:p>
            <w:pPr>
              <w:spacing w:after="20" w:before="20"/>
              <w:jc w:val="center"/>
            </w:pPr>
            <w:r>
              <w:rPr>
                <w:rFonts w:ascii="Times New Roman" w:hAnsi="Times New Roman"/>
                <w:sz w:val="15"/>
              </w:rPr>
              <w:t>81.0%</w:t>
            </w:r>
          </w:p>
        </w:tc>
        <w:tc>
          <w:tcPr>
            <w:tcW w:type="dxa" w:w="1680"/>
            <w:shd w:fill="F2F5F9"/>
          </w:tcPr>
          <w:p>
            <w:pPr>
              <w:spacing w:after="20" w:before="20"/>
              <w:jc w:val="center"/>
            </w:pPr>
            <w:r>
              <w:rPr>
                <w:rFonts w:ascii="Times New Roman" w:hAnsi="Times New Roman"/>
                <w:sz w:val="15"/>
              </w:rPr>
              <w:t>16.0%</w:t>
            </w:r>
          </w:p>
        </w:tc>
        <w:tc>
          <w:tcPr>
            <w:tcW w:type="dxa" w:w="1680"/>
            <w:shd w:fill="F2F5F9"/>
          </w:tcPr>
          <w:p>
            <w:pPr>
              <w:spacing w:after="20" w:before="20"/>
              <w:jc w:val="center"/>
            </w:pPr>
            <w:r>
              <w:rPr>
                <w:rFonts w:ascii="Times New Roman" w:hAnsi="Times New Roman"/>
                <w:sz w:val="15"/>
              </w:rPr>
              <w:t>68.5%</w:t>
            </w:r>
          </w:p>
        </w:tc>
        <w:tc>
          <w:tcPr>
            <w:tcW w:type="dxa" w:w="1680"/>
            <w:shd w:fill="F2F5F9"/>
          </w:tcPr>
          <w:p>
            <w:pPr>
              <w:spacing w:after="20" w:before="20"/>
              <w:jc w:val="left"/>
            </w:pPr>
            <w:r>
              <w:rPr>
                <w:rFonts w:ascii="Times New Roman" w:hAnsi="Times New Roman"/>
                <w:sz w:val="15"/>
              </w:rPr>
              <w:t>High hallucination rate (+88%)</w:t>
            </w:r>
          </w:p>
        </w:tc>
      </w:tr>
      <w:tr>
        <w:tc>
          <w:tcPr>
            <w:tcW w:type="dxa" w:w="1680"/>
          </w:tcPr>
          <w:p>
            <w:pPr>
              <w:spacing w:after="20" w:before="20"/>
              <w:jc w:val="left"/>
            </w:pPr>
            <w:r>
              <w:rPr>
                <w:rFonts w:ascii="Times New Roman" w:hAnsi="Times New Roman"/>
                <w:sz w:val="15"/>
              </w:rPr>
              <w:t>3. Single LLM (No Ensemble)</w:t>
            </w:r>
          </w:p>
        </w:tc>
        <w:tc>
          <w:tcPr>
            <w:tcW w:type="dxa" w:w="1680"/>
          </w:tcPr>
          <w:p>
            <w:pPr>
              <w:spacing w:after="20" w:before="20"/>
              <w:jc w:val="center"/>
            </w:pPr>
            <w:r>
              <w:rPr>
                <w:rFonts w:ascii="Times New Roman" w:hAnsi="Times New Roman"/>
                <w:sz w:val="15"/>
              </w:rPr>
              <w:t>85.2%</w:t>
            </w:r>
          </w:p>
        </w:tc>
        <w:tc>
          <w:tcPr>
            <w:tcW w:type="dxa" w:w="1680"/>
          </w:tcPr>
          <w:p>
            <w:pPr>
              <w:spacing w:after="20" w:before="20"/>
              <w:jc w:val="center"/>
            </w:pPr>
            <w:r>
              <w:rPr>
                <w:rFonts w:ascii="Times New Roman" w:hAnsi="Times New Roman"/>
                <w:sz w:val="15"/>
              </w:rPr>
              <w:t>86.0%</w:t>
            </w:r>
          </w:p>
        </w:tc>
        <w:tc>
          <w:tcPr>
            <w:tcW w:type="dxa" w:w="1680"/>
          </w:tcPr>
          <w:p>
            <w:pPr>
              <w:spacing w:after="20" w:before="20"/>
              <w:jc w:val="center"/>
            </w:pPr>
            <w:r>
              <w:rPr>
                <w:rFonts w:ascii="Times New Roman" w:hAnsi="Times New Roman"/>
                <w:sz w:val="15"/>
              </w:rPr>
              <w:t>14.8%</w:t>
            </w:r>
          </w:p>
        </w:tc>
        <w:tc>
          <w:tcPr>
            <w:tcW w:type="dxa" w:w="1680"/>
          </w:tcPr>
          <w:p>
            <w:pPr>
              <w:spacing w:after="20" w:before="20"/>
              <w:jc w:val="center"/>
            </w:pPr>
            <w:r>
              <w:rPr>
                <w:rFonts w:ascii="Times New Roman" w:hAnsi="Times New Roman"/>
                <w:sz w:val="15"/>
              </w:rPr>
              <w:t>76.4%</w:t>
            </w:r>
          </w:p>
        </w:tc>
        <w:tc>
          <w:tcPr>
            <w:tcW w:type="dxa" w:w="1680"/>
          </w:tcPr>
          <w:p>
            <w:pPr>
              <w:spacing w:after="20" w:before="20"/>
              <w:jc w:val="left"/>
            </w:pPr>
            <w:r>
              <w:rPr>
                <w:rFonts w:ascii="Times New Roman" w:hAnsi="Times New Roman"/>
                <w:sz w:val="15"/>
              </w:rPr>
              <w:t>False positives match base paper [1]</w:t>
            </w:r>
          </w:p>
        </w:tc>
      </w:tr>
      <w:tr>
        <w:tc>
          <w:tcPr>
            <w:tcW w:type="dxa" w:w="1680"/>
            <w:shd w:fill="F2F5F9"/>
          </w:tcPr>
          <w:p>
            <w:pPr>
              <w:spacing w:after="20" w:before="20"/>
              <w:jc w:val="left"/>
            </w:pPr>
            <w:r>
              <w:rPr>
                <w:rFonts w:ascii="Times New Roman" w:hAnsi="Times New Roman"/>
                <w:sz w:val="15"/>
              </w:rPr>
              <w:t>4. No LocalStack Sandbox</w:t>
            </w:r>
          </w:p>
        </w:tc>
        <w:tc>
          <w:tcPr>
            <w:tcW w:type="dxa" w:w="1680"/>
            <w:shd w:fill="F2F5F9"/>
          </w:tcPr>
          <w:p>
            <w:pPr>
              <w:spacing w:after="20" w:before="20"/>
              <w:jc w:val="center"/>
            </w:pPr>
            <w:r>
              <w:rPr>
                <w:rFonts w:ascii="Times New Roman" w:hAnsi="Times New Roman"/>
                <w:sz w:val="15"/>
              </w:rPr>
              <w:t>97.6%</w:t>
            </w:r>
          </w:p>
        </w:tc>
        <w:tc>
          <w:tcPr>
            <w:tcW w:type="dxa" w:w="1680"/>
            <w:shd w:fill="F2F5F9"/>
          </w:tcPr>
          <w:p>
            <w:pPr>
              <w:spacing w:after="20" w:before="20"/>
              <w:jc w:val="center"/>
            </w:pPr>
            <w:r>
              <w:rPr>
                <w:rFonts w:ascii="Times New Roman" w:hAnsi="Times New Roman"/>
                <w:sz w:val="15"/>
              </w:rPr>
              <w:t>95.1%</w:t>
            </w:r>
          </w:p>
        </w:tc>
        <w:tc>
          <w:tcPr>
            <w:tcW w:type="dxa" w:w="1680"/>
            <w:shd w:fill="F2F5F9"/>
          </w:tcPr>
          <w:p>
            <w:pPr>
              <w:spacing w:after="20" w:before="20"/>
              <w:jc w:val="center"/>
            </w:pPr>
            <w:r>
              <w:rPr>
                <w:rFonts w:ascii="Times New Roman" w:hAnsi="Times New Roman"/>
                <w:sz w:val="15"/>
              </w:rPr>
              <w:t>2.4%</w:t>
            </w:r>
          </w:p>
        </w:tc>
        <w:tc>
          <w:tcPr>
            <w:tcW w:type="dxa" w:w="1680"/>
            <w:shd w:fill="F2F5F9"/>
          </w:tcPr>
          <w:p>
            <w:pPr>
              <w:spacing w:after="20" w:before="20"/>
              <w:jc w:val="center"/>
            </w:pPr>
            <w:r>
              <w:rPr>
                <w:rFonts w:ascii="Times New Roman" w:hAnsi="Times New Roman"/>
                <w:sz w:val="15"/>
              </w:rPr>
              <w:t>71.2%</w:t>
            </w:r>
          </w:p>
        </w:tc>
        <w:tc>
          <w:tcPr>
            <w:tcW w:type="dxa" w:w="1680"/>
            <w:shd w:fill="F2F5F9"/>
          </w:tcPr>
          <w:p>
            <w:pPr>
              <w:spacing w:after="20" w:before="20"/>
              <w:jc w:val="left"/>
            </w:pPr>
            <w:r>
              <w:rPr>
                <w:rFonts w:ascii="Times New Roman" w:hAnsi="Times New Roman"/>
                <w:sz w:val="15"/>
              </w:rPr>
              <w:t>Unverified patches cause syntax errors</w:t>
            </w:r>
          </w:p>
        </w:tc>
      </w:tr>
      <w:tr>
        <w:tc>
          <w:tcPr>
            <w:tcW w:type="dxa" w:w="1680"/>
          </w:tcPr>
          <w:p>
            <w:pPr>
              <w:spacing w:after="20" w:before="20"/>
              <w:jc w:val="left"/>
            </w:pPr>
            <w:r>
              <w:rPr>
                <w:rFonts w:ascii="Times New Roman" w:hAnsi="Times New Roman"/>
                <w:b/>
                <w:sz w:val="15"/>
              </w:rPr>
              <w:t>Full AgentShield AI System</w:t>
            </w:r>
          </w:p>
        </w:tc>
        <w:tc>
          <w:tcPr>
            <w:tcW w:type="dxa" w:w="1680"/>
          </w:tcPr>
          <w:p>
            <w:pPr>
              <w:spacing w:after="20" w:before="20"/>
              <w:jc w:val="center"/>
            </w:pPr>
            <w:r>
              <w:rPr>
                <w:rFonts w:ascii="Times New Roman" w:hAnsi="Times New Roman"/>
                <w:b/>
                <w:sz w:val="15"/>
              </w:rPr>
              <w:t>97.6%</w:t>
            </w:r>
          </w:p>
        </w:tc>
        <w:tc>
          <w:tcPr>
            <w:tcW w:type="dxa" w:w="1680"/>
          </w:tcPr>
          <w:p>
            <w:pPr>
              <w:spacing w:after="20" w:before="20"/>
              <w:jc w:val="center"/>
            </w:pPr>
            <w:r>
              <w:rPr>
                <w:rFonts w:ascii="Times New Roman" w:hAnsi="Times New Roman"/>
                <w:b/>
                <w:sz w:val="15"/>
              </w:rPr>
              <w:t>95.1%</w:t>
            </w:r>
          </w:p>
        </w:tc>
        <w:tc>
          <w:tcPr>
            <w:tcW w:type="dxa" w:w="1680"/>
          </w:tcPr>
          <w:p>
            <w:pPr>
              <w:spacing w:after="20" w:before="20"/>
              <w:jc w:val="center"/>
            </w:pPr>
            <w:r>
              <w:rPr>
                <w:rFonts w:ascii="Times New Roman" w:hAnsi="Times New Roman"/>
                <w:b/>
                <w:sz w:val="15"/>
              </w:rPr>
              <w:t>2.4%</w:t>
            </w:r>
          </w:p>
        </w:tc>
        <w:tc>
          <w:tcPr>
            <w:tcW w:type="dxa" w:w="1680"/>
          </w:tcPr>
          <w:p>
            <w:pPr>
              <w:spacing w:after="20" w:before="20"/>
              <w:jc w:val="center"/>
            </w:pPr>
            <w:r>
              <w:rPr>
                <w:rFonts w:ascii="Times New Roman" w:hAnsi="Times New Roman"/>
                <w:b/>
                <w:sz w:val="15"/>
              </w:rPr>
              <w:t>94.8%</w:t>
            </w:r>
          </w:p>
        </w:tc>
        <w:tc>
          <w:tcPr>
            <w:tcW w:type="dxa" w:w="1680"/>
          </w:tcPr>
          <w:p>
            <w:pPr>
              <w:spacing w:after="20" w:before="20"/>
              <w:jc w:val="left"/>
            </w:pPr>
            <w:r>
              <w:rPr>
                <w:rFonts w:ascii="Times New Roman" w:hAnsi="Times New Roman"/>
                <w:b/>
                <w:sz w:val="15"/>
              </w:rPr>
              <w:t>Optimal balance across all metrics</w:t>
            </w:r>
          </w:p>
        </w:tc>
      </w:tr>
    </w:tbl>
    <w:p>
      <w:pPr>
        <w:spacing w:after="60" w:line="269" w:lineRule="auto"/>
        <w:jc w:val="both"/>
      </w:pPr>
      <w:r>
        <w:rPr>
          <w:rFonts w:ascii="Times New Roman" w:hAnsi="Times New Roman"/>
          <w:sz w:val="19"/>
        </w:rPr>
        <w:t>TABLE VII: Multi-Cloud Vulnerability Category Detection Breakdown</w:t>
      </w:r>
    </w:p>
    <w:tbl>
      <w:tblPr>
        <w:tblW w:type="auto" w:w="0"/>
        <w:jc w:val="center"/>
        <w:tblLook w:firstColumn="1" w:firstRow="1" w:lastColumn="0" w:lastRow="0" w:noHBand="0" w:noVBand="1" w:val="04A0"/>
        <w:tblBorders>
          <w:top w:val="single" w:sz="6" w:space="0" w:color="002060"/>
          <w:bottom w:val="single" w:sz="6" w:space="0" w:color="002060"/>
          <w:insideH w:val="single" w:sz="4" w:space="0" w:color="E0E0E0"/>
          <w:insideV w:val="none"/>
          <w:left w:val="none"/>
          <w:right w:val="none"/>
        </w:tblBorders>
      </w:tblPr>
      <w:tblGrid>
        <w:gridCol w:w="1680"/>
        <w:gridCol w:w="1680"/>
        <w:gridCol w:w="1680"/>
        <w:gridCol w:w="1680"/>
        <w:gridCol w:w="1680"/>
        <w:gridCol w:w="1680"/>
      </w:tblGrid>
      <w:tr>
        <w:tc>
          <w:tcPr>
            <w:tcW w:type="dxa" w:w="1680"/>
            <w:shd w:fill="002060"/>
          </w:tcPr>
          <w:p>
            <w:pPr>
              <w:jc w:val="center"/>
            </w:pPr>
            <w:r>
              <w:rPr>
                <w:rFonts w:ascii="Times New Roman" w:hAnsi="Times New Roman"/>
                <w:b/>
                <w:color w:val="FFFFFF"/>
                <w:sz w:val="16"/>
              </w:rPr>
              <w:t>Vulnerability Category</w:t>
            </w:r>
          </w:p>
        </w:tc>
        <w:tc>
          <w:tcPr>
            <w:tcW w:type="dxa" w:w="1680"/>
            <w:shd w:fill="002060"/>
          </w:tcPr>
          <w:p>
            <w:pPr>
              <w:jc w:val="center"/>
            </w:pPr>
            <w:r>
              <w:rPr>
                <w:rFonts w:ascii="Times New Roman" w:hAnsi="Times New Roman"/>
                <w:b/>
                <w:color w:val="FFFFFF"/>
                <w:sz w:val="16"/>
              </w:rPr>
              <w:t>AWS Templates</w:t>
            </w:r>
          </w:p>
        </w:tc>
        <w:tc>
          <w:tcPr>
            <w:tcW w:type="dxa" w:w="1680"/>
            <w:shd w:fill="002060"/>
          </w:tcPr>
          <w:p>
            <w:pPr>
              <w:jc w:val="center"/>
            </w:pPr>
            <w:r>
              <w:rPr>
                <w:rFonts w:ascii="Times New Roman" w:hAnsi="Times New Roman"/>
                <w:b/>
                <w:color w:val="FFFFFF"/>
                <w:sz w:val="16"/>
              </w:rPr>
              <w:t>Azure Templates</w:t>
            </w:r>
          </w:p>
        </w:tc>
        <w:tc>
          <w:tcPr>
            <w:tcW w:type="dxa" w:w="1680"/>
            <w:shd w:fill="002060"/>
          </w:tcPr>
          <w:p>
            <w:pPr>
              <w:jc w:val="center"/>
            </w:pPr>
            <w:r>
              <w:rPr>
                <w:rFonts w:ascii="Times New Roman" w:hAnsi="Times New Roman"/>
                <w:b/>
                <w:color w:val="FFFFFF"/>
                <w:sz w:val="16"/>
              </w:rPr>
              <w:t>GCP Templates</w:t>
            </w:r>
          </w:p>
        </w:tc>
        <w:tc>
          <w:tcPr>
            <w:tcW w:type="dxa" w:w="1680"/>
            <w:shd w:fill="002060"/>
          </w:tcPr>
          <w:p>
            <w:pPr>
              <w:jc w:val="center"/>
            </w:pPr>
            <w:r>
              <w:rPr>
                <w:rFonts w:ascii="Times New Roman" w:hAnsi="Times New Roman"/>
                <w:b/>
                <w:color w:val="FFFFFF"/>
                <w:sz w:val="16"/>
              </w:rPr>
              <w:t>K8s / Helm</w:t>
            </w:r>
          </w:p>
        </w:tc>
        <w:tc>
          <w:tcPr>
            <w:tcW w:type="dxa" w:w="1680"/>
            <w:shd w:fill="002060"/>
          </w:tcPr>
          <w:p>
            <w:pPr>
              <w:jc w:val="center"/>
            </w:pPr>
            <w:r>
              <w:rPr>
                <w:rFonts w:ascii="Times New Roman" w:hAnsi="Times New Roman"/>
                <w:b/>
                <w:color w:val="FFFFFF"/>
                <w:sz w:val="16"/>
              </w:rPr>
              <w:t>AgentShield Precision</w:t>
            </w:r>
          </w:p>
        </w:tc>
      </w:tr>
      <w:tr>
        <w:tc>
          <w:tcPr>
            <w:tcW w:type="dxa" w:w="1680"/>
          </w:tcPr>
          <w:p>
            <w:pPr>
              <w:spacing w:after="20" w:before="20"/>
              <w:jc w:val="left"/>
            </w:pPr>
            <w:r>
              <w:rPr>
                <w:rFonts w:ascii="Times New Roman" w:hAnsi="Times New Roman"/>
                <w:sz w:val="15"/>
              </w:rPr>
              <w:t>IAM Wildcard Permissions</w:t>
            </w:r>
          </w:p>
        </w:tc>
        <w:tc>
          <w:tcPr>
            <w:tcW w:type="dxa" w:w="1680"/>
          </w:tcPr>
          <w:p>
            <w:pPr>
              <w:spacing w:after="20" w:before="20"/>
              <w:jc w:val="center"/>
            </w:pPr>
            <w:r>
              <w:rPr>
                <w:rFonts w:ascii="Times New Roman" w:hAnsi="Times New Roman"/>
                <w:sz w:val="15"/>
              </w:rPr>
              <w:t>18 detected</w:t>
            </w:r>
          </w:p>
        </w:tc>
        <w:tc>
          <w:tcPr>
            <w:tcW w:type="dxa" w:w="1680"/>
          </w:tcPr>
          <w:p>
            <w:pPr>
              <w:spacing w:after="20" w:before="20"/>
              <w:jc w:val="center"/>
            </w:pPr>
            <w:r>
              <w:rPr>
                <w:rFonts w:ascii="Times New Roman" w:hAnsi="Times New Roman"/>
                <w:sz w:val="15"/>
              </w:rPr>
              <w:t>12 detected</w:t>
            </w:r>
          </w:p>
        </w:tc>
        <w:tc>
          <w:tcPr>
            <w:tcW w:type="dxa" w:w="1680"/>
          </w:tcPr>
          <w:p>
            <w:pPr>
              <w:spacing w:after="20" w:before="20"/>
              <w:jc w:val="center"/>
            </w:pPr>
            <w:r>
              <w:rPr>
                <w:rFonts w:ascii="Times New Roman" w:hAnsi="Times New Roman"/>
                <w:sz w:val="15"/>
              </w:rPr>
              <w:t>8 detected</w:t>
            </w:r>
          </w:p>
        </w:tc>
        <w:tc>
          <w:tcPr>
            <w:tcW w:type="dxa" w:w="1680"/>
          </w:tcPr>
          <w:p>
            <w:pPr>
              <w:spacing w:after="20" w:before="20"/>
              <w:jc w:val="center"/>
            </w:pPr>
            <w:r>
              <w:rPr>
                <w:rFonts w:ascii="Times New Roman" w:hAnsi="Times New Roman"/>
                <w:sz w:val="15"/>
              </w:rPr>
              <w:t>N/A</w:t>
            </w:r>
          </w:p>
        </w:tc>
        <w:tc>
          <w:tcPr>
            <w:tcW w:type="dxa" w:w="1680"/>
          </w:tcPr>
          <w:p>
            <w:pPr>
              <w:spacing w:after="20" w:before="20"/>
              <w:jc w:val="center"/>
            </w:pPr>
            <w:r>
              <w:rPr>
                <w:rFonts w:ascii="Times New Roman" w:hAnsi="Times New Roman"/>
                <w:sz w:val="15"/>
              </w:rPr>
              <w:t>98.2%</w:t>
            </w:r>
          </w:p>
        </w:tc>
      </w:tr>
      <w:tr>
        <w:tc>
          <w:tcPr>
            <w:tcW w:type="dxa" w:w="1680"/>
            <w:shd w:fill="F2F5F9"/>
          </w:tcPr>
          <w:p>
            <w:pPr>
              <w:spacing w:after="20" w:before="20"/>
              <w:jc w:val="left"/>
            </w:pPr>
            <w:r>
              <w:rPr>
                <w:rFonts w:ascii="Times New Roman" w:hAnsi="Times New Roman"/>
                <w:sz w:val="15"/>
              </w:rPr>
              <w:t>Unencrypted Storage Volumes</w:t>
            </w:r>
          </w:p>
        </w:tc>
        <w:tc>
          <w:tcPr>
            <w:tcW w:type="dxa" w:w="1680"/>
            <w:shd w:fill="F2F5F9"/>
          </w:tcPr>
          <w:p>
            <w:pPr>
              <w:spacing w:after="20" w:before="20"/>
              <w:jc w:val="center"/>
            </w:pPr>
            <w:r>
              <w:rPr>
                <w:rFonts w:ascii="Times New Roman" w:hAnsi="Times New Roman"/>
                <w:sz w:val="15"/>
              </w:rPr>
              <w:t>22 detected</w:t>
            </w:r>
          </w:p>
        </w:tc>
        <w:tc>
          <w:tcPr>
            <w:tcW w:type="dxa" w:w="1680"/>
            <w:shd w:fill="F2F5F9"/>
          </w:tcPr>
          <w:p>
            <w:pPr>
              <w:spacing w:after="20" w:before="20"/>
              <w:jc w:val="center"/>
            </w:pPr>
            <w:r>
              <w:rPr>
                <w:rFonts w:ascii="Times New Roman" w:hAnsi="Times New Roman"/>
                <w:sz w:val="15"/>
              </w:rPr>
              <w:t>15 detected</w:t>
            </w:r>
          </w:p>
        </w:tc>
        <w:tc>
          <w:tcPr>
            <w:tcW w:type="dxa" w:w="1680"/>
            <w:shd w:fill="F2F5F9"/>
          </w:tcPr>
          <w:p>
            <w:pPr>
              <w:spacing w:after="20" w:before="20"/>
              <w:jc w:val="center"/>
            </w:pPr>
            <w:r>
              <w:rPr>
                <w:rFonts w:ascii="Times New Roman" w:hAnsi="Times New Roman"/>
                <w:sz w:val="15"/>
              </w:rPr>
              <w:t>10 detected</w:t>
            </w:r>
          </w:p>
        </w:tc>
        <w:tc>
          <w:tcPr>
            <w:tcW w:type="dxa" w:w="1680"/>
            <w:shd w:fill="F2F5F9"/>
          </w:tcPr>
          <w:p>
            <w:pPr>
              <w:spacing w:after="20" w:before="20"/>
              <w:jc w:val="center"/>
            </w:pPr>
            <w:r>
              <w:rPr>
                <w:rFonts w:ascii="Times New Roman" w:hAnsi="Times New Roman"/>
                <w:sz w:val="15"/>
              </w:rPr>
              <w:t>5 PVCs</w:t>
            </w:r>
          </w:p>
        </w:tc>
        <w:tc>
          <w:tcPr>
            <w:tcW w:type="dxa" w:w="1680"/>
            <w:shd w:fill="F2F5F9"/>
          </w:tcPr>
          <w:p>
            <w:pPr>
              <w:spacing w:after="20" w:before="20"/>
              <w:jc w:val="center"/>
            </w:pPr>
            <w:r>
              <w:rPr>
                <w:rFonts w:ascii="Times New Roman" w:hAnsi="Times New Roman"/>
                <w:sz w:val="15"/>
              </w:rPr>
              <w:t>97.5%</w:t>
            </w:r>
          </w:p>
        </w:tc>
      </w:tr>
      <w:tr>
        <w:tc>
          <w:tcPr>
            <w:tcW w:type="dxa" w:w="1680"/>
          </w:tcPr>
          <w:p>
            <w:pPr>
              <w:spacing w:after="20" w:before="20"/>
              <w:jc w:val="left"/>
            </w:pPr>
            <w:r>
              <w:rPr>
                <w:rFonts w:ascii="Times New Roman" w:hAnsi="Times New Roman"/>
                <w:sz w:val="15"/>
              </w:rPr>
              <w:t>Open Ingress Security Groups</w:t>
            </w:r>
          </w:p>
        </w:tc>
        <w:tc>
          <w:tcPr>
            <w:tcW w:type="dxa" w:w="1680"/>
          </w:tcPr>
          <w:p>
            <w:pPr>
              <w:spacing w:after="20" w:before="20"/>
              <w:jc w:val="center"/>
            </w:pPr>
            <w:r>
              <w:rPr>
                <w:rFonts w:ascii="Times New Roman" w:hAnsi="Times New Roman"/>
                <w:sz w:val="15"/>
              </w:rPr>
              <w:t>25 detected</w:t>
            </w:r>
          </w:p>
        </w:tc>
        <w:tc>
          <w:tcPr>
            <w:tcW w:type="dxa" w:w="1680"/>
          </w:tcPr>
          <w:p>
            <w:pPr>
              <w:spacing w:after="20" w:before="20"/>
              <w:jc w:val="center"/>
            </w:pPr>
            <w:r>
              <w:rPr>
                <w:rFonts w:ascii="Times New Roman" w:hAnsi="Times New Roman"/>
                <w:sz w:val="15"/>
              </w:rPr>
              <w:t>18 detected</w:t>
            </w:r>
          </w:p>
        </w:tc>
        <w:tc>
          <w:tcPr>
            <w:tcW w:type="dxa" w:w="1680"/>
          </w:tcPr>
          <w:p>
            <w:pPr>
              <w:spacing w:after="20" w:before="20"/>
              <w:jc w:val="center"/>
            </w:pPr>
            <w:r>
              <w:rPr>
                <w:rFonts w:ascii="Times New Roman" w:hAnsi="Times New Roman"/>
                <w:sz w:val="15"/>
              </w:rPr>
              <w:t>14 detected</w:t>
            </w:r>
          </w:p>
        </w:tc>
        <w:tc>
          <w:tcPr>
            <w:tcW w:type="dxa" w:w="1680"/>
          </w:tcPr>
          <w:p>
            <w:pPr>
              <w:spacing w:after="20" w:before="20"/>
              <w:jc w:val="center"/>
            </w:pPr>
            <w:r>
              <w:rPr>
                <w:rFonts w:ascii="Times New Roman" w:hAnsi="Times New Roman"/>
                <w:sz w:val="15"/>
              </w:rPr>
              <w:t>8 Ingress</w:t>
            </w:r>
          </w:p>
        </w:tc>
        <w:tc>
          <w:tcPr>
            <w:tcW w:type="dxa" w:w="1680"/>
          </w:tcPr>
          <w:p>
            <w:pPr>
              <w:spacing w:after="20" w:before="20"/>
              <w:jc w:val="center"/>
            </w:pPr>
            <w:r>
              <w:rPr>
                <w:rFonts w:ascii="Times New Roman" w:hAnsi="Times New Roman"/>
                <w:sz w:val="15"/>
              </w:rPr>
              <w:t>98.0%</w:t>
            </w:r>
          </w:p>
        </w:tc>
      </w:tr>
      <w:tr>
        <w:tc>
          <w:tcPr>
            <w:tcW w:type="dxa" w:w="1680"/>
            <w:shd w:fill="F2F5F9"/>
          </w:tcPr>
          <w:p>
            <w:pPr>
              <w:spacing w:after="20" w:before="20"/>
              <w:jc w:val="left"/>
            </w:pPr>
            <w:r>
              <w:rPr>
                <w:rFonts w:ascii="Times New Roman" w:hAnsi="Times New Roman"/>
                <w:sz w:val="15"/>
              </w:rPr>
              <w:t>Plaintext Embedded Secrets</w:t>
            </w:r>
          </w:p>
        </w:tc>
        <w:tc>
          <w:tcPr>
            <w:tcW w:type="dxa" w:w="1680"/>
            <w:shd w:fill="F2F5F9"/>
          </w:tcPr>
          <w:p>
            <w:pPr>
              <w:spacing w:after="20" w:before="20"/>
              <w:jc w:val="center"/>
            </w:pPr>
            <w:r>
              <w:rPr>
                <w:rFonts w:ascii="Times New Roman" w:hAnsi="Times New Roman"/>
                <w:sz w:val="15"/>
              </w:rPr>
              <w:t>10 detected</w:t>
            </w:r>
          </w:p>
        </w:tc>
        <w:tc>
          <w:tcPr>
            <w:tcW w:type="dxa" w:w="1680"/>
            <w:shd w:fill="F2F5F9"/>
          </w:tcPr>
          <w:p>
            <w:pPr>
              <w:spacing w:after="20" w:before="20"/>
              <w:jc w:val="center"/>
            </w:pPr>
            <w:r>
              <w:rPr>
                <w:rFonts w:ascii="Times New Roman" w:hAnsi="Times New Roman"/>
                <w:sz w:val="15"/>
              </w:rPr>
              <w:t>6 detected</w:t>
            </w:r>
          </w:p>
        </w:tc>
        <w:tc>
          <w:tcPr>
            <w:tcW w:type="dxa" w:w="1680"/>
            <w:shd w:fill="F2F5F9"/>
          </w:tcPr>
          <w:p>
            <w:pPr>
              <w:spacing w:after="20" w:before="20"/>
              <w:jc w:val="center"/>
            </w:pPr>
            <w:r>
              <w:rPr>
                <w:rFonts w:ascii="Times New Roman" w:hAnsi="Times New Roman"/>
                <w:sz w:val="15"/>
              </w:rPr>
              <w:t>4 detected</w:t>
            </w:r>
          </w:p>
        </w:tc>
        <w:tc>
          <w:tcPr>
            <w:tcW w:type="dxa" w:w="1680"/>
            <w:shd w:fill="F2F5F9"/>
          </w:tcPr>
          <w:p>
            <w:pPr>
              <w:spacing w:after="20" w:before="20"/>
              <w:jc w:val="center"/>
            </w:pPr>
            <w:r>
              <w:rPr>
                <w:rFonts w:ascii="Times New Roman" w:hAnsi="Times New Roman"/>
                <w:sz w:val="15"/>
              </w:rPr>
              <w:t>12 Secrets</w:t>
            </w:r>
          </w:p>
        </w:tc>
        <w:tc>
          <w:tcPr>
            <w:tcW w:type="dxa" w:w="1680"/>
            <w:shd w:fill="F2F5F9"/>
          </w:tcPr>
          <w:p>
            <w:pPr>
              <w:spacing w:after="20" w:before="20"/>
              <w:jc w:val="center"/>
            </w:pPr>
            <w:r>
              <w:rPr>
                <w:rFonts w:ascii="Times New Roman" w:hAnsi="Times New Roman"/>
                <w:sz w:val="15"/>
              </w:rPr>
              <w:t>100.0%</w:t>
            </w:r>
          </w:p>
        </w:tc>
      </w:tr>
      <w:tr>
        <w:tc>
          <w:tcPr>
            <w:tcW w:type="dxa" w:w="1680"/>
          </w:tcPr>
          <w:p>
            <w:pPr>
              <w:spacing w:after="20" w:before="20"/>
              <w:jc w:val="left"/>
            </w:pPr>
            <w:r>
              <w:rPr>
                <w:rFonts w:ascii="Times New Roman" w:hAnsi="Times New Roman"/>
                <w:sz w:val="15"/>
              </w:rPr>
              <w:t>Public DB Endpoint Access</w:t>
            </w:r>
          </w:p>
        </w:tc>
        <w:tc>
          <w:tcPr>
            <w:tcW w:type="dxa" w:w="1680"/>
          </w:tcPr>
          <w:p>
            <w:pPr>
              <w:spacing w:after="20" w:before="20"/>
              <w:jc w:val="center"/>
            </w:pPr>
            <w:r>
              <w:rPr>
                <w:rFonts w:ascii="Times New Roman" w:hAnsi="Times New Roman"/>
                <w:sz w:val="15"/>
              </w:rPr>
              <w:t>12 detected</w:t>
            </w:r>
          </w:p>
        </w:tc>
        <w:tc>
          <w:tcPr>
            <w:tcW w:type="dxa" w:w="1680"/>
          </w:tcPr>
          <w:p>
            <w:pPr>
              <w:spacing w:after="20" w:before="20"/>
              <w:jc w:val="center"/>
            </w:pPr>
            <w:r>
              <w:rPr>
                <w:rFonts w:ascii="Times New Roman" w:hAnsi="Times New Roman"/>
                <w:sz w:val="15"/>
              </w:rPr>
              <w:t>8 detected</w:t>
            </w:r>
          </w:p>
        </w:tc>
        <w:tc>
          <w:tcPr>
            <w:tcW w:type="dxa" w:w="1680"/>
          </w:tcPr>
          <w:p>
            <w:pPr>
              <w:spacing w:after="20" w:before="20"/>
              <w:jc w:val="center"/>
            </w:pPr>
            <w:r>
              <w:rPr>
                <w:rFonts w:ascii="Times New Roman" w:hAnsi="Times New Roman"/>
                <w:sz w:val="15"/>
              </w:rPr>
              <w:t>5 detected</w:t>
            </w:r>
          </w:p>
        </w:tc>
        <w:tc>
          <w:tcPr>
            <w:tcW w:type="dxa" w:w="1680"/>
          </w:tcPr>
          <w:p>
            <w:pPr>
              <w:spacing w:after="20" w:before="20"/>
              <w:jc w:val="center"/>
            </w:pPr>
            <w:r>
              <w:rPr>
                <w:rFonts w:ascii="Times New Roman" w:hAnsi="Times New Roman"/>
                <w:sz w:val="15"/>
              </w:rPr>
              <w:t>N/A</w:t>
            </w:r>
          </w:p>
        </w:tc>
        <w:tc>
          <w:tcPr>
            <w:tcW w:type="dxa" w:w="1680"/>
          </w:tcPr>
          <w:p>
            <w:pPr>
              <w:spacing w:after="20" w:before="20"/>
              <w:jc w:val="center"/>
            </w:pPr>
            <w:r>
              <w:rPr>
                <w:rFonts w:ascii="Times New Roman" w:hAnsi="Times New Roman"/>
                <w:sz w:val="15"/>
              </w:rPr>
              <w:t>96.8%</w:t>
            </w:r>
          </w:p>
        </w:tc>
      </w:tr>
      <w:tr>
        <w:tc>
          <w:tcPr>
            <w:tcW w:type="dxa" w:w="1680"/>
            <w:shd w:fill="F2F5F9"/>
          </w:tcPr>
          <w:p>
            <w:pPr>
              <w:spacing w:after="20" w:before="20"/>
              <w:jc w:val="left"/>
            </w:pPr>
            <w:r>
              <w:rPr>
                <w:rFonts w:ascii="Times New Roman" w:hAnsi="Times New Roman"/>
                <w:sz w:val="15"/>
              </w:rPr>
              <w:t>Privileged Pod Security Context</w:t>
            </w:r>
          </w:p>
        </w:tc>
        <w:tc>
          <w:tcPr>
            <w:tcW w:type="dxa" w:w="1680"/>
            <w:shd w:fill="F2F5F9"/>
          </w:tcPr>
          <w:p>
            <w:pPr>
              <w:spacing w:after="20" w:before="20"/>
              <w:jc w:val="center"/>
            </w:pPr>
            <w:r>
              <w:rPr>
                <w:rFonts w:ascii="Times New Roman" w:hAnsi="Times New Roman"/>
                <w:sz w:val="15"/>
              </w:rPr>
              <w:t>N/A</w:t>
            </w:r>
          </w:p>
        </w:tc>
        <w:tc>
          <w:tcPr>
            <w:tcW w:type="dxa" w:w="1680"/>
            <w:shd w:fill="F2F5F9"/>
          </w:tcPr>
          <w:p>
            <w:pPr>
              <w:spacing w:after="20" w:before="20"/>
              <w:jc w:val="center"/>
            </w:pPr>
            <w:r>
              <w:rPr>
                <w:rFonts w:ascii="Times New Roman" w:hAnsi="Times New Roman"/>
                <w:sz w:val="15"/>
              </w:rPr>
              <w:t>N/A</w:t>
            </w:r>
          </w:p>
        </w:tc>
        <w:tc>
          <w:tcPr>
            <w:tcW w:type="dxa" w:w="1680"/>
            <w:shd w:fill="F2F5F9"/>
          </w:tcPr>
          <w:p>
            <w:pPr>
              <w:spacing w:after="20" w:before="20"/>
              <w:jc w:val="center"/>
            </w:pPr>
            <w:r>
              <w:rPr>
                <w:rFonts w:ascii="Times New Roman" w:hAnsi="Times New Roman"/>
                <w:sz w:val="15"/>
              </w:rPr>
              <w:t>N/A</w:t>
            </w:r>
          </w:p>
        </w:tc>
        <w:tc>
          <w:tcPr>
            <w:tcW w:type="dxa" w:w="1680"/>
            <w:shd w:fill="F2F5F9"/>
          </w:tcPr>
          <w:p>
            <w:pPr>
              <w:spacing w:after="20" w:before="20"/>
              <w:jc w:val="center"/>
            </w:pPr>
            <w:r>
              <w:rPr>
                <w:rFonts w:ascii="Times New Roman" w:hAnsi="Times New Roman"/>
                <w:sz w:val="15"/>
              </w:rPr>
              <w:t>18 Pods</w:t>
            </w:r>
          </w:p>
        </w:tc>
        <w:tc>
          <w:tcPr>
            <w:tcW w:type="dxa" w:w="1680"/>
            <w:shd w:fill="F2F5F9"/>
          </w:tcPr>
          <w:p>
            <w:pPr>
              <w:spacing w:after="20" w:before="20"/>
              <w:jc w:val="center"/>
            </w:pPr>
            <w:r>
              <w:rPr>
                <w:rFonts w:ascii="Times New Roman" w:hAnsi="Times New Roman"/>
                <w:sz w:val="15"/>
              </w:rPr>
              <w:t>96.4%</w:t>
            </w:r>
          </w:p>
        </w:tc>
      </w:tr>
    </w:tbl>
    <w:p>
      <w:pPr>
        <w:spacing w:after="60" w:line="269" w:lineRule="auto"/>
        <w:jc w:val="both"/>
      </w:pPr>
      <w:r>
        <w:rPr>
          <w:rFonts w:ascii="Times New Roman" w:hAnsi="Times New Roman"/>
          <w:sz w:val="19"/>
        </w:rPr>
        <w:t>TABLE VIII: Execution Latency and Computational Overhead Breakdown</w:t>
      </w:r>
    </w:p>
    <w:tbl>
      <w:tblPr>
        <w:tblW w:type="auto" w:w="0"/>
        <w:jc w:val="center"/>
        <w:tblLook w:firstColumn="1" w:firstRow="1" w:lastColumn="0" w:lastRow="0" w:noHBand="0" w:noVBand="1" w:val="04A0"/>
        <w:tblBorders>
          <w:top w:val="single" w:sz="6" w:space="0" w:color="002060"/>
          <w:bottom w:val="single" w:sz="6" w:space="0" w:color="002060"/>
          <w:insideH w:val="single" w:sz="4" w:space="0" w:color="E0E0E0"/>
          <w:insideV w:val="none"/>
          <w:left w:val="none"/>
          <w:right w:val="none"/>
        </w:tblBorders>
      </w:tblPr>
      <w:tblGrid>
        <w:gridCol w:w="2016"/>
        <w:gridCol w:w="2016"/>
        <w:gridCol w:w="2016"/>
        <w:gridCol w:w="2016"/>
        <w:gridCol w:w="2016"/>
      </w:tblGrid>
      <w:tr>
        <w:tc>
          <w:tcPr>
            <w:tcW w:type="dxa" w:w="2016"/>
            <w:shd w:fill="002060"/>
          </w:tcPr>
          <w:p>
            <w:pPr>
              <w:jc w:val="center"/>
            </w:pPr>
            <w:r>
              <w:rPr>
                <w:rFonts w:ascii="Times New Roman" w:hAnsi="Times New Roman"/>
                <w:b/>
                <w:color w:val="FFFFFF"/>
                <w:sz w:val="16"/>
              </w:rPr>
              <w:t>Pipeline Agent Step</w:t>
            </w:r>
          </w:p>
        </w:tc>
        <w:tc>
          <w:tcPr>
            <w:tcW w:type="dxa" w:w="2016"/>
            <w:shd w:fill="002060"/>
          </w:tcPr>
          <w:p>
            <w:pPr>
              <w:jc w:val="center"/>
            </w:pPr>
            <w:r>
              <w:rPr>
                <w:rFonts w:ascii="Times New Roman" w:hAnsi="Times New Roman"/>
                <w:b/>
                <w:color w:val="FFFFFF"/>
                <w:sz w:val="16"/>
              </w:rPr>
              <w:t>Average Latency (s)</w:t>
            </w:r>
          </w:p>
        </w:tc>
        <w:tc>
          <w:tcPr>
            <w:tcW w:type="dxa" w:w="2016"/>
            <w:shd w:fill="002060"/>
          </w:tcPr>
          <w:p>
            <w:pPr>
              <w:jc w:val="center"/>
            </w:pPr>
            <w:r>
              <w:rPr>
                <w:rFonts w:ascii="Times New Roman" w:hAnsi="Times New Roman"/>
                <w:b/>
                <w:color w:val="FFFFFF"/>
                <w:sz w:val="16"/>
              </w:rPr>
              <w:t>Token Consumption</w:t>
            </w:r>
          </w:p>
        </w:tc>
        <w:tc>
          <w:tcPr>
            <w:tcW w:type="dxa" w:w="2016"/>
            <w:shd w:fill="002060"/>
          </w:tcPr>
          <w:p>
            <w:pPr>
              <w:jc w:val="center"/>
            </w:pPr>
            <w:r>
              <w:rPr>
                <w:rFonts w:ascii="Times New Roman" w:hAnsi="Times New Roman"/>
                <w:b/>
                <w:color w:val="FFFFFF"/>
                <w:sz w:val="16"/>
              </w:rPr>
              <w:t>Primary Bottleneck</w:t>
            </w:r>
          </w:p>
        </w:tc>
        <w:tc>
          <w:tcPr>
            <w:tcW w:type="dxa" w:w="2016"/>
            <w:shd w:fill="002060"/>
          </w:tcPr>
          <w:p>
            <w:pPr>
              <w:jc w:val="center"/>
            </w:pPr>
            <w:r>
              <w:rPr>
                <w:rFonts w:ascii="Times New Roman" w:hAnsi="Times New Roman"/>
                <w:b/>
                <w:color w:val="FFFFFF"/>
                <w:sz w:val="16"/>
              </w:rPr>
              <w:t>Optimization Applied</w:t>
            </w:r>
          </w:p>
        </w:tc>
      </w:tr>
      <w:tr>
        <w:tc>
          <w:tcPr>
            <w:tcW w:type="dxa" w:w="2016"/>
          </w:tcPr>
          <w:p>
            <w:pPr>
              <w:spacing w:after="20" w:before="20"/>
              <w:jc w:val="left"/>
            </w:pPr>
            <w:r>
              <w:rPr>
                <w:rFonts w:ascii="Times New Roman" w:hAnsi="Times New Roman"/>
                <w:sz w:val="15"/>
              </w:rPr>
              <w:t>1. Format Route &amp; AST Parsing</w:t>
            </w:r>
          </w:p>
        </w:tc>
        <w:tc>
          <w:tcPr>
            <w:tcW w:type="dxa" w:w="2016"/>
          </w:tcPr>
          <w:p>
            <w:pPr>
              <w:spacing w:after="20" w:before="20"/>
              <w:jc w:val="center"/>
            </w:pPr>
            <w:r>
              <w:rPr>
                <w:rFonts w:ascii="Times New Roman" w:hAnsi="Times New Roman"/>
                <w:sz w:val="15"/>
              </w:rPr>
              <w:t>0.45s</w:t>
            </w:r>
          </w:p>
        </w:tc>
        <w:tc>
          <w:tcPr>
            <w:tcW w:type="dxa" w:w="2016"/>
          </w:tcPr>
          <w:p>
            <w:pPr>
              <w:spacing w:after="20" w:before="20"/>
              <w:jc w:val="left"/>
            </w:pPr>
            <w:r>
              <w:rPr>
                <w:rFonts w:ascii="Times New Roman" w:hAnsi="Times New Roman"/>
                <w:sz w:val="15"/>
              </w:rPr>
              <w:t>0 tokens</w:t>
            </w:r>
          </w:p>
        </w:tc>
        <w:tc>
          <w:tcPr>
            <w:tcW w:type="dxa" w:w="2016"/>
          </w:tcPr>
          <w:p>
            <w:pPr>
              <w:spacing w:after="20" w:before="20"/>
              <w:jc w:val="left"/>
            </w:pPr>
            <w:r>
              <w:rPr>
                <w:rFonts w:ascii="Times New Roman" w:hAnsi="Times New Roman"/>
                <w:sz w:val="15"/>
              </w:rPr>
              <w:t>Tree-sitter AST Traversal</w:t>
            </w:r>
          </w:p>
        </w:tc>
        <w:tc>
          <w:tcPr>
            <w:tcW w:type="dxa" w:w="2016"/>
          </w:tcPr>
          <w:p>
            <w:pPr>
              <w:spacing w:after="20" w:before="20"/>
              <w:jc w:val="left"/>
            </w:pPr>
            <w:r>
              <w:rPr>
                <w:rFonts w:ascii="Times New Roman" w:hAnsi="Times New Roman"/>
                <w:sz w:val="15"/>
              </w:rPr>
              <w:t>In-memory AST Caching</w:t>
            </w:r>
          </w:p>
        </w:tc>
      </w:tr>
      <w:tr>
        <w:tc>
          <w:tcPr>
            <w:tcW w:type="dxa" w:w="2016"/>
            <w:shd w:fill="F2F5F9"/>
          </w:tcPr>
          <w:p>
            <w:pPr>
              <w:spacing w:after="20" w:before="20"/>
              <w:jc w:val="left"/>
            </w:pPr>
            <w:r>
              <w:rPr>
                <w:rFonts w:ascii="Times New Roman" w:hAnsi="Times New Roman"/>
                <w:sz w:val="15"/>
              </w:rPr>
              <w:t>2. Secrets Scanner (Gitleaks)</w:t>
            </w:r>
          </w:p>
        </w:tc>
        <w:tc>
          <w:tcPr>
            <w:tcW w:type="dxa" w:w="2016"/>
            <w:shd w:fill="F2F5F9"/>
          </w:tcPr>
          <w:p>
            <w:pPr>
              <w:spacing w:after="20" w:before="20"/>
              <w:jc w:val="center"/>
            </w:pPr>
            <w:r>
              <w:rPr>
                <w:rFonts w:ascii="Times New Roman" w:hAnsi="Times New Roman"/>
                <w:sz w:val="15"/>
              </w:rPr>
              <w:t>0.32s</w:t>
            </w:r>
          </w:p>
        </w:tc>
        <w:tc>
          <w:tcPr>
            <w:tcW w:type="dxa" w:w="2016"/>
            <w:shd w:fill="F2F5F9"/>
          </w:tcPr>
          <w:p>
            <w:pPr>
              <w:spacing w:after="20" w:before="20"/>
              <w:jc w:val="left"/>
            </w:pPr>
            <w:r>
              <w:rPr>
                <w:rFonts w:ascii="Times New Roman" w:hAnsi="Times New Roman"/>
                <w:sz w:val="15"/>
              </w:rPr>
              <w:t>0 tokens</w:t>
            </w:r>
          </w:p>
        </w:tc>
        <w:tc>
          <w:tcPr>
            <w:tcW w:type="dxa" w:w="2016"/>
            <w:shd w:fill="F2F5F9"/>
          </w:tcPr>
          <w:p>
            <w:pPr>
              <w:spacing w:after="20" w:before="20"/>
              <w:jc w:val="left"/>
            </w:pPr>
            <w:r>
              <w:rPr>
                <w:rFonts w:ascii="Times New Roman" w:hAnsi="Times New Roman"/>
                <w:sz w:val="15"/>
              </w:rPr>
              <w:t>Pattern Matching Engine</w:t>
            </w:r>
          </w:p>
        </w:tc>
        <w:tc>
          <w:tcPr>
            <w:tcW w:type="dxa" w:w="2016"/>
            <w:shd w:fill="F2F5F9"/>
          </w:tcPr>
          <w:p>
            <w:pPr>
              <w:spacing w:after="20" w:before="20"/>
              <w:jc w:val="left"/>
            </w:pPr>
            <w:r>
              <w:rPr>
                <w:rFonts w:ascii="Times New Roman" w:hAnsi="Times New Roman"/>
                <w:sz w:val="15"/>
              </w:rPr>
              <w:t>Regex Parallelization</w:t>
            </w:r>
          </w:p>
        </w:tc>
      </w:tr>
      <w:tr>
        <w:tc>
          <w:tcPr>
            <w:tcW w:type="dxa" w:w="2016"/>
          </w:tcPr>
          <w:p>
            <w:pPr>
              <w:spacing w:after="20" w:before="20"/>
              <w:jc w:val="left"/>
            </w:pPr>
            <w:r>
              <w:rPr>
                <w:rFonts w:ascii="Times New Roman" w:hAnsi="Times New Roman"/>
                <w:sz w:val="15"/>
              </w:rPr>
              <w:t>3. Dense-Sparse Hybrid RAG</w:t>
            </w:r>
          </w:p>
        </w:tc>
        <w:tc>
          <w:tcPr>
            <w:tcW w:type="dxa" w:w="2016"/>
          </w:tcPr>
          <w:p>
            <w:pPr>
              <w:spacing w:after="20" w:before="20"/>
              <w:jc w:val="center"/>
            </w:pPr>
            <w:r>
              <w:rPr>
                <w:rFonts w:ascii="Times New Roman" w:hAnsi="Times New Roman"/>
                <w:sz w:val="15"/>
              </w:rPr>
              <w:t>1.20s</w:t>
            </w:r>
          </w:p>
        </w:tc>
        <w:tc>
          <w:tcPr>
            <w:tcW w:type="dxa" w:w="2016"/>
          </w:tcPr>
          <w:p>
            <w:pPr>
              <w:spacing w:after="20" w:before="20"/>
              <w:jc w:val="left"/>
            </w:pPr>
            <w:r>
              <w:rPr>
                <w:rFonts w:ascii="Times New Roman" w:hAnsi="Times New Roman"/>
                <w:sz w:val="15"/>
              </w:rPr>
              <w:t>450 tokens</w:t>
            </w:r>
          </w:p>
        </w:tc>
        <w:tc>
          <w:tcPr>
            <w:tcW w:type="dxa" w:w="2016"/>
          </w:tcPr>
          <w:p>
            <w:pPr>
              <w:spacing w:after="20" w:before="20"/>
              <w:jc w:val="left"/>
            </w:pPr>
            <w:r>
              <w:rPr>
                <w:rFonts w:ascii="Times New Roman" w:hAnsi="Times New Roman"/>
                <w:sz w:val="15"/>
              </w:rPr>
              <w:t>Qdrant Vector Query</w:t>
            </w:r>
          </w:p>
        </w:tc>
        <w:tc>
          <w:tcPr>
            <w:tcW w:type="dxa" w:w="2016"/>
          </w:tcPr>
          <w:p>
            <w:pPr>
              <w:spacing w:after="20" w:before="20"/>
              <w:jc w:val="left"/>
            </w:pPr>
            <w:r>
              <w:rPr>
                <w:rFonts w:ascii="Times New Roman" w:hAnsi="Times New Roman"/>
                <w:sz w:val="15"/>
              </w:rPr>
              <w:t>Hybrid BM25 Re-ranking</w:t>
            </w:r>
          </w:p>
        </w:tc>
      </w:tr>
      <w:tr>
        <w:tc>
          <w:tcPr>
            <w:tcW w:type="dxa" w:w="2016"/>
            <w:shd w:fill="F2F5F9"/>
          </w:tcPr>
          <w:p>
            <w:pPr>
              <w:spacing w:after="20" w:before="20"/>
              <w:jc w:val="left"/>
            </w:pPr>
            <w:r>
              <w:rPr>
                <w:rFonts w:ascii="Times New Roman" w:hAnsi="Times New Roman"/>
                <w:sz w:val="15"/>
              </w:rPr>
              <w:t>4. Multi-LLM Ensemble Voting</w:t>
            </w:r>
          </w:p>
        </w:tc>
        <w:tc>
          <w:tcPr>
            <w:tcW w:type="dxa" w:w="2016"/>
            <w:shd w:fill="F2F5F9"/>
          </w:tcPr>
          <w:p>
            <w:pPr>
              <w:spacing w:after="20" w:before="20"/>
              <w:jc w:val="center"/>
            </w:pPr>
            <w:r>
              <w:rPr>
                <w:rFonts w:ascii="Times New Roman" w:hAnsi="Times New Roman"/>
                <w:sz w:val="15"/>
              </w:rPr>
              <w:t>8.60s</w:t>
            </w:r>
          </w:p>
        </w:tc>
        <w:tc>
          <w:tcPr>
            <w:tcW w:type="dxa" w:w="2016"/>
            <w:shd w:fill="F2F5F9"/>
          </w:tcPr>
          <w:p>
            <w:pPr>
              <w:spacing w:after="20" w:before="20"/>
              <w:jc w:val="left"/>
            </w:pPr>
            <w:r>
              <w:rPr>
                <w:rFonts w:ascii="Times New Roman" w:hAnsi="Times New Roman"/>
                <w:sz w:val="15"/>
              </w:rPr>
              <w:t>2,850 tokens</w:t>
            </w:r>
          </w:p>
        </w:tc>
        <w:tc>
          <w:tcPr>
            <w:tcW w:type="dxa" w:w="2016"/>
            <w:shd w:fill="F2F5F9"/>
          </w:tcPr>
          <w:p>
            <w:pPr>
              <w:spacing w:after="20" w:before="20"/>
              <w:jc w:val="left"/>
            </w:pPr>
            <w:r>
              <w:rPr>
                <w:rFonts w:ascii="Times New Roman" w:hAnsi="Times New Roman"/>
                <w:sz w:val="15"/>
              </w:rPr>
              <w:t>Parallel LLM Inference</w:t>
            </w:r>
          </w:p>
        </w:tc>
        <w:tc>
          <w:tcPr>
            <w:tcW w:type="dxa" w:w="2016"/>
            <w:shd w:fill="F2F5F9"/>
          </w:tcPr>
          <w:p>
            <w:pPr>
              <w:spacing w:after="20" w:before="20"/>
              <w:jc w:val="left"/>
            </w:pPr>
            <w:r>
              <w:rPr>
                <w:rFonts w:ascii="Times New Roman" w:hAnsi="Times New Roman"/>
                <w:sz w:val="15"/>
              </w:rPr>
              <w:t>Async Batch API Dispatch</w:t>
            </w:r>
          </w:p>
        </w:tc>
      </w:tr>
      <w:tr>
        <w:tc>
          <w:tcPr>
            <w:tcW w:type="dxa" w:w="2016"/>
          </w:tcPr>
          <w:p>
            <w:pPr>
              <w:spacing w:after="20" w:before="20"/>
              <w:jc w:val="left"/>
            </w:pPr>
            <w:r>
              <w:rPr>
                <w:rFonts w:ascii="Times New Roman" w:hAnsi="Times New Roman"/>
                <w:sz w:val="15"/>
              </w:rPr>
              <w:t>5. Auto-Patch Remediation</w:t>
            </w:r>
          </w:p>
        </w:tc>
        <w:tc>
          <w:tcPr>
            <w:tcW w:type="dxa" w:w="2016"/>
          </w:tcPr>
          <w:p>
            <w:pPr>
              <w:spacing w:after="20" w:before="20"/>
              <w:jc w:val="center"/>
            </w:pPr>
            <w:r>
              <w:rPr>
                <w:rFonts w:ascii="Times New Roman" w:hAnsi="Times New Roman"/>
                <w:sz w:val="15"/>
              </w:rPr>
              <w:t>3.10s</w:t>
            </w:r>
          </w:p>
        </w:tc>
        <w:tc>
          <w:tcPr>
            <w:tcW w:type="dxa" w:w="2016"/>
          </w:tcPr>
          <w:p>
            <w:pPr>
              <w:spacing w:after="20" w:before="20"/>
              <w:jc w:val="left"/>
            </w:pPr>
            <w:r>
              <w:rPr>
                <w:rFonts w:ascii="Times New Roman" w:hAnsi="Times New Roman"/>
                <w:sz w:val="15"/>
              </w:rPr>
              <w:t>1,200 tokens</w:t>
            </w:r>
          </w:p>
        </w:tc>
        <w:tc>
          <w:tcPr>
            <w:tcW w:type="dxa" w:w="2016"/>
          </w:tcPr>
          <w:p>
            <w:pPr>
              <w:spacing w:after="20" w:before="20"/>
              <w:jc w:val="left"/>
            </w:pPr>
            <w:r>
              <w:rPr>
                <w:rFonts w:ascii="Times New Roman" w:hAnsi="Times New Roman"/>
                <w:sz w:val="15"/>
              </w:rPr>
              <w:t>Diff Code Generation</w:t>
            </w:r>
          </w:p>
        </w:tc>
        <w:tc>
          <w:tcPr>
            <w:tcW w:type="dxa" w:w="2016"/>
          </w:tcPr>
          <w:p>
            <w:pPr>
              <w:spacing w:after="20" w:before="20"/>
              <w:jc w:val="left"/>
            </w:pPr>
            <w:r>
              <w:rPr>
                <w:rFonts w:ascii="Times New Roman" w:hAnsi="Times New Roman"/>
                <w:sz w:val="15"/>
              </w:rPr>
              <w:t>Constrained Grammars</w:t>
            </w:r>
          </w:p>
        </w:tc>
      </w:tr>
      <w:tr>
        <w:tc>
          <w:tcPr>
            <w:tcW w:type="dxa" w:w="2016"/>
            <w:shd w:fill="F2F5F9"/>
          </w:tcPr>
          <w:p>
            <w:pPr>
              <w:spacing w:after="20" w:before="20"/>
              <w:jc w:val="left"/>
            </w:pPr>
            <w:r>
              <w:rPr>
                <w:rFonts w:ascii="Times New Roman" w:hAnsi="Times New Roman"/>
                <w:sz w:val="15"/>
              </w:rPr>
              <w:t>6. LocalStack Sandbox Harness</w:t>
            </w:r>
          </w:p>
        </w:tc>
        <w:tc>
          <w:tcPr>
            <w:tcW w:type="dxa" w:w="2016"/>
            <w:shd w:fill="F2F5F9"/>
          </w:tcPr>
          <w:p>
            <w:pPr>
              <w:spacing w:after="20" w:before="20"/>
              <w:jc w:val="center"/>
            </w:pPr>
            <w:r>
              <w:rPr>
                <w:rFonts w:ascii="Times New Roman" w:hAnsi="Times New Roman"/>
                <w:sz w:val="15"/>
              </w:rPr>
              <w:t>4.73s</w:t>
            </w:r>
          </w:p>
        </w:tc>
        <w:tc>
          <w:tcPr>
            <w:tcW w:type="dxa" w:w="2016"/>
            <w:shd w:fill="F2F5F9"/>
          </w:tcPr>
          <w:p>
            <w:pPr>
              <w:spacing w:after="20" w:before="20"/>
              <w:jc w:val="left"/>
            </w:pPr>
            <w:r>
              <w:rPr>
                <w:rFonts w:ascii="Times New Roman" w:hAnsi="Times New Roman"/>
                <w:sz w:val="15"/>
              </w:rPr>
              <w:t>0 tokens</w:t>
            </w:r>
          </w:p>
        </w:tc>
        <w:tc>
          <w:tcPr>
            <w:tcW w:type="dxa" w:w="2016"/>
            <w:shd w:fill="F2F5F9"/>
          </w:tcPr>
          <w:p>
            <w:pPr>
              <w:spacing w:after="20" w:before="20"/>
              <w:jc w:val="left"/>
            </w:pPr>
            <w:r>
              <w:rPr>
                <w:rFonts w:ascii="Times New Roman" w:hAnsi="Times New Roman"/>
                <w:sz w:val="15"/>
              </w:rPr>
              <w:t>Container Startup Overhead</w:t>
            </w:r>
          </w:p>
        </w:tc>
        <w:tc>
          <w:tcPr>
            <w:tcW w:type="dxa" w:w="2016"/>
            <w:shd w:fill="F2F5F9"/>
          </w:tcPr>
          <w:p>
            <w:pPr>
              <w:spacing w:after="20" w:before="20"/>
              <w:jc w:val="left"/>
            </w:pPr>
            <w:r>
              <w:rPr>
                <w:rFonts w:ascii="Times New Roman" w:hAnsi="Times New Roman"/>
                <w:sz w:val="15"/>
              </w:rPr>
              <w:t>LocalStack Container Warm Pool</w:t>
            </w:r>
          </w:p>
        </w:tc>
      </w:tr>
    </w:tbl>
    <w:p>
      <w:pPr>
        <w:keepNext/>
        <w:spacing w:before="160" w:after="40"/>
        <w:jc w:val="left"/>
      </w:pPr>
      <w:r>
        <w:rPr>
          <w:rFonts w:ascii="Times New Roman" w:hAnsi="Times New Roman"/>
          <w:b/>
          <w:i/>
          <w:color w:val="222222"/>
          <w:sz w:val="20"/>
        </w:rPr>
        <w:t>C. Deep Threat Model &amp; Security Boundary Analysis</w:t>
      </w:r>
    </w:p>
    <w:p>
      <w:pPr>
        <w:spacing w:after="60" w:line="269" w:lineRule="auto"/>
        <w:jc w:val="both"/>
      </w:pPr>
      <w:r>
        <w:rPr>
          <w:rFonts w:ascii="Times New Roman" w:hAnsi="Times New Roman"/>
          <w:sz w:val="19"/>
        </w:rPr>
        <w:t>To rigorously assess AgentShield AI against adversary exploit models, we conducted a formal threat model analysis structured around the STRIDE framework (Spoofing, Tampering, Repudiation, Information Disclosure, Denial of Service, and Elevation of Privilege) tailored specifically for Infrastructure-as-Code delivery pipelines.</w:t>
      </w:r>
    </w:p>
    <w:p>
      <w:pPr>
        <w:spacing w:after="60" w:line="269" w:lineRule="auto"/>
        <w:jc w:val="both"/>
      </w:pPr>
      <w:r>
        <w:rPr>
          <w:rFonts w:ascii="Times New Roman" w:hAnsi="Times New Roman"/>
          <w:b/>
          <w:sz w:val="19"/>
        </w:rPr>
        <w:t xml:space="preserve">1) Prompt Injection Defense: </w:t>
      </w:r>
      <w:r>
        <w:rPr>
          <w:rFonts w:ascii="Times New Roman" w:hAnsi="Times New Roman"/>
          <w:sz w:val="19"/>
        </w:rPr>
        <w:t>Adversaries attempting to bypass security scanners may embed adversarial jailbreak prompts within IaC code comments or variable description fields. AgentShield AI mitigates prompt injection attacks by stripping code comments during the Hybrid AST parsing stage and enforcing strict Pydantic JSON schema output constraints on model inference.</w:t>
      </w:r>
    </w:p>
    <w:p>
      <w:pPr>
        <w:spacing w:after="60" w:line="269" w:lineRule="auto"/>
        <w:jc w:val="both"/>
      </w:pPr>
      <w:r>
        <w:rPr>
          <w:rFonts w:ascii="Times New Roman" w:hAnsi="Times New Roman"/>
          <w:b/>
          <w:sz w:val="19"/>
        </w:rPr>
        <w:t xml:space="preserve">2) External Module Inspection: </w:t>
      </w:r>
      <w:r>
        <w:rPr>
          <w:rFonts w:ascii="Times New Roman" w:hAnsi="Times New Roman"/>
          <w:sz w:val="19"/>
        </w:rPr>
        <w:t>Enterprise Terraform templates frequently source third-party modules from public registries. AgentShield AI recursively expands external module calls, generating unified dependency graphs prior to vector retrieval. This ensures malicious code hidden within nested sub-modules is extracted and analyzed prior to deployment.</w:t>
      </w:r>
    </w:p>
    <w:p>
      <w:pPr>
        <w:spacing w:after="60" w:line="269" w:lineRule="auto"/>
        <w:jc w:val="both"/>
      </w:pPr>
      <w:r>
        <w:rPr>
          <w:rFonts w:ascii="Times New Roman" w:hAnsi="Times New Roman"/>
          <w:b/>
          <w:sz w:val="19"/>
        </w:rPr>
        <w:t xml:space="preserve">3) Provenance Verification: </w:t>
      </w:r>
      <w:r>
        <w:rPr>
          <w:rFonts w:ascii="Times New Roman" w:hAnsi="Times New Roman"/>
          <w:sz w:val="19"/>
        </w:rPr>
        <w:t>Attackers attempting to contaminate vector databases with false security policies are thwarted by AgentShield AI's cryptographic document hashing and immutable policy provenance tracking. Only verified policy bundles digitally signed by security operations teams are indexed into the Qdrant knowledge core.</w:t>
      </w:r>
    </w:p>
    <w:p>
      <w:pPr>
        <w:keepNext/>
        <w:spacing w:before="160" w:after="40"/>
        <w:jc w:val="left"/>
      </w:pPr>
      <w:r>
        <w:rPr>
          <w:rFonts w:ascii="Times New Roman" w:hAnsi="Times New Roman"/>
          <w:b/>
          <w:i/>
          <w:color w:val="222222"/>
          <w:sz w:val="20"/>
        </w:rPr>
        <w:t>D. Comprehensive Multi-Agent Execution State Machine &amp; Data Flow</w:t>
      </w:r>
    </w:p>
    <w:p>
      <w:pPr>
        <w:spacing w:after="60" w:line="269" w:lineRule="auto"/>
        <w:jc w:val="both"/>
      </w:pPr>
      <w:r>
        <w:rPr>
          <w:rFonts w:ascii="Times New Roman" w:hAnsi="Times New Roman"/>
          <w:sz w:val="19"/>
        </w:rPr>
        <w:t>The runtime state machine of AgentShield AI is governed by deterministic state transitions executed within LangGraph. When an IaC repository is submitted (via pre-commit hook, IDE extension, or CI/CD workflow), the Manager Agent initializes an immutable AgentShieldState object containing a unique execution transaction ID, global timestamp, input template files, and empty artifact slots.</w:t>
      </w:r>
    </w:p>
    <w:p>
      <w:pPr>
        <w:spacing w:after="60" w:line="269" w:lineRule="auto"/>
        <w:jc w:val="both"/>
      </w:pPr>
      <w:r>
        <w:rPr>
          <w:rFonts w:ascii="Times New Roman" w:hAnsi="Times New Roman"/>
          <w:sz w:val="19"/>
        </w:rPr>
        <w:t>The graph routes execution to the Hybrid AST Parser Agent, which generates an AST intermediate representation (AST-IR). Concurrently, the Secrets Scanner Agent executes Gitleaks entropy scans over raw files. If hardcoded credentials are detected, the Secret Scanner automatically redacts sensitive strings, replaces them with environment variable placeholders, and records the incident in the audit ledger.</w:t>
      </w:r>
    </w:p>
    <w:p>
      <w:pPr>
        <w:spacing w:after="60" w:line="269" w:lineRule="auto"/>
        <w:jc w:val="both"/>
      </w:pPr>
      <w:r>
        <w:rPr>
          <w:rFonts w:ascii="Times New Roman" w:hAnsi="Times New Roman"/>
          <w:sz w:val="19"/>
        </w:rPr>
        <w:t>The AST-IR and redacted code state proceed to the RAG Query Agent. The RAG Query Agent constructs a dense vector query using OpenAI text-embedding-3-large and a sparse keyword query using BM25, executing hybrid retrieval against the Qdrant vector database. The top policy chunks are retrieved along with exact CIS Benchmark control IDs [9] and NIST 800-53 requirements [11].</w:t>
      </w:r>
    </w:p>
    <w:p>
      <w:pPr>
        <w:spacing w:after="60" w:line="269" w:lineRule="auto"/>
        <w:jc w:val="both"/>
      </w:pPr>
      <w:r>
        <w:rPr>
          <w:rFonts w:ascii="Times New Roman" w:hAnsi="Times New Roman"/>
          <w:sz w:val="19"/>
        </w:rPr>
        <w:t>Next, the Security Analyst Agent dispatches parallel requests to Anthropic Claude 3.5 Sonnet and OpenAI GPT-4o. Both LLMs execute Chain-of-Thought reasoning to identify misconfigurations, localize line numbers, and calculate confidence scores. The consensus engine calculates C_ensemble via Equation (3). If C_ensemble &gt;= 0.85, the finding is tagged as High Confidence and routed to the Auto-Patch Remediation Agent. If C_ensemble &lt; 0.85, the finding is escalated to the Human Security Audit Queue.</w:t>
      </w:r>
    </w:p>
    <w:p>
      <w:pPr>
        <w:spacing w:after="60" w:line="269" w:lineRule="auto"/>
        <w:jc w:val="both"/>
      </w:pPr>
      <w:r>
        <w:rPr>
          <w:rFonts w:ascii="Times New Roman" w:hAnsi="Times New Roman"/>
          <w:sz w:val="19"/>
        </w:rPr>
        <w:t>The Auto-Patch Remediation Agent constructs a unified diff patch modifying the specific IaC resource block. The patch is submitted to the Code &amp; Sandbox Validator Agent. Stage 1 executes static linters (terraform validate, cfn-lint). Stage 2 spins up a containerized LocalStack sandbox environment, executing a dry-run deployment. If LocalStack deployment succeeds with zero exit code, the patch passes validation (PPR=94.8%) and is presented to the developer as an automated pull request.</w:t>
      </w:r>
    </w:p>
    <w:p>
      <w:pPr>
        <w:keepNext/>
        <w:spacing w:before="160" w:after="40"/>
        <w:jc w:val="left"/>
      </w:pPr>
      <w:r>
        <w:rPr>
          <w:rFonts w:ascii="Times New Roman" w:hAnsi="Times New Roman"/>
          <w:b/>
          <w:i/>
          <w:color w:val="222222"/>
          <w:sz w:val="20"/>
        </w:rPr>
        <w:t>E. Extended Technical Analysis Sub-Section E.1: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E.1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E.2: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E.2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E.3: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E.3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E.4: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E.4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E.5: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E.5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E.6: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E.6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E.7: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E.7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E.8: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E.8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E.9: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E.9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E.10: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E.10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E.11: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E.11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E.12: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E.12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E.13: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E.13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E.14: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E.14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E.15: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E.15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E.16: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E.16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E.17: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E.17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E.18: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E.18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E.19: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E.19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E.20: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E.20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E.21: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E.21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E.22: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E.22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E.23: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E.23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E.24: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E.24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E.25: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E.25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E.26: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E.26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E.27: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E.27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E.28: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E.28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E.29: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E.29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E.30: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E.30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E.31: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E.31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E.32: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E.32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E.33: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E.33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160" w:after="40"/>
        <w:jc w:val="left"/>
      </w:pPr>
      <w:r>
        <w:rPr>
          <w:rFonts w:ascii="Times New Roman" w:hAnsi="Times New Roman"/>
          <w:b/>
          <w:i/>
          <w:color w:val="222222"/>
          <w:sz w:val="20"/>
        </w:rPr>
        <w:t>E. Extended Technical Analysis Sub-Section E.34: Advanced Multi-Cloud DevSecOps Integration Patterns</w:t>
      </w:r>
    </w:p>
    <w:p>
      <w:pPr>
        <w:spacing w:after="60" w:line="269" w:lineRule="auto"/>
        <w:jc w:val="both"/>
      </w:pPr>
      <w:r>
        <w:rPr>
          <w:rFonts w:ascii="Times New Roman" w:hAnsi="Times New Roman"/>
          <w:sz w:val="19"/>
        </w:rPr>
        <w:t>To evaluate large-scale enterprise deployments, we analyzed integration topologies across hybrid multi-cloud pipelines. Deployment Pattern E.34 examines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spacing w:after="60" w:line="269" w:lineRule="auto"/>
        <w:jc w:val="both"/>
      </w:pPr>
      <w:r>
        <w:rPr>
          <w:rFonts w:ascii="Times New Roman" w:hAnsi="Times New Roman"/>
          <w:sz w:val="19"/>
        </w:rPr>
        <w:t>Empirical telemetry collected across 50 simulated enterprise deployment cycles demonstrates that shifting security left with AgentShield AI reduces security defect remediation costs by 89.4% compared to post-deployment CSPM monitoring. Furthermore, because AgentShield AI outputs syntactically verified diff code patches rather than non-executable text suggestions [1], developer mean-time-to-remediate (MTTR) decreases from 4.2 hours to 3.8 minutes per vulnerability finding.</w:t>
      </w:r>
    </w:p>
    <w:p>
      <w:pPr>
        <w:keepNext/>
        <w:spacing w:before="240" w:after="60"/>
        <w:jc w:val="left"/>
      </w:pPr>
      <w:r>
        <w:rPr>
          <w:rFonts w:ascii="Times New Roman" w:hAnsi="Times New Roman"/>
          <w:b/>
          <w:color w:val="002060"/>
          <w:sz w:val="21"/>
        </w:rPr>
        <w:t>VI. CONCLUSION &amp; FUTURE WORK</w:t>
      </w:r>
    </w:p>
    <w:p>
      <w:pPr>
        <w:spacing w:after="60" w:line="269" w:lineRule="auto"/>
        <w:jc w:val="both"/>
      </w:pPr>
      <w:r>
        <w:rPr>
          <w:rFonts w:ascii="Times New Roman" w:hAnsi="Times New Roman"/>
          <w:sz w:val="19"/>
        </w:rPr>
        <w:t>This paper presented AgentShield AI, an autonomous multi-agent framework that significantly advances Infrastructure-as-Code security across heterogeneous multi-cloud environments. By systematically resolving the core research gaps of the base IEEE paper by Toprani &amp; Madisetti (2025) [1]—including single-cloud restrictions, high false-positive rates (~15%), text-only remediations, and unvalidated patches—AgentShield AI establishes a robust, enterprise-ready security framework.</w:t>
      </w:r>
    </w:p>
    <w:p>
      <w:pPr>
        <w:spacing w:after="60" w:line="269" w:lineRule="auto"/>
        <w:jc w:val="both"/>
      </w:pPr>
      <w:r>
        <w:rPr>
          <w:rFonts w:ascii="Times New Roman" w:hAnsi="Times New Roman"/>
          <w:sz w:val="19"/>
        </w:rPr>
        <w:t>Through stateful 8-agent LangGraph orchestration, Hybrid AST parameter pre-evaluation, Gitleaks secret scanning, Multi-LLM Ensemble Voting (Claude 3.5 Sonnet + GPT-4o), LocalStack sandbox patch validation, and automated compliance crosswalking, AgentShield AI achieves an empirical detection rate of 96.2%, a false-positive rate of 2.4%, and a patch pass rate of 94.8% across multi-cloud IaC templates.</w:t>
      </w:r>
    </w:p>
    <w:p>
      <w:pPr>
        <w:keepNext/>
        <w:spacing w:before="160" w:after="40"/>
        <w:jc w:val="left"/>
      </w:pPr>
      <w:r>
        <w:rPr>
          <w:rFonts w:ascii="Times New Roman" w:hAnsi="Times New Roman"/>
          <w:b/>
          <w:i/>
          <w:color w:val="222222"/>
          <w:sz w:val="20"/>
        </w:rPr>
        <w:t>A. Future Work Directions</w:t>
      </w:r>
    </w:p>
    <w:p>
      <w:pPr>
        <w:spacing w:after="60" w:line="269" w:lineRule="auto"/>
        <w:jc w:val="both"/>
      </w:pPr>
      <w:r>
        <w:rPr>
          <w:rFonts w:ascii="Times New Roman" w:hAnsi="Times New Roman"/>
          <w:sz w:val="19"/>
        </w:rPr>
        <w:t>1) Self-Healing Cloud Control Loops: Developing self-healing cloud control loops that automatically apply validated diff patches to live infrastructure when security drift is detected by cloud provider APIs.</w:t>
      </w:r>
    </w:p>
    <w:p>
      <w:pPr>
        <w:spacing w:after="60" w:line="269" w:lineRule="auto"/>
        <w:jc w:val="both"/>
      </w:pPr>
      <w:r>
        <w:rPr>
          <w:rFonts w:ascii="Times New Roman" w:hAnsi="Times New Roman"/>
          <w:sz w:val="19"/>
        </w:rPr>
        <w:t>2) SLM Distillation for Edge Deployment: Distilling multi-LLM ensemble reasoning into fine-tuned Small Language Models (SLMs) to enable rapid, low-latency local edge security analysis directly within developer workstations.</w:t>
      </w:r>
    </w:p>
    <w:p>
      <w:pPr>
        <w:spacing w:after="60" w:line="269" w:lineRule="auto"/>
        <w:jc w:val="both"/>
      </w:pPr>
      <w:r>
        <w:rPr>
          <w:rFonts w:ascii="Times New Roman" w:hAnsi="Times New Roman"/>
          <w:sz w:val="19"/>
        </w:rPr>
        <w:t>3) Zero-Trust Container Orchestration: Expanding automated compliance crosswalking to cover zero-trust container runtime policies and service mesh configurations across Kubernetes environments.</w:t>
      </w:r>
    </w:p>
    <w:p>
      <w:pPr>
        <w:keepNext/>
        <w:spacing w:before="240" w:after="60"/>
        <w:jc w:val="left"/>
      </w:pPr>
      <w:r>
        <w:rPr>
          <w:rFonts w:ascii="Times New Roman" w:hAnsi="Times New Roman"/>
          <w:b/>
          <w:color w:val="002060"/>
          <w:sz w:val="21"/>
        </w:rPr>
        <w:t>REFERENCES</w:t>
      </w:r>
    </w:p>
    <w:p>
      <w:pPr>
        <w:spacing w:after="40" w:line="269" w:lineRule="auto"/>
        <w:jc w:val="both"/>
      </w:pPr>
      <w:r>
        <w:rPr>
          <w:rFonts w:ascii="Times New Roman" w:hAnsi="Times New Roman"/>
          <w:sz w:val="17"/>
        </w:rPr>
        <w:t>[1] D. Toprani and V. K. Madisetti, "LLM Agentic Workflow for Automated Vulnerability Detection and Remediation in Infrastructure-as-Code," IEEE Access, vol. 13, pp. 69175-69181, 2025.</w:t>
      </w:r>
    </w:p>
    <w:p>
      <w:pPr>
        <w:spacing w:after="40" w:line="269" w:lineRule="auto"/>
        <w:jc w:val="both"/>
      </w:pPr>
      <w:r>
        <w:rPr>
          <w:rFonts w:ascii="Times New Roman" w:hAnsi="Times New Roman"/>
          <w:sz w:val="17"/>
        </w:rPr>
        <w:t>[2] N. Saavedra and J. F. Ferreira, "GLITCH: Automated polyglot security smell detection in infrastructure as code," arXiv preprint arXiv:2205.14371, 2022.</w:t>
      </w:r>
    </w:p>
    <w:p>
      <w:pPr>
        <w:spacing w:after="40" w:line="269" w:lineRule="auto"/>
        <w:jc w:val="both"/>
      </w:pPr>
      <w:r>
        <w:rPr>
          <w:rFonts w:ascii="Times New Roman" w:hAnsi="Times New Roman"/>
          <w:sz w:val="17"/>
        </w:rPr>
        <w:t>[3] E. Malul, Y. Meidan, D. Mimran, Y. Elovici, and A. Shabtai, "GenKubeSec: LLM-based kubernetes misconfiguration detection, localization, reasoning, and remediation," arXiv preprint arXiv:2405.19954, 2024.</w:t>
      </w:r>
    </w:p>
    <w:p>
      <w:pPr>
        <w:spacing w:after="40" w:line="269" w:lineRule="auto"/>
        <w:jc w:val="both"/>
      </w:pPr>
      <w:r>
        <w:rPr>
          <w:rFonts w:ascii="Times New Roman" w:hAnsi="Times New Roman"/>
          <w:sz w:val="17"/>
        </w:rPr>
        <w:t>[4] X. Lian, Y. Chen, R. Cheng, J. Huang, P. Thakkar, M. Zhang, and T. Xu, "Configuration validation with large language models," arXiv preprint arXiv:2310.09690, 2023.</w:t>
      </w:r>
    </w:p>
    <w:p>
      <w:pPr>
        <w:spacing w:after="40" w:line="269" w:lineRule="auto"/>
        <w:jc w:val="both"/>
      </w:pPr>
      <w:r>
        <w:rPr>
          <w:rFonts w:ascii="Times New Roman" w:hAnsi="Times New Roman"/>
          <w:sz w:val="17"/>
        </w:rPr>
        <w:t>[5] F. Minna, F. Massacci, and K. Tuma, "Analyzing and mitigating (with LLMs) the security misconfigurations of helm charts from artifact hub," arXiv preprint arXiv:2403.09537, 2024.</w:t>
      </w:r>
    </w:p>
    <w:p>
      <w:pPr>
        <w:spacing w:after="40" w:line="269" w:lineRule="auto"/>
        <w:jc w:val="both"/>
      </w:pPr>
      <w:r>
        <w:rPr>
          <w:rFonts w:ascii="Times New Roman" w:hAnsi="Times New Roman"/>
          <w:sz w:val="17"/>
        </w:rPr>
        <w:t>[6] S. Ullah, M. Han, S. Pujar, H. Pearce, A. Coskun, and G. Stringhini, "LLMs Cannot Reliably Identify and Reason About Security Vulnerabilities (Yet?): A Comprehensive Evaluation, Framework, and Benchmarks," IEEE S&amp;P, 2024.</w:t>
      </w:r>
    </w:p>
    <w:p>
      <w:pPr>
        <w:spacing w:after="40" w:line="269" w:lineRule="auto"/>
        <w:jc w:val="both"/>
      </w:pPr>
      <w:r>
        <w:rPr>
          <w:rFonts w:ascii="Times New Roman" w:hAnsi="Times New Roman"/>
          <w:sz w:val="17"/>
        </w:rPr>
        <w:t>[7] D. Compton, "What Went Wrong With Unisuper and Google Cloud?" [Online]. Available: https://danielcompton.net/google-cloud-unisuper, 2024.</w:t>
      </w:r>
    </w:p>
    <w:p>
      <w:pPr>
        <w:spacing w:after="40" w:line="269" w:lineRule="auto"/>
        <w:jc w:val="both"/>
      </w:pPr>
      <w:r>
        <w:rPr>
          <w:rFonts w:ascii="Times New Roman" w:hAnsi="Times New Roman"/>
          <w:sz w:val="17"/>
        </w:rPr>
        <w:t>[8] Amazon Web Services, "AWS Well-Architected Framework: Reliability and Security Pillars," AWS Documentation, 2024.</w:t>
      </w:r>
    </w:p>
    <w:p>
      <w:pPr>
        <w:spacing w:after="40" w:line="269" w:lineRule="auto"/>
        <w:jc w:val="both"/>
      </w:pPr>
      <w:r>
        <w:rPr>
          <w:rFonts w:ascii="Times New Roman" w:hAnsi="Times New Roman"/>
          <w:sz w:val="17"/>
        </w:rPr>
        <w:t>[9] Center for Internet Security, "CIS Amazon Web Services / Azure / GCP Foundations Benchmarks v3.0.0," CIS Security, 2024.</w:t>
      </w:r>
    </w:p>
    <w:p>
      <w:pPr>
        <w:spacing w:after="40" w:line="269" w:lineRule="auto"/>
        <w:jc w:val="both"/>
      </w:pPr>
      <w:r>
        <w:rPr>
          <w:rFonts w:ascii="Times New Roman" w:hAnsi="Times New Roman"/>
          <w:sz w:val="17"/>
        </w:rPr>
        <w:t>[10] HashiCorp, "Terraform Security Best Practices and Static Code Analysis Framework," HashiCorp Developer Docs, 2024.</w:t>
      </w:r>
    </w:p>
    <w:p>
      <w:pPr>
        <w:spacing w:after="40" w:line="269" w:lineRule="auto"/>
        <w:jc w:val="both"/>
      </w:pPr>
      <w:r>
        <w:rPr>
          <w:rFonts w:ascii="Times New Roman" w:hAnsi="Times New Roman"/>
          <w:sz w:val="17"/>
        </w:rPr>
        <w:t>[11] NIST, "Security and Privacy Controls for Information Systems and Organizations," NIST Special Publication 800-53, Rev. 5, 2020.</w:t>
      </w:r>
    </w:p>
    <w:p>
      <w:pPr>
        <w:spacing w:after="40" w:line="269" w:lineRule="auto"/>
        <w:jc w:val="both"/>
      </w:pPr>
      <w:r>
        <w:rPr>
          <w:rFonts w:ascii="Times New Roman" w:hAnsi="Times New Roman"/>
          <w:sz w:val="17"/>
        </w:rPr>
        <w:t>[12] PCI Security Standards Council, "Payment Card Industry Data Security Standard (PCI-DSS) v4.0," 2022.</w:t>
      </w:r>
    </w:p>
    <w:sectPr w:rsidR="00FC693F" w:rsidRPr="0006063C" w:rsidSect="00034616">
      <w:type w:val="continuous"/>
      <w:pgSz w:w="12240" w:h="15840"/>
      <w:pgMar w:top="1080" w:right="1080" w:bottom="1080" w:left="1080" w:header="720" w:footer="720" w:gutter="0"/>
      <w:cols w:space="720"/>
      <w:docGrid w:linePitch="360"/>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80"/>
    </w:pPr>
    <w:rPr>
      <w:rFonts w:ascii="Times New Roman" w:hAnsi="Times New Roman"/>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