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0" w:after="240"/>
        <w:jc w:val="center"/>
      </w:pPr>
      <w:r>
        <w:rPr>
          <w:rFonts w:ascii="Times New Roman" w:hAnsi="Times New Roman"/>
          <w:b/>
          <w:color w:val="0F172A"/>
          <w:sz w:val="32"/>
        </w:rPr>
        <w:t>AgentShield AI: An Autonomous Multi-Agent Framework for Syntactic Verification, Secret Interception, and Sandbox-Validated Remediation in Multi-Cloud Infrastructure-as-Code</w:t>
      </w:r>
    </w:p>
    <w:p>
      <w:pPr>
        <w:spacing w:before="0" w:after="80"/>
        <w:jc w:val="center"/>
      </w:pPr>
      <w:r>
        <w:rPr>
          <w:rFonts w:ascii="Times New Roman" w:hAnsi="Times New Roman"/>
          <w:b/>
          <w:color w:val="1E293B"/>
          <w:sz w:val="22"/>
        </w:rPr>
        <w:t>K. Vishal Reddy, Anisha Paturi, Parinamika Bhanu Ch, Venkata Vahini Ch, Sravani Janak</w:t>
      </w:r>
    </w:p>
    <w:p>
      <w:pPr>
        <w:spacing w:before="0" w:after="40"/>
        <w:jc w:val="center"/>
      </w:pPr>
      <w:r>
        <w:rPr>
          <w:rFonts w:ascii="Times New Roman" w:hAnsi="Times New Roman"/>
          <w:color w:val="475569"/>
          <w:sz w:val="20"/>
        </w:rPr>
        <w:t>Department of Computer Science and Engineering, Keshav Memorial Institute of Technology, Hyderabad, Telangana, India</w:t>
      </w:r>
    </w:p>
    <w:p>
      <w:pPr>
        <w:spacing w:before="0" w:after="280"/>
        <w:jc w:val="center"/>
      </w:pPr>
      <w:r>
        <w:rPr>
          <w:rFonts w:ascii="Times New Roman" w:hAnsi="Times New Roman"/>
          <w:i/>
          <w:color w:val="64748B"/>
          <w:sz w:val="19"/>
        </w:rPr>
        <w:t>*Corresponding Author: paturi.anisha@gmail.com</w:t>
      </w:r>
    </w:p>
    <w:p>
      <w:pPr>
        <w:spacing w:before="160" w:after="40"/>
        <w:jc w:val="left"/>
      </w:pPr>
      <w:r>
        <w:rPr>
          <w:rFonts w:ascii="Times New Roman" w:hAnsi="Times New Roman"/>
          <w:b/>
          <w:color w:val="0F172A"/>
          <w:sz w:val="22"/>
        </w:rPr>
        <w:t>ABSTRACT</w:t>
      </w:r>
    </w:p>
    <w:p>
      <w:pPr>
        <w:spacing w:before="0" w:after="120" w:line="264" w:lineRule="auto"/>
        <w:jc w:val="both"/>
      </w:pPr>
      <w:r>
        <w:rPr>
          <w:rFonts w:ascii="Times New Roman" w:hAnsi="Times New Roman"/>
          <w:color w:val="141414"/>
          <w:sz w:val="20"/>
        </w:rPr>
        <w:t>Infrastructure-As-Code (IaC) templates like Terraform, AWS CloudFormation, Kubernetes manifests and Helm charts play a role in developing multi-cloud environment solutions. Security misconfiguration, credential leakage and permission anti-patterns that appear at the template stage of development seem to bypass static linters resulting in severe run-time vulnerabilities. Existing Large Language Model (LLM) security tools are limited to cloud show high false positives level (around 15%-32%) provide non-executable text recommendations do not detect embedded secrets and produce broken code patches. In this paper we describe AgentShield AI, a -agent autonomous framework powered by LangGraph and designed for multi-cloud Infrastructure as Code protection. The AgentShield AI solution brings together eight agents that operate in an asynchronous event-driven workflow: Manager/Router, Hybrid Concrete Syntax Tree (CST) parser, Secrets scanner, Hybrid RAG query agent, Security Analyst Agent with Multi-LLM Ensemble Voting (Claude 3.5 Sonnet + GPT-4o) Human Security Audit Queue, Auto Patch Remediation Agent, Code &amp; The Validator Agent is working in collaboration with a two-stage validation harness. The AgentShield AI has ensured that there is no occurrence of a single-model hallucination by integrating Tree-sitter dynamic parameter pre-resolution, hybrid sparse retrieval techniques dual-engine Shannon entropy secret scanning, consensus confidence scoring and LocalStack/Azurite dry-run validation inside containers. The AgentShield AI was calculated across 2,450 -cloud IaC modules where it accomplished 99.1% detection accuracy 98.4% recall, false-positive percentages, below 0.05%, 97.8% sandbox patch percentage at first pass and execution latencies averaging 1.84 seconds for every template.</w:t>
      </w:r>
    </w:p>
    <w:p>
      <w:pPr>
        <w:spacing w:before="40" w:after="280"/>
        <w:jc w:val="both"/>
      </w:pPr>
      <w:r>
        <w:rPr>
          <w:rFonts w:ascii="Times New Roman" w:hAnsi="Times New Roman"/>
          <w:b/>
          <w:sz w:val="20"/>
        </w:rPr>
        <w:t xml:space="preserve">Keywords: </w:t>
      </w:r>
      <w:r>
        <w:rPr>
          <w:rFonts w:ascii="Times New Roman" w:hAnsi="Times New Roman"/>
          <w:i/>
          <w:sz w:val="20"/>
        </w:rPr>
        <w:t>Infrastructure-as-Code (IaC), Multi-Agent Systems, Multi-Cloud Security, Large Language Models (LLMs), Secret Detection, LocalStack Sandbox, Automated Remediation, Concrete Syntax Trees, DevSecOps.</w:t>
      </w:r>
    </w:p>
    <w:p>
      <w:pPr>
        <w:pStyle w:val="ListParagraph"/>
        <w:keepNext/>
        <w:spacing w:before="280" w:after="80"/>
        <w:jc w:val="left"/>
        <w:numPr>
          <w:ilvl w:val="0"/>
          <w:numId w:val="20"/>
        </w:numPr>
      </w:pPr>
      <w:r>
        <w:rPr>
          <w:rFonts w:ascii="Times New Roman" w:hAnsi="Times New Roman"/>
          <w:b/>
          <w:color w:val="0F172A"/>
          <w:sz w:val="25"/>
        </w:rPr>
        <w:t>Introduction</w:t>
      </w:r>
    </w:p>
    <w:p>
      <w:pPr>
        <w:spacing w:before="0" w:after="90" w:line="269" w:lineRule="auto"/>
        <w:jc w:val="both"/>
      </w:pPr>
      <w:r>
        <w:rPr>
          <w:rFonts w:ascii="Times New Roman" w:hAnsi="Times New Roman"/>
          <w:color w:val="141414"/>
          <w:sz w:val="21"/>
        </w:rPr>
        <w:t>As outlined in [1], infrastructure as code (IaC) has revolutionized the field of cloud architecture and engineering. Similar to other code-based abstractions, IaC offers engineers the ability to provision and manage computing infrastructure in a product or service at scale. Tools such as Terraform, AWS CloudFormation, and Kubernetes offer engineers domain-specific infrastructure as code (IaC) capability [3]-[5].</w:t>
      </w:r>
    </w:p>
    <w:p>
      <w:pPr>
        <w:spacing w:before="0" w:after="90" w:line="269" w:lineRule="auto"/>
        <w:jc w:val="both"/>
      </w:pPr>
      <w:r>
        <w:rPr>
          <w:rFonts w:ascii="Times New Roman" w:hAnsi="Times New Roman"/>
          <w:color w:val="141414"/>
          <w:sz w:val="21"/>
        </w:rPr>
        <w:t>There are security concerns associated with the widespread adoption of IaC. IaC codification of infrastructure introduces multiple opportunities for security configuration errors and gaps. For example, IaC definitions may include secrets, keys and other credentials [5].</w:t>
      </w:r>
    </w:p>
    <w:p>
      <w:pPr>
        <w:spacing w:before="0" w:after="90" w:line="269" w:lineRule="auto"/>
        <w:jc w:val="both"/>
      </w:pPr>
      <w:r>
        <w:rPr>
          <w:rFonts w:ascii="Times New Roman" w:hAnsi="Times New Roman"/>
          <w:color w:val="141414"/>
          <w:sz w:val="21"/>
        </w:rPr>
        <w:t>There are two main strategies for mitigating IaC security concerns. The first strategy involves using IaC codification and processing tools and frameworks to introduce encodings and codifications for best practices and security controls [6]-[9]. The second strategy is the use of Cloud Security Posture Management (CSPM) tools.</w:t>
      </w:r>
    </w:p>
    <w:p>
      <w:pPr>
        <w:spacing w:before="0" w:after="90" w:line="269" w:lineRule="auto"/>
        <w:jc w:val="both"/>
      </w:pPr>
      <w:r>
        <w:rPr>
          <w:rFonts w:ascii="Times New Roman" w:hAnsi="Times New Roman"/>
          <w:color w:val="141414"/>
          <w:sz w:val="21"/>
        </w:rPr>
        <w:t>There have been recent studies that integrate artificial intelligence and security to audit IaC configurations. These studies have primarily focused on the AWS cloud platform [15]-[19].</w:t>
      </w:r>
    </w:p>
    <w:p>
      <w:pPr>
        <w:pStyle w:val="ListParagraph"/>
        <w:keepNext/>
        <w:spacing w:before="200" w:after="80"/>
        <w:jc w:val="left"/>
        <w:numPr>
          <w:ilvl w:val="1"/>
          <w:numId w:val="20"/>
        </w:numPr>
      </w:pPr>
      <w:r>
        <w:rPr>
          <w:rFonts w:ascii="Times New Roman" w:hAnsi="Times New Roman"/>
          <w:b/>
          <w:color w:val="0F172A"/>
          <w:sz w:val="23"/>
        </w:rPr>
        <w:t>Soft Infrastructure Threats</w:t>
      </w:r>
    </w:p>
    <w:p>
      <w:pPr>
        <w:spacing w:before="0" w:after="90" w:line="269" w:lineRule="auto"/>
        <w:jc w:val="both"/>
      </w:pPr>
      <w:r>
        <w:rPr>
          <w:rFonts w:ascii="Times New Roman" w:hAnsi="Times New Roman"/>
          <w:color w:val="141414"/>
          <w:sz w:val="21"/>
        </w:rPr>
        <w:t>Software-Defined Infrastructure (SDI) allows for high automation of enterprise computing. With SDI, the infrastructure is programmable with code, and changes to the code are automatically deployed with CI/CD tools. Given the similarities with software development, infrastructure config code (IaC) is treated as source code.</w:t>
      </w:r>
    </w:p>
    <w:p>
      <w:pPr>
        <w:spacing w:before="0" w:after="90" w:line="269" w:lineRule="auto"/>
        <w:jc w:val="both"/>
      </w:pPr>
      <w:r>
        <w:rPr>
          <w:rFonts w:ascii="Times New Roman" w:hAnsi="Times New Roman"/>
          <w:color w:val="141414"/>
          <w:sz w:val="21"/>
        </w:rPr>
        <w:t>Given the rise in adoption of Cloud Computing, a variety of architectural misconfigurations of IaC have been reported and validated [4] [5]. Other studies have reported code repositories have accidentally disclosed sensitive information at high rates (e.g. 65% public code repositories reported in [6]).</w:t>
      </w:r>
    </w:p>
    <w:p>
      <w:pPr>
        <w:spacing w:before="0" w:after="90" w:line="269" w:lineRule="auto"/>
        <w:jc w:val="both"/>
      </w:pPr>
      <w:r>
        <w:rPr>
          <w:rFonts w:ascii="Times New Roman" w:hAnsi="Times New Roman"/>
          <w:color w:val="141414"/>
          <w:sz w:val="21"/>
        </w:rPr>
        <w:t>Some of the IaC misconfigurations are:</w:t>
      </w:r>
    </w:p>
    <w:p>
      <w:pPr>
        <w:spacing w:before="0" w:after="90" w:line="269" w:lineRule="auto"/>
        <w:jc w:val="both"/>
      </w:pPr>
      <w:r>
        <w:rPr>
          <w:rFonts w:ascii="Times New Roman" w:hAnsi="Times New Roman"/>
          <w:color w:val="141414"/>
          <w:sz w:val="21"/>
        </w:rPr>
        <w:t>(i) IaC has defined configuration rules for security groups to control ingress traffic. However, in some cases these rules allow administrative traffic over the Internet (e.g. SSH, RDP, Kubernetes API).</w:t>
      </w:r>
    </w:p>
    <w:p>
      <w:pPr>
        <w:spacing w:before="0" w:after="90" w:line="269" w:lineRule="auto"/>
        <w:jc w:val="both"/>
      </w:pPr>
      <w:r>
        <w:rPr>
          <w:rFonts w:ascii="Times New Roman" w:hAnsi="Times New Roman"/>
          <w:color w:val="141414"/>
          <w:sz w:val="21"/>
        </w:rPr>
        <w:t>(ii) Sensitive data stored on cloud storage and block storage are unprotected.</w:t>
      </w:r>
    </w:p>
    <w:p>
      <w:pPr>
        <w:spacing w:before="0" w:after="90" w:line="269" w:lineRule="auto"/>
        <w:jc w:val="both"/>
      </w:pPr>
      <w:r>
        <w:rPr>
          <w:rFonts w:ascii="Times New Roman" w:hAnsi="Times New Roman"/>
          <w:color w:val="141414"/>
          <w:sz w:val="21"/>
        </w:rPr>
        <w:t>(iii) IaC defines and grants access control to cloud resources. Improper configuration allows access to all resources.</w:t>
      </w:r>
    </w:p>
    <w:p>
      <w:pPr>
        <w:spacing w:before="0" w:after="90" w:line="269" w:lineRule="auto"/>
        <w:jc w:val="both"/>
      </w:pPr>
      <w:r>
        <w:rPr>
          <w:rFonts w:ascii="Times New Roman" w:hAnsi="Times New Roman"/>
          <w:color w:val="141414"/>
          <w:sz w:val="21"/>
        </w:rPr>
        <w:t>(iv) Sensitive information (e.g. application secrets, access tokens, etc.) are stored in code repos.</w:t>
      </w:r>
    </w:p>
    <w:p>
      <w:pPr>
        <w:spacing w:before="0" w:after="90" w:line="269" w:lineRule="auto"/>
        <w:jc w:val="both"/>
      </w:pPr>
      <w:r>
        <w:rPr>
          <w:rFonts w:ascii="Times New Roman" w:hAnsi="Times New Roman"/>
          <w:color w:val="141414"/>
          <w:sz w:val="21"/>
        </w:rPr>
        <w:t>There are other threats like shared or hard-coded admin passwords and use of out-dated or deprecated IaC constructs.</w:t>
      </w:r>
    </w:p>
    <w:p>
      <w:pPr>
        <w:pStyle w:val="ListParagraph"/>
        <w:keepNext/>
        <w:spacing w:before="200" w:after="80"/>
        <w:jc w:val="left"/>
        <w:numPr>
          <w:ilvl w:val="1"/>
          <w:numId w:val="20"/>
        </w:numPr>
      </w:pPr>
      <w:r>
        <w:rPr>
          <w:rFonts w:ascii="Times New Roman" w:hAnsi="Times New Roman"/>
          <w:b/>
          <w:color w:val="0F172A"/>
          <w:sz w:val="23"/>
        </w:rPr>
        <w:t>Failure Modes of Traditional Tools and Open-Loop LLMs</w:t>
      </w:r>
    </w:p>
    <w:p>
      <w:pPr>
        <w:spacing w:before="0" w:after="90" w:line="269" w:lineRule="auto"/>
        <w:jc w:val="both"/>
      </w:pPr>
      <w:r>
        <w:rPr>
          <w:rFonts w:ascii="Times New Roman" w:hAnsi="Times New Roman"/>
          <w:color w:val="141414"/>
          <w:sz w:val="21"/>
        </w:rPr>
        <w:t>To illustrate the reason new methods are needed we provide cases for conventional IaC tooling.</w:t>
      </w:r>
    </w:p>
    <w:p>
      <w:pPr>
        <w:spacing w:before="0" w:after="90" w:line="269" w:lineRule="auto"/>
        <w:jc w:val="both"/>
      </w:pPr>
      <w:r>
        <w:rPr>
          <w:rFonts w:ascii="Times New Roman" w:hAnsi="Times New Roman"/>
          <w:b/>
          <w:color w:val="0F172A"/>
          <w:sz w:val="21"/>
        </w:rPr>
        <w:t xml:space="preserve">Case 1: Alert Fatigue and Syntactic Myopia: </w:t>
      </w:r>
      <w:r>
        <w:rPr>
          <w:rFonts w:ascii="Times New Roman" w:hAnsi="Times New Roman"/>
          <w:color w:val="141414"/>
          <w:sz w:val="21"/>
        </w:rPr>
        <w:t>Tools such as Checkov, tfsec, KICS, Trivy, and others, rely on syntactic analysis. Therefore, they primarily analyze expressions. As a result, tools report false positives at rate between 32.4% to 47.9% and generate a large number of alerts. The tools ultimately lose developers' trust, and alert fatigue sets in.</w:t>
      </w:r>
    </w:p>
    <w:p>
      <w:pPr>
        <w:spacing w:before="0" w:after="90" w:line="269" w:lineRule="auto"/>
        <w:jc w:val="both"/>
      </w:pPr>
      <w:r>
        <w:rPr>
          <w:rFonts w:ascii="Times New Roman" w:hAnsi="Times New Roman"/>
          <w:b/>
          <w:color w:val="0F172A"/>
          <w:sz w:val="21"/>
        </w:rPr>
        <w:t xml:space="preserve">Case 2: Diagnostic Gap: </w:t>
      </w:r>
      <w:r>
        <w:rPr>
          <w:rFonts w:ascii="Times New Roman" w:hAnsi="Times New Roman"/>
          <w:color w:val="141414"/>
          <w:sz w:val="21"/>
        </w:rPr>
        <w:t>Static analysis tools identify security issues in code. However, it is the responsibility of the security team to integrate the recommended remediations. This can lead to a considerable delay between the discovery and remediation of the issue. On average, it takes 24.6 days to resolve a security issue identified by the automated tools [20].</w:t>
      </w:r>
    </w:p>
    <w:p>
      <w:pPr>
        <w:spacing w:before="0" w:after="90" w:line="269" w:lineRule="auto"/>
        <w:jc w:val="both"/>
      </w:pPr>
      <w:r>
        <w:rPr>
          <w:rFonts w:ascii="Times New Roman" w:hAnsi="Times New Roman"/>
          <w:b/>
          <w:color w:val="0F172A"/>
          <w:sz w:val="21"/>
        </w:rPr>
        <w:t xml:space="preserve">Case 3: Hallucinations and Dependency Breaking: </w:t>
      </w:r>
      <w:r>
        <w:rPr>
          <w:rFonts w:ascii="Times New Roman" w:hAnsi="Times New Roman"/>
          <w:color w:val="141414"/>
          <w:sz w:val="21"/>
        </w:rPr>
        <w:t>GPTs and other LLMs can learn to synthesize code. However, during code generation, GPTs and LLMs can hallucinate code and create dependencies which break during integration. This can result in application failures.</w:t>
      </w:r>
    </w:p>
    <w:p>
      <w:pPr>
        <w:spacing w:before="0" w:after="90" w:line="269" w:lineRule="auto"/>
        <w:jc w:val="both"/>
      </w:pPr>
      <w:r>
        <w:rPr>
          <w:rFonts w:ascii="Times New Roman" w:hAnsi="Times New Roman"/>
          <w:b/>
          <w:color w:val="0F172A"/>
          <w:sz w:val="21"/>
        </w:rPr>
        <w:t xml:space="preserve">Case 4: Secret Detection: </w:t>
      </w:r>
      <w:r>
        <w:rPr>
          <w:rFonts w:ascii="Times New Roman" w:hAnsi="Times New Roman"/>
          <w:color w:val="141414"/>
          <w:sz w:val="21"/>
        </w:rPr>
        <w:t>Secret detection relies on entropy. While tools can help detect secrets, they can create a large number of false positives. Hexadecimal codes, UUIDs, and Base64 codes can be identified as secrets.</w:t>
      </w:r>
    </w:p>
    <w:p>
      <w:pPr>
        <w:pStyle w:val="ListParagraph"/>
        <w:keepNext/>
        <w:spacing w:before="200" w:after="80"/>
        <w:jc w:val="left"/>
        <w:numPr>
          <w:ilvl w:val="1"/>
          <w:numId w:val="20"/>
        </w:numPr>
      </w:pPr>
      <w:r>
        <w:rPr>
          <w:rFonts w:ascii="Times New Roman" w:hAnsi="Times New Roman"/>
          <w:b/>
          <w:color w:val="0F172A"/>
          <w:sz w:val="23"/>
        </w:rPr>
        <w:t>Research Contributions</w:t>
      </w:r>
    </w:p>
    <w:p>
      <w:pPr>
        <w:spacing w:before="0" w:after="90" w:line="269" w:lineRule="auto"/>
        <w:jc w:val="both"/>
      </w:pPr>
      <w:r>
        <w:rPr>
          <w:rFonts w:ascii="Times New Roman" w:hAnsi="Times New Roman"/>
          <w:color w:val="141414"/>
          <w:sz w:val="21"/>
        </w:rPr>
        <w:t>This research presents AgentShield AI, a closed-loop system built on LangGraph. It uses specific agents to resolve IaC security issues. The main contributions of the research are:</w:t>
      </w:r>
    </w:p>
    <w:p>
      <w:pPr>
        <w:spacing w:before="0" w:after="70" w:line="269" w:lineRule="auto"/>
        <w:ind w:left="360" w:hanging="360"/>
        <w:jc w:val="both"/>
      </w:pPr>
      <w:r>
        <w:rPr>
          <w:rFonts w:ascii="Times New Roman" w:hAnsi="Times New Roman"/>
          <w:b/>
          <w:color w:val="0F172A"/>
          <w:sz w:val="21"/>
        </w:rPr>
        <w:t xml:space="preserve">8-Agent Orchestration: </w:t>
      </w:r>
      <w:r>
        <w:rPr>
          <w:rFonts w:ascii="Times New Roman" w:hAnsi="Times New Roman"/>
          <w:color w:val="141414"/>
          <w:sz w:val="21"/>
        </w:rPr>
        <w:t>This comprises a set of agents to create a closed-loop system.</w:t>
      </w:r>
    </w:p>
    <w:p>
      <w:pPr>
        <w:spacing w:before="0" w:after="70" w:line="269" w:lineRule="auto"/>
        <w:ind w:left="360" w:hanging="360"/>
        <w:jc w:val="both"/>
      </w:pPr>
      <w:r>
        <w:rPr>
          <w:rFonts w:ascii="Times New Roman" w:hAnsi="Times New Roman"/>
          <w:b/>
          <w:color w:val="0F172A"/>
          <w:sz w:val="21"/>
        </w:rPr>
        <w:t xml:space="preserve">Hybrid Tree-sitter Parser: </w:t>
      </w:r>
      <w:r>
        <w:rPr>
          <w:rFonts w:ascii="Times New Roman" w:hAnsi="Times New Roman"/>
          <w:color w:val="141414"/>
          <w:sz w:val="21"/>
        </w:rPr>
        <w:t>This contains a tree-sitter parser to create a syntax tree. It resolves variables by using the scope of the expression.</w:t>
      </w:r>
    </w:p>
    <w:p>
      <w:pPr>
        <w:spacing w:before="0" w:after="70" w:line="269" w:lineRule="auto"/>
        <w:ind w:left="360" w:hanging="360"/>
        <w:jc w:val="both"/>
      </w:pPr>
      <w:r>
        <w:rPr>
          <w:rFonts w:ascii="Times New Roman" w:hAnsi="Times New Roman"/>
          <w:b/>
          <w:color w:val="0F172A"/>
          <w:sz w:val="21"/>
        </w:rPr>
        <w:t xml:space="preserve">Hybrid Dual-Secret Detection: </w:t>
      </w:r>
      <w:r>
        <w:rPr>
          <w:rFonts w:ascii="Times New Roman" w:hAnsi="Times New Roman"/>
          <w:color w:val="141414"/>
          <w:sz w:val="21"/>
        </w:rPr>
        <w:t>This comprises a combination of a modified Shannon entropy expression to find the secret.</w:t>
      </w:r>
    </w:p>
    <w:p>
      <w:pPr>
        <w:spacing w:before="0" w:after="70" w:line="269" w:lineRule="auto"/>
        <w:ind w:left="360" w:hanging="360"/>
        <w:jc w:val="both"/>
      </w:pPr>
      <w:r>
        <w:rPr>
          <w:rFonts w:ascii="Times New Roman" w:hAnsi="Times New Roman"/>
          <w:b/>
          <w:color w:val="0F172A"/>
          <w:sz w:val="21"/>
        </w:rPr>
        <w:t xml:space="preserve">Hybrid Dense-Sparse RAG: </w:t>
      </w:r>
      <w:r>
        <w:rPr>
          <w:rFonts w:ascii="Times New Roman" w:hAnsi="Times New Roman"/>
          <w:color w:val="141414"/>
          <w:sz w:val="21"/>
        </w:rPr>
        <w:t>This comprises a retrieval system to search the 12,400 CIS and NIST framework security rules.</w:t>
      </w:r>
    </w:p>
    <w:p>
      <w:pPr>
        <w:spacing w:before="0" w:after="70" w:line="269" w:lineRule="auto"/>
        <w:ind w:left="360" w:hanging="360"/>
        <w:jc w:val="both"/>
      </w:pPr>
      <w:r>
        <w:rPr>
          <w:rFonts w:ascii="Times New Roman" w:hAnsi="Times New Roman"/>
          <w:b/>
          <w:color w:val="0F172A"/>
          <w:sz w:val="21"/>
        </w:rPr>
        <w:t xml:space="preserve">Calibrated MultiLLM Ensemble: </w:t>
      </w:r>
      <w:r>
        <w:rPr>
          <w:rFonts w:ascii="Times New Roman" w:hAnsi="Times New Roman"/>
          <w:color w:val="141414"/>
          <w:sz w:val="21"/>
        </w:rPr>
        <w:t>This comprises a system where confidence scores are computed by a set of LLMs and a consensus voting system is implemented.</w:t>
      </w:r>
    </w:p>
    <w:p>
      <w:pPr>
        <w:spacing w:before="0" w:after="70" w:line="269" w:lineRule="auto"/>
        <w:ind w:left="360" w:hanging="360"/>
        <w:jc w:val="both"/>
      </w:pPr>
      <w:r>
        <w:rPr>
          <w:rFonts w:ascii="Times New Roman" w:hAnsi="Times New Roman"/>
          <w:b/>
          <w:color w:val="0F172A"/>
          <w:sz w:val="21"/>
        </w:rPr>
        <w:t xml:space="preserve">Zero-Break Code Commits: </w:t>
      </w:r>
      <w:r>
        <w:rPr>
          <w:rFonts w:ascii="Times New Roman" w:hAnsi="Times New Roman"/>
          <w:color w:val="141414"/>
          <w:sz w:val="21"/>
        </w:rPr>
        <w:t>This comprises a system where generated code is validated to be syntactically correct.</w:t>
      </w:r>
    </w:p>
    <w:p>
      <w:pPr>
        <w:pStyle w:val="ListParagraph"/>
        <w:keepNext/>
        <w:spacing w:before="280" w:after="80"/>
        <w:jc w:val="left"/>
        <w:numPr>
          <w:ilvl w:val="0"/>
          <w:numId w:val="20"/>
        </w:numPr>
      </w:pPr>
      <w:r>
        <w:rPr>
          <w:rFonts w:ascii="Times New Roman" w:hAnsi="Times New Roman"/>
          <w:b/>
          <w:color w:val="0F172A"/>
          <w:sz w:val="25"/>
        </w:rPr>
        <w:t>Related Work and Comparative Landscape</w:t>
      </w:r>
    </w:p>
    <w:p>
      <w:pPr>
        <w:spacing w:before="0" w:after="90" w:line="269" w:lineRule="auto"/>
        <w:jc w:val="both"/>
      </w:pPr>
      <w:r>
        <w:rPr>
          <w:rFonts w:ascii="Times New Roman" w:hAnsi="Times New Roman"/>
          <w:color w:val="141414"/>
          <w:sz w:val="21"/>
        </w:rPr>
        <w:t>Security verification tools for IaC can be broken into several categories. They are usually static linters, policy-as-code engines, formal verifiers, secret detectors, or neural repair tools.</w:t>
      </w:r>
    </w:p>
    <w:p>
      <w:pPr>
        <w:pStyle w:val="ListParagraph"/>
        <w:keepNext/>
        <w:spacing w:before="200" w:after="80"/>
        <w:jc w:val="left"/>
        <w:numPr>
          <w:ilvl w:val="1"/>
          <w:numId w:val="20"/>
        </w:numPr>
      </w:pPr>
      <w:r>
        <w:rPr>
          <w:rFonts w:ascii="Times New Roman" w:hAnsi="Times New Roman"/>
          <w:b/>
          <w:color w:val="0F172A"/>
          <w:sz w:val="23"/>
        </w:rPr>
        <w:t>Static Linters and Policy-as-Code Engines</w:t>
      </w:r>
    </w:p>
    <w:p>
      <w:pPr>
        <w:spacing w:before="0" w:after="90" w:line="269" w:lineRule="auto"/>
        <w:jc w:val="both"/>
      </w:pPr>
      <w:r>
        <w:rPr>
          <w:rFonts w:ascii="Times New Roman" w:hAnsi="Times New Roman"/>
          <w:color w:val="141414"/>
          <w:sz w:val="21"/>
        </w:rPr>
        <w:t>Some of the earliest generation of tools relied on primitive pattern matching. Checkov parses Terraform HCL into a Python abstract syntax tree and applies match rules. tfSec parses Terraform HCL into Go structs looking for common anti-patterns. KICS parses multiple flavors of IaC into JSON then feeds them into Open Policy Agent for rules evaluation. Trivy works by scanning both container images and IaC config files for CVE matches.</w:t>
      </w:r>
    </w:p>
    <w:p>
      <w:pPr>
        <w:spacing w:before="0" w:after="90" w:line="269" w:lineRule="auto"/>
        <w:jc w:val="both"/>
      </w:pPr>
      <w:r>
        <w:rPr>
          <w:rFonts w:ascii="Times New Roman" w:hAnsi="Times New Roman"/>
          <w:color w:val="141414"/>
          <w:sz w:val="21"/>
        </w:rPr>
        <w:t>The major downside to static tools is none of them understand variable value propagation across modules. That omission creates failure-to-discover rates between 32-48% of true positives (false alarms). Policy-as-code tools like Open Policy Agent (OPA) and Sentinel give engineering teams freedom to author their own rules. The drawback to writing custom policy rules is most teams struggle to keep those rulesets up to date with cloud provider API changes. Updating rules to support new cloud APIs is difficult to maintain teams.</w:t>
      </w:r>
    </w:p>
    <w:p>
      <w:pPr>
        <w:pStyle w:val="ListParagraph"/>
        <w:keepNext/>
        <w:spacing w:before="200" w:after="80"/>
        <w:jc w:val="left"/>
        <w:numPr>
          <w:ilvl w:val="1"/>
          <w:numId w:val="20"/>
        </w:numPr>
      </w:pPr>
      <w:r>
        <w:rPr>
          <w:rFonts w:ascii="Times New Roman" w:hAnsi="Times New Roman"/>
          <w:b/>
          <w:color w:val="0F172A"/>
          <w:sz w:val="23"/>
        </w:rPr>
        <w:t>Formal Verification &amp; SMT Solvers</w:t>
      </w:r>
    </w:p>
    <w:p>
      <w:pPr>
        <w:spacing w:before="0" w:after="90" w:line="269" w:lineRule="auto"/>
        <w:jc w:val="both"/>
      </w:pPr>
      <w:r>
        <w:rPr>
          <w:rFonts w:ascii="Times New Roman" w:hAnsi="Times New Roman"/>
          <w:color w:val="141414"/>
          <w:sz w:val="21"/>
        </w:rPr>
        <w:t>Formal verification attempts to mathematically prove a policy will always uphold certain conditions. AWS Zelkova converts IAM policies into SMT formulas then tries to prove they can reach a state of “Unauthorized”. Cloud-SMR attempts the same process but for network security configurations.</w:t>
      </w:r>
    </w:p>
    <w:p>
      <w:pPr>
        <w:spacing w:before="0" w:after="90" w:line="269" w:lineRule="auto"/>
        <w:jc w:val="both"/>
      </w:pPr>
      <w:r>
        <w:rPr>
          <w:rFonts w:ascii="Times New Roman" w:hAnsi="Times New Roman"/>
          <w:color w:val="141414"/>
          <w:sz w:val="21"/>
        </w:rPr>
        <w:t>Formal verification is sound, but it doesn’t scale. I analyzed a multi-cloud deployment using hundreds of microservices. It took 3 hours to process the math. Keep in mind, formal verification can only tell you there is a problem. It cannot fix them.</w:t>
      </w:r>
    </w:p>
    <w:p>
      <w:pPr>
        <w:pStyle w:val="ListParagraph"/>
        <w:keepNext/>
        <w:spacing w:before="200" w:after="80"/>
        <w:jc w:val="left"/>
        <w:numPr>
          <w:ilvl w:val="1"/>
          <w:numId w:val="20"/>
        </w:numPr>
      </w:pPr>
      <w:r>
        <w:rPr>
          <w:rFonts w:ascii="Times New Roman" w:hAnsi="Times New Roman"/>
          <w:b/>
          <w:color w:val="0F172A"/>
          <w:sz w:val="23"/>
        </w:rPr>
        <w:t>Statistical Secret Detection and Entropy Modeling</w:t>
      </w:r>
    </w:p>
    <w:p>
      <w:pPr>
        <w:spacing w:before="0" w:after="90" w:line="269" w:lineRule="auto"/>
        <w:jc w:val="both"/>
      </w:pPr>
      <w:r>
        <w:rPr>
          <w:rFonts w:ascii="Times New Roman" w:hAnsi="Times New Roman"/>
          <w:color w:val="141414"/>
          <w:sz w:val="21"/>
        </w:rPr>
        <w:t>Credential scanning tools are almost exclusively regex matchers. Gitleaks and TruffleHog blast codebases with regex queries that look for AWS KeyIDs, GitHub tokens, password annotations, etc. There have also been studies showing Shannon entropy is effective at detecting secrets that don’t have a well-defined format.</w:t>
      </w:r>
    </w:p>
    <w:p>
      <w:pPr>
        <w:spacing w:before="0" w:after="90" w:line="269" w:lineRule="auto"/>
        <w:jc w:val="both"/>
      </w:pPr>
      <w:r>
        <w:rPr>
          <w:rFonts w:ascii="Times New Roman" w:hAnsi="Times New Roman"/>
          <w:color w:val="141414"/>
          <w:sz w:val="21"/>
        </w:rPr>
        <w:t>Entropy is noisy and produces false positives on JWT tokens, UUIDs, commit hashes, and Base64-encoded data. AgentShield AI overcomes this limitation with a hybrid approach. We use sliding entropy in conjunction with Tree-sitter scoping queries to dismiss printable identifiers.</w:t>
      </w:r>
    </w:p>
    <w:p>
      <w:pPr>
        <w:pStyle w:val="ListParagraph"/>
        <w:keepNext/>
        <w:spacing w:before="200" w:after="80"/>
        <w:jc w:val="left"/>
        <w:numPr>
          <w:ilvl w:val="1"/>
          <w:numId w:val="20"/>
        </w:numPr>
      </w:pPr>
      <w:r>
        <w:rPr>
          <w:rFonts w:ascii="Times New Roman" w:hAnsi="Times New Roman"/>
          <w:b/>
          <w:color w:val="0F172A"/>
          <w:sz w:val="23"/>
        </w:rPr>
        <w:t>Neural Program Repair and Frontier LLM Fixes</w:t>
      </w:r>
    </w:p>
    <w:p>
      <w:pPr>
        <w:spacing w:before="0" w:after="90" w:line="269" w:lineRule="auto"/>
        <w:jc w:val="both"/>
      </w:pPr>
      <w:r>
        <w:rPr>
          <w:rFonts w:ascii="Times New Roman" w:hAnsi="Times New Roman"/>
          <w:color w:val="141414"/>
          <w:sz w:val="21"/>
        </w:rPr>
        <w:t>The rising popularity of LLMs has led to a surge in “auto-apply” vulnerability remediation tools. Toprani and Madisetti pioneered the graph-prompt technique using zero-shot Terraform fixes with GPT-3. Their sandbox was unable to run compiler checks or Terraform deployment validations. When deploying GPT-3 fixed configs into AWS: 28.8% of those configs failed due to hallucinated Terraform attributes and provider dependencies.</w:t>
      </w:r>
    </w:p>
    <w:p>
      <w:pPr>
        <w:spacing w:before="0" w:after="90" w:line="269" w:lineRule="auto"/>
        <w:jc w:val="both"/>
      </w:pPr>
      <w:r>
        <w:rPr>
          <w:rFonts w:ascii="Times New Roman" w:hAnsi="Times New Roman"/>
          <w:color w:val="141414"/>
          <w:sz w:val="21"/>
        </w:rPr>
        <w:t>Alsaid et al. analyzed numerous pairs of LLM-generated fixes that passed standard linting tools and discovered 71.4% had undiscovered bypasses when deployed into real AWS environments. Mengistu et al. introduced TerraRepair which showed dependency context drastically reduces hallucinations.</w:t>
      </w:r>
    </w:p>
    <w:p>
      <w:pPr>
        <w:spacing w:before="0" w:after="90" w:line="269" w:lineRule="auto"/>
        <w:jc w:val="both"/>
      </w:pPr>
      <w:r>
        <w:rPr>
          <w:rFonts w:ascii="Times New Roman" w:hAnsi="Times New Roman"/>
          <w:color w:val="141414"/>
          <w:sz w:val="21"/>
        </w:rPr>
        <w:t>AgentShield AI expands upon TerraRepair’s premise by adding a dual-LLM consensus voting overlay as well as containerized LocalStack/Azurite dry-run validation.</w:t>
      </w:r>
    </w:p>
    <w:p>
      <w:pPr>
        <w:spacing w:before="200" w:after="60"/>
        <w:jc w:val="left"/>
      </w:pPr>
      <w:r>
        <w:rPr>
          <w:rFonts w:ascii="Times New Roman" w:hAnsi="Times New Roman"/>
          <w:b/>
          <w:color w:val="0F172A"/>
          <w:sz w:val="20"/>
        </w:rPr>
        <w:t xml:space="preserve">Table 2: </w:t>
      </w:r>
      <w:r>
        <w:rPr>
          <w:rFonts w:ascii="Times New Roman" w:hAnsi="Times New Roman"/>
          <w:color w:val="1E293B"/>
          <w:sz w:val="20"/>
        </w:rPr>
        <w:t>State-of-the-Art Comparative Feature Matrix across Existing IaC Security Frameworks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003"/>
        <w:gridCol w:w="1003"/>
        <w:gridCol w:w="1003"/>
        <w:gridCol w:w="1003"/>
        <w:gridCol w:w="1003"/>
        <w:gridCol w:w="1003"/>
        <w:gridCol w:w="1003"/>
        <w:gridCol w:w="1003"/>
        <w:gridCol w:w="1003"/>
      </w:tblGrid>
      <w:tr>
        <w:trPr>
          <w:tblHeader/>
          <w:cantSplit/>
        </w:trPr>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Framework / Tool</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Multi-Cloud</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Parser Tier</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Secret Scanner</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RAG Engine</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LLM Ensemble</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Sandbox Validation</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1st-Pass Fix (%)</w:t>
            </w:r>
          </w:p>
        </w:tc>
        <w:tc>
          <w:tcPr>
            <w:tcW w:type="dxa" w:w="1003"/>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Execution Latency</w:t>
            </w:r>
          </w:p>
        </w:tc>
      </w:tr>
      <w:tr>
        <w:trPr>
          <w:cantSplit/>
        </w:trPr>
        <w:tc>
          <w:tcPr>
            <w:tcW w:type="dxa" w:w="1003"/>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Checkov [6]</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AWS/Az/GCP</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Shallow AST</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 (Regex)</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 (Static)</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4.2s</w:t>
            </w:r>
          </w:p>
        </w:tc>
      </w:tr>
      <w:tr>
        <w:trPr>
          <w:cantSplit/>
        </w:trPr>
        <w:tc>
          <w:tcPr>
            <w:tcW w:type="dxa" w:w="1003"/>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tfsec [7]</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AWS/Az/GCP</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Go Memory AST</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Regex Only</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 (Static)</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3.1s</w:t>
            </w:r>
          </w:p>
        </w:tc>
      </w:tr>
      <w:tr>
        <w:trPr>
          <w:cantSplit/>
        </w:trPr>
        <w:tc>
          <w:tcPr>
            <w:tcW w:type="dxa" w:w="1003"/>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KICS [8]</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Polyglot</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JSON Norm.</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 (Static)</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5.8s</w:t>
            </w:r>
          </w:p>
        </w:tc>
      </w:tr>
      <w:tr>
        <w:trPr>
          <w:cantSplit/>
        </w:trPr>
        <w:tc>
          <w:tcPr>
            <w:tcW w:type="dxa" w:w="1003"/>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Trivy [9]</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Polyglot</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Lexical AST</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Regex Only</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 (Static)</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3.6s</w:t>
            </w:r>
          </w:p>
        </w:tc>
      </w:tr>
      <w:tr>
        <w:trPr>
          <w:cantSplit/>
        </w:trPr>
        <w:tc>
          <w:tcPr>
            <w:tcW w:type="dxa" w:w="1003"/>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AWS Zelkova [16]</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AWS Only</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SMT Logic</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 (Diagnostic)</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14.5s</w:t>
            </w:r>
          </w:p>
        </w:tc>
      </w:tr>
      <w:tr>
        <w:trPr>
          <w:cantSplit/>
        </w:trPr>
        <w:tc>
          <w:tcPr>
            <w:tcW w:type="dxa" w:w="1003"/>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Gitleaks [17]</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Agnostic</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Regex Only</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Signatures</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1.2s</w:t>
            </w:r>
          </w:p>
        </w:tc>
      </w:tr>
      <w:tr>
        <w:trPr>
          <w:cantSplit/>
        </w:trPr>
        <w:tc>
          <w:tcPr>
            <w:tcW w:type="dxa" w:w="1003"/>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Toprani &amp; Madisetti [19]</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AWS Only</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Graph AST</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Single GPT-4</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Open-Loop</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71.2%</w:t>
            </w:r>
          </w:p>
        </w:tc>
        <w:tc>
          <w:tcPr>
            <w:tcW w:type="dxa" w:w="1003"/>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8.4s</w:t>
            </w:r>
          </w:p>
        </w:tc>
      </w:tr>
      <w:tr>
        <w:trPr>
          <w:cantSplit/>
        </w:trPr>
        <w:tc>
          <w:tcPr>
            <w:tcW w:type="dxa" w:w="1003"/>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TerraProbe [21]</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AWS/TF</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AST Oracle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Single LLM</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Plan Oracle</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81.6%</w:t>
            </w:r>
          </w:p>
        </w:tc>
        <w:tc>
          <w:tcPr>
            <w:tcW w:type="dxa" w:w="1003"/>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12.2s</w:t>
            </w:r>
          </w:p>
        </w:tc>
      </w:tr>
      <w:tr>
        <w:trPr>
          <w:cantSplit/>
        </w:trPr>
        <w:tc>
          <w:tcPr>
            <w:tcW w:type="dxa" w:w="1003"/>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AgentShield AI (Ours)</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Multi-Cloud</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Tree-sitter CST</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Dual Entropy+Regex</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Hybrid Dense-Sparse</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Claude 3.5 + GPT-4o</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Two-Tier LocalStack</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97.8%</w:t>
            </w:r>
          </w:p>
        </w:tc>
        <w:tc>
          <w:tcPr>
            <w:tcW w:type="dxa" w:w="1003"/>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1.84s</w:t>
            </w:r>
          </w:p>
        </w:tc>
      </w:tr>
    </w:tbl>
    <w:p>
      <w:pPr>
        <w:spacing w:after="80"/>
      </w:pPr>
    </w:p>
    <w:p>
      <w:pPr>
        <w:pStyle w:val="ListParagraph"/>
        <w:keepNext/>
        <w:spacing w:before="280" w:after="80"/>
        <w:jc w:val="left"/>
        <w:numPr>
          <w:ilvl w:val="0"/>
          <w:numId w:val="20"/>
        </w:numPr>
      </w:pPr>
      <w:r>
        <w:rPr>
          <w:rFonts w:ascii="Times New Roman" w:hAnsi="Times New Roman"/>
          <w:b/>
          <w:color w:val="0F172A"/>
          <w:sz w:val="25"/>
        </w:rPr>
        <w:t>Research Methodology</w:t>
      </w:r>
    </w:p>
    <w:p>
      <w:pPr>
        <w:spacing w:before="0" w:after="90" w:line="269" w:lineRule="auto"/>
        <w:jc w:val="both"/>
      </w:pPr>
      <w:r>
        <w:rPr>
          <w:rFonts w:ascii="Times New Roman" w:hAnsi="Times New Roman"/>
          <w:color w:val="141414"/>
          <w:sz w:val="21"/>
        </w:rPr>
        <w:t>AgentShield AI coordinates eight specialized agents using an asynchronous, event-driven workflow implemented with LangGraph (see Fig. 1). The agents are connected through a directed workflow, where each agent handles a particular part of the security analysis. The system also keeps track of the information produced at each stage so that the processing history can be traced when needed. If a particular stage fails, automated fallback mechanisms are used to handle the failure and continue the remaining workflow where possible.</w:t>
      </w:r>
    </w:p>
    <w:p>
      <w:pPr>
        <w:spacing w:before="200" w:after="60"/>
        <w:jc w:val="center"/>
      </w:pPr>
    </w:p>
    <w:p>
      <w:r>
        <w:drawing>
          <wp:inline xmlns:a="http://schemas.openxmlformats.org/drawingml/2006/main" xmlns:pic="http://schemas.openxmlformats.org/drawingml/2006/picture">
            <wp:extent cx="5303520" cy="3037849"/>
            <wp:docPr id="1" name="Picture 1"/>
            <wp:cNvGraphicFramePr>
              <a:graphicFrameLocks noChangeAspect="1"/>
            </wp:cNvGraphicFramePr>
            <a:graphic>
              <a:graphicData uri="http://schemas.openxmlformats.org/drawingml/2006/picture">
                <pic:pic>
                  <pic:nvPicPr>
                    <pic:cNvPr id="0" name="fig_architecture_agentshield.png"/>
                    <pic:cNvPicPr/>
                  </pic:nvPicPr>
                  <pic:blipFill>
                    <a:blip r:embed="rId16"/>
                    <a:stretch>
                      <a:fillRect/>
                    </a:stretch>
                  </pic:blipFill>
                  <pic:spPr>
                    <a:xfrm>
                      <a:off x="0" y="0"/>
                      <a:ext cx="5303520" cy="3037849"/>
                    </a:xfrm>
                    <a:prstGeom prst="rect"/>
                  </pic:spPr>
                </pic:pic>
              </a:graphicData>
            </a:graphic>
          </wp:inline>
        </w:drawing>
      </w:r>
    </w:p>
    <w:p>
      <w:pPr>
        <w:spacing w:before="40" w:after="200" w:line="252" w:lineRule="auto"/>
        <w:jc w:val="both"/>
      </w:pPr>
      <w:r>
        <w:rPr>
          <w:rFonts w:ascii="Times New Roman" w:hAnsi="Times New Roman"/>
          <w:b/>
          <w:color w:val="0F172A"/>
          <w:sz w:val="19"/>
        </w:rPr>
        <w:t xml:space="preserve">Figure 1: </w:t>
      </w:r>
      <w:r>
        <w:rPr>
          <w:rFonts w:ascii="Times New Roman" w:hAnsi="Times New Roman"/>
          <w:color w:val="334155"/>
          <w:sz w:val="19"/>
        </w:rPr>
        <w:t>End-to-end architecture of AgentShield AI. The figure shows the eight-agent LangGraph workflow together with Tree-sitter-based structural parsing, secret interception, hybrid RAG, dual-LLM consensus voting, and LocalStack-based sandbox validation. The x-axis represents the sequence of stages in the workflow, while the y-axis represents the multi-cloud abstraction and validation layers used by the framework.</w:t>
      </w:r>
    </w:p>
    <w:p>
      <w:pPr>
        <w:spacing w:before="0" w:after="90" w:line="269" w:lineRule="auto"/>
        <w:jc w:val="both"/>
      </w:pPr>
      <w:r>
        <w:rPr>
          <w:rFonts w:ascii="Times New Roman" w:hAnsi="Times New Roman"/>
          <w:b/>
          <w:color w:val="0F172A"/>
          <w:sz w:val="21"/>
        </w:rPr>
        <w:t xml:space="preserve">Specialized Multi-Agent Roles (not exactly rigid, but mostly): </w:t>
      </w:r>
      <w:r>
        <w:rPr>
          <w:rFonts w:ascii="Times New Roman" w:hAnsi="Times New Roman"/>
          <w:color w:val="141414"/>
          <w:sz w:val="21"/>
        </w:rPr>
        <w:t>The autonomous pipeline decomposes IaC verification into eight specialized agent roles:</w:t>
      </w:r>
    </w:p>
    <w:p>
      <w:pPr>
        <w:spacing w:before="0" w:after="50" w:line="264" w:lineRule="auto"/>
        <w:ind w:left="360" w:hanging="360"/>
        <w:jc w:val="both"/>
      </w:pPr>
      <w:r>
        <w:rPr>
          <w:rFonts w:ascii="Times New Roman" w:hAnsi="Times New Roman"/>
          <w:b/>
          <w:color w:val="0F172A"/>
          <w:sz w:val="20"/>
        </w:rPr>
        <w:t xml:space="preserve">1) Manager/Router Agent: </w:t>
      </w:r>
      <w:r>
        <w:rPr>
          <w:rFonts w:ascii="Times New Roman" w:hAnsi="Times New Roman"/>
          <w:color w:val="141414"/>
          <w:sz w:val="20"/>
        </w:rPr>
        <w:t>Accepts the raw multi-cloud templates, determines the type of template (Terraform HCL2, CloudFormation, Kubernetes, Helm), and checks that the schema is correct before initiating parallel execution in a controlled fashion, similar to a ripple.</w:t>
      </w:r>
    </w:p>
    <w:p>
      <w:pPr>
        <w:spacing w:before="0" w:after="50" w:line="264" w:lineRule="auto"/>
        <w:ind w:left="360" w:hanging="360"/>
        <w:jc w:val="both"/>
      </w:pPr>
      <w:r>
        <w:rPr>
          <w:rFonts w:ascii="Times New Roman" w:hAnsi="Times New Roman"/>
          <w:b/>
          <w:color w:val="0F172A"/>
          <w:sz w:val="20"/>
        </w:rPr>
        <w:t xml:space="preserve">2) Hybrid AST Parser Agent: </w:t>
      </w:r>
      <w:r>
        <w:rPr>
          <w:rFonts w:ascii="Times New Roman" w:hAnsi="Times New Roman"/>
          <w:color w:val="141414"/>
          <w:sz w:val="20"/>
        </w:rPr>
        <w:t>Splits up the declarative code into standard AST components, resolves dynamic references, and handles conditional blocks such as 'count' and 'for_each' before any LLM reasoning is carried out.</w:t>
      </w:r>
    </w:p>
    <w:p>
      <w:pPr>
        <w:spacing w:before="0" w:after="50" w:line="264" w:lineRule="auto"/>
        <w:ind w:left="360" w:hanging="360"/>
        <w:jc w:val="both"/>
      </w:pPr>
      <w:r>
        <w:rPr>
          <w:rFonts w:ascii="Times New Roman" w:hAnsi="Times New Roman"/>
          <w:b/>
          <w:color w:val="0F172A"/>
          <w:sz w:val="20"/>
        </w:rPr>
        <w:t xml:space="preserve">3) Secrets Scanner Agent: </w:t>
      </w:r>
      <w:r>
        <w:rPr>
          <w:rFonts w:ascii="Times New Roman" w:hAnsi="Times New Roman"/>
          <w:color w:val="141414"/>
          <w:sz w:val="20"/>
        </w:rPr>
        <w:t>Works with zero-egress isolation, uses deterministic regex matching together with a sliding Shannon entropy evaluation, and basically tries to identify exposed API credentials and private keys before they have an opportunity to be transmitted.</w:t>
      </w:r>
    </w:p>
    <w:p>
      <w:pPr>
        <w:spacing w:before="0" w:after="50" w:line="264" w:lineRule="auto"/>
        <w:ind w:left="360" w:hanging="360"/>
        <w:jc w:val="both"/>
      </w:pPr>
      <w:r>
        <w:rPr>
          <w:rFonts w:ascii="Times New Roman" w:hAnsi="Times New Roman"/>
          <w:b/>
          <w:color w:val="0F172A"/>
          <w:sz w:val="20"/>
        </w:rPr>
        <w:t xml:space="preserve">4) RAG Query Agent: </w:t>
      </w:r>
      <w:r>
        <w:rPr>
          <w:rFonts w:ascii="Times New Roman" w:hAnsi="Times New Roman"/>
          <w:color w:val="141414"/>
          <w:sz w:val="20"/>
        </w:rPr>
        <w:t>Generates combined dense and sparse vector queries against an indexed database that includes security benchmarks (such as CIS, NIST SP 800-53, SOC 2, and PCI-DSS) as well as daily CVE feeds in order that the context stays up to date.</w:t>
      </w:r>
    </w:p>
    <w:p>
      <w:pPr>
        <w:spacing w:before="0" w:after="50" w:line="264" w:lineRule="auto"/>
        <w:ind w:left="360" w:hanging="360"/>
        <w:jc w:val="both"/>
      </w:pPr>
      <w:r>
        <w:rPr>
          <w:rFonts w:ascii="Times New Roman" w:hAnsi="Times New Roman"/>
          <w:b/>
          <w:color w:val="0F172A"/>
          <w:sz w:val="20"/>
        </w:rPr>
        <w:t xml:space="preserve">5) Security Analyst Agent: </w:t>
      </w:r>
      <w:r>
        <w:rPr>
          <w:rFonts w:ascii="Times New Roman" w:hAnsi="Times New Roman"/>
          <w:color w:val="141414"/>
          <w:sz w:val="20"/>
        </w:rPr>
        <w:t>Carries out parallel dual model inference using Claude 3.5 Sonnet and GPT-4o and, when appropriate, applies Chain of Thought (CoT) reasoning to produce structured vulnerability hypotheses, sometimes adding a bit of narrative as well.</w:t>
      </w:r>
    </w:p>
    <w:p>
      <w:pPr>
        <w:spacing w:before="0" w:after="50" w:line="264" w:lineRule="auto"/>
        <w:ind w:left="360" w:hanging="360"/>
        <w:jc w:val="both"/>
      </w:pPr>
      <w:r>
        <w:rPr>
          <w:rFonts w:ascii="Times New Roman" w:hAnsi="Times New Roman"/>
          <w:b/>
          <w:color w:val="0F172A"/>
          <w:sz w:val="20"/>
        </w:rPr>
        <w:t xml:space="preserve">6) Human Security Audit Queue Agent: </w:t>
      </w:r>
      <w:r>
        <w:rPr>
          <w:rFonts w:ascii="Times New Roman" w:hAnsi="Times New Roman"/>
          <w:color w:val="141414"/>
          <w:sz w:val="20"/>
        </w:rPr>
        <w:t>Detects cases that have a low confidence level (C_ensemble &lt; 0.85) or any cases that conflict, and then queues these results in an interactive web-based triage dashboard for the security engineers to review, verify them and possibly reframe them.</w:t>
      </w:r>
    </w:p>
    <w:p>
      <w:pPr>
        <w:spacing w:before="0" w:after="50" w:line="264" w:lineRule="auto"/>
        <w:ind w:left="360" w:hanging="360"/>
        <w:jc w:val="both"/>
      </w:pPr>
      <w:r>
        <w:rPr>
          <w:rFonts w:ascii="Times New Roman" w:hAnsi="Times New Roman"/>
          <w:b/>
          <w:color w:val="0F172A"/>
          <w:sz w:val="20"/>
        </w:rPr>
        <w:t xml:space="preserve">7) Auto Patch Remediation Agent: </w:t>
      </w:r>
      <w:r>
        <w:rPr>
          <w:rFonts w:ascii="Times New Roman" w:hAnsi="Times New Roman"/>
          <w:color w:val="141414"/>
          <w:sz w:val="20"/>
        </w:rPr>
        <w:t>Creates Unified Diff patches that are both deterministic and syntactically correct and is aimed at specific line offsets in the original templates, with the same level of precision.</w:t>
      </w:r>
    </w:p>
    <w:p>
      <w:pPr>
        <w:spacing w:before="0" w:after="50" w:line="264" w:lineRule="auto"/>
        <w:ind w:left="360" w:hanging="360"/>
        <w:jc w:val="both"/>
      </w:pPr>
      <w:r>
        <w:rPr>
          <w:rFonts w:ascii="Times New Roman" w:hAnsi="Times New Roman"/>
          <w:b/>
          <w:color w:val="0F172A"/>
          <w:sz w:val="20"/>
        </w:rPr>
        <w:t xml:space="preserve">8) Code &amp; Sandbox Validator Agent: </w:t>
      </w:r>
      <w:r>
        <w:rPr>
          <w:rFonts w:ascii="Times New Roman" w:hAnsi="Times New Roman"/>
          <w:color w:val="141414"/>
          <w:sz w:val="20"/>
        </w:rPr>
        <w:t>Carries out a two-stage validation process, beginning with the use of local static linters before performing a dry run deployment within containerized LocalStack/Azurite sandboxes.</w:t>
      </w:r>
    </w:p>
    <w:p>
      <w:pPr>
        <w:pStyle w:val="ListParagraph"/>
        <w:keepNext/>
        <w:spacing w:before="200" w:after="80"/>
        <w:jc w:val="left"/>
        <w:numPr>
          <w:ilvl w:val="1"/>
          <w:numId w:val="20"/>
        </w:numPr>
      </w:pPr>
      <w:r>
        <w:rPr>
          <w:rFonts w:ascii="Times New Roman" w:hAnsi="Times New Roman"/>
          <w:b/>
          <w:color w:val="0F172A"/>
          <w:sz w:val="23"/>
        </w:rPr>
        <w:t>Asynchronous Graph Orchestration and State Contracts</w:t>
      </w:r>
    </w:p>
    <w:p>
      <w:pPr>
        <w:spacing w:before="0" w:after="90" w:line="269" w:lineRule="auto"/>
        <w:jc w:val="both"/>
      </w:pPr>
      <w:r>
        <w:rPr>
          <w:rFonts w:ascii="Times New Roman" w:hAnsi="Times New Roman"/>
          <w:color w:val="141414"/>
          <w:sz w:val="21"/>
        </w:rPr>
        <w:t>The eight specialized agents operate within a reactive, event-driven graph coordinated via LangGraph. Unlike brittle linear pipelines where a single agent failure aborts the entire execution, AgentShield AI employs an immutable typed state schema governed by Pydantic V2 contracts. State transitions are strictly monotonic: agents append verified assertions, intermediate AST representations, and candidate diffs to the shared execution context without mutating upstream inputs. The execution context maintains an immutable cryptographic digest of the source code, guaranteeing end-to-end execution provenance and auditability. When an agent experiences an unrecoverable exception (e.g., an unresponsive LLM endpoint), the orchestrator triggers automated fallback routing to alternative inference providers or escalates the item directly to the Human Security Audit Queue.</w:t>
      </w:r>
    </w:p>
    <w:p>
      <w:pPr>
        <w:spacing w:before="200" w:after="40"/>
        <w:jc w:val="left"/>
      </w:pPr>
      <w:r>
        <w:rPr>
          <w:rFonts w:ascii="Times New Roman" w:hAnsi="Times New Roman"/>
          <w:b/>
          <w:color w:val="0F172A"/>
          <w:sz w:val="20"/>
        </w:rPr>
        <w:t xml:space="preserve">Algorithm 1: </w:t>
      </w:r>
      <w:r>
        <w:rPr>
          <w:rFonts w:ascii="Times New Roman" w:hAnsi="Times New Roman"/>
          <w:color w:val="1E293B"/>
          <w:sz w:val="20"/>
        </w:rPr>
        <w:t>Autonomous Multi-Agent IaC Auditing, Secret Interception, and Two-Tier Sandbox Remediation Pipeline</w:t>
      </w:r>
    </w:p>
    <w:tbl>
      <w:tblPr>
        <w:tblW w:type="auto" w:w="0"/>
        <w:jc w:val="center"/>
        <w:tblLook w:firstColumn="1" w:firstRow="1" w:lastColumn="0" w:lastRow="0" w:noHBand="0" w:noVBand="1" w:val="04A0"/>
        <w:tblBorders>
          <w:top w:val="single" w:sz="8" w:space="0" w:color="0F172A"/>
          <w:bottom w:val="single" w:sz="8" w:space="0" w:color="0F172A"/>
          <w:left w:val="single" w:sz="8" w:space="0" w:color="0F172A"/>
          <w:right w:val="single" w:sz="8" w:space="0" w:color="0F172A"/>
          <w:insideH w:val="none"/>
          <w:insideV w:val="none"/>
        </w:tblBorders>
      </w:tblPr>
      <w:tblGrid>
        <w:gridCol w:w="9029"/>
      </w:tblGrid>
      <w:tr>
        <w:tc>
          <w:tcPr>
            <w:tcW w:type="dxa" w:w="9029"/>
            <w:shd w:val="clear" w:color="auto" w:fill="FFFFFF"/>
            <w:tcMar>
              <w:top w:w="120" w:type="dxa"/>
              <w:bottom w:w="120" w:type="dxa"/>
              <w:left w:w="160" w:type="dxa"/>
              <w:right w:w="160" w:type="dxa"/>
            </w:tcMar>
          </w:tcPr>
          <w:p>
            <w:pPr>
              <w:spacing w:before="20" w:after="20" w:line="252" w:lineRule="auto"/>
            </w:pPr>
            <w:r>
              <w:rPr>
                <w:rFonts w:ascii="Times New Roman" w:hAnsi="Times New Roman"/>
                <w:b/>
                <w:sz w:val="18"/>
              </w:rPr>
              <w:t xml:space="preserve">Input: </w:t>
            </w:r>
            <w:r>
              <w:rPr>
                <w:rFonts w:ascii="Times New Roman" w:hAnsi="Times New Roman"/>
                <w:sz w:val="18"/>
              </w:rPr>
              <w:t>Raw IaC Source Template T_raw; Compliance Policy Knowledge Base P_cis</w:t>
              <w:br/>
            </w:r>
            <w:r>
              <w:rPr>
                <w:rFonts w:ascii="Times New Roman" w:hAnsi="Times New Roman"/>
                <w:b/>
                <w:sz w:val="18"/>
              </w:rPr>
              <w:t xml:space="preserve">Output: </w:t>
            </w:r>
            <w:r>
              <w:rPr>
                <w:rFonts w:ascii="Times New Roman" w:hAnsi="Times New Roman"/>
                <w:sz w:val="18"/>
              </w:rPr>
              <w:t>Cryptographically Signed SARIF Report R_sarif; Validated Patch Set Delta_final</w:t>
              <w:br/>
            </w:r>
            <w:r>
              <w:rPr>
                <w:color w:val="94A3B8"/>
                <w:sz w:val="16"/>
              </w:rPr>
              <w:t>――――――――――――――――――――――――――――――――――――――――――――――――――――――――――――――――――――</w:t>
              <w:br/>
            </w:r>
            <w:r>
              <w:rPr>
                <w:rFonts w:ascii="Consolas" w:hAnsi="Consolas"/>
                <w:color w:val="0F172A"/>
                <w:sz w:val="17"/>
              </w:rPr>
              <w:t>1: Initialize Shared Execution Context Gamma &lt;- empty; Compute Checksum H_0 &lt;- SHA256(T_raw);</w:t>
              <w:br/>
            </w:r>
            <w:r>
              <w:rPr>
                <w:rFonts w:ascii="Times New Roman" w:hAnsi="Times New Roman"/>
                <w:color w:val="0F172A"/>
                <w:sz w:val="17"/>
              </w:rPr>
              <w:t>2: [Agent 1] Detect DSL Dialect Phi in {Terraform, CloudFormation, Kubernetes, Helm};</w:t>
              <w:br/>
            </w:r>
            <w:r>
              <w:rPr>
                <w:rFonts w:ascii="Consolas" w:hAnsi="Consolas"/>
                <w:color w:val="0F172A"/>
                <w:sz w:val="17"/>
              </w:rPr>
              <w:t>3: [Agent 2] Parse Concrete Syntax Tree G_cst &lt;- TreeSitterParse(T_raw);</w:t>
              <w:br/>
            </w:r>
            <w:r>
              <w:rPr>
                <w:rFonts w:ascii="Times New Roman" w:hAnsi="Times New Roman"/>
                <w:color w:val="0F172A"/>
                <w:sz w:val="17"/>
              </w:rPr>
              <w:t>4: [Agent 2] Resolve variable assignments V and unfold conditional blocks C -&gt; G_dep;</w:t>
              <w:br/>
            </w:r>
            <w:r>
              <w:rPr>
                <w:rFonts w:ascii="Consolas" w:hAnsi="Consolas"/>
                <w:color w:val="0F172A"/>
                <w:sz w:val="17"/>
              </w:rPr>
              <w:t>5: [Agent 3] Compute character Shannon entropy H(X_i) on literal tokens in parallel with regex scanning;</w:t>
              <w:br/>
            </w:r>
            <w:r>
              <w:rPr>
                <w:rFonts w:ascii="Consolas" w:hAnsi="Consolas"/>
                <w:color w:val="0F172A"/>
                <w:sz w:val="17"/>
              </w:rPr>
              <w:t>6: [Agent 3] Intercept and redact candidate credentials where H(X_i) &gt;= 3.8 and X_i not in D_cst;</w:t>
              <w:br/>
            </w:r>
            <w:r>
              <w:rPr>
                <w:rFonts w:ascii="Times New Roman" w:hAnsi="Times New Roman"/>
                <w:color w:val="0F172A"/>
                <w:sz w:val="17"/>
              </w:rPr>
              <w:t>7: [Agent 2] Evaluate CIS/NIST policy constraints against G_dep; Extract Violation Set V = {v_1, ..., v_K};</w:t>
              <w:br/>
            </w:r>
            <w:r>
              <w:rPr>
                <w:rFonts w:ascii="Times New Roman" w:hAnsi="Times New Roman"/>
                <w:color w:val="0F172A"/>
                <w:sz w:val="17"/>
              </w:rPr>
              <w:t>8: for each identified security violation v_k in V do</w:t>
              <w:br/>
            </w:r>
            <w:r>
              <w:rPr>
                <w:rFonts w:ascii="Consolas" w:hAnsi="Consolas"/>
                <w:color w:val="0F172A"/>
                <w:sz w:val="17"/>
              </w:rPr>
              <w:t>9:    [Agent 4] Retrieve Compliance Passages C_k &lt;- RRF(QdrantDense(v_k), BM25Sparse(v_k));</w:t>
              <w:br/>
            </w:r>
            <w:r>
              <w:rPr>
                <w:rFonts w:ascii="Consolas" w:hAnsi="Consolas"/>
                <w:color w:val="0F172A"/>
                <w:sz w:val="17"/>
              </w:rPr>
              <w:t>10:   [Agent 5] Concurrently prompt Claude 3.5 Sonnet (M_1) and GPT-4o (M_2) with CoT reasoning;</w:t>
              <w:br/>
            </w:r>
            <w:r>
              <w:rPr>
                <w:rFonts w:ascii="Consolas" w:hAnsi="Consolas"/>
                <w:color w:val="0F172A"/>
                <w:sz w:val="17"/>
              </w:rPr>
              <w:t>11:   [Agent 5] Calculate Consensus Confidence C_ensemble(v_k) and AST Dice Agreement S_dice(delta_1, delta_2);</w:t>
              <w:br/>
            </w:r>
            <w:r>
              <w:rPr>
                <w:rFonts w:ascii="Consolas" w:hAnsi="Consolas"/>
                <w:color w:val="0F172A"/>
                <w:sz w:val="17"/>
              </w:rPr>
              <w:t>12:   if C_ensemble(v_k) &lt; 0.85 or S_dice &lt; 0.92 then</w:t>
              <w:br/>
            </w:r>
            <w:r>
              <w:rPr>
                <w:rFonts w:ascii="Times New Roman" w:hAnsi="Times New Roman"/>
                <w:color w:val="0F172A"/>
                <w:sz w:val="17"/>
              </w:rPr>
              <w:t>13:       [Agent 6] Route finding v_k to Human Security Audit Queue for manual triage; continue;</w:t>
              <w:br/>
            </w:r>
            <w:r>
              <w:rPr>
                <w:rFonts w:ascii="Times New Roman" w:hAnsi="Times New Roman"/>
                <w:color w:val="0F172A"/>
                <w:sz w:val="17"/>
              </w:rPr>
              <w:t>14:   [Agent 7] Synthesize Unified Diff Patch delta_k targeting line offsets in T_raw;</w:t>
              <w:br/>
            </w:r>
            <w:r>
              <w:rPr>
                <w:rFonts w:ascii="Consolas" w:hAnsi="Consolas"/>
                <w:color w:val="0F172A"/>
                <w:sz w:val="17"/>
              </w:rPr>
              <w:t>15:   [Agent 8] Tier 1: Execute static validation Omega_Linter(T_raw + delta_k);</w:t>
              <w:br/>
            </w:r>
            <w:r>
              <w:rPr>
                <w:rFonts w:ascii="Consolas" w:hAnsi="Consolas"/>
                <w:color w:val="0F172A"/>
                <w:sz w:val="17"/>
              </w:rPr>
              <w:t>16:   [Agent 8] Tier 2: Execute containerized sandbox deployment Omega_Sandbox(T_raw + delta_k, Phi);</w:t>
              <w:br/>
            </w:r>
            <w:r>
              <w:rPr>
                <w:rFonts w:ascii="Consolas" w:hAnsi="Consolas"/>
                <w:color w:val="0F172A"/>
                <w:sz w:val="17"/>
              </w:rPr>
              <w:t>17:   if Omega_Total(delta_k) == 1 then</w:t>
              <w:br/>
            </w:r>
            <w:r>
              <w:rPr>
                <w:rFonts w:ascii="Consolas" w:hAnsi="Consolas"/>
                <w:color w:val="0F172A"/>
                <w:sz w:val="17"/>
              </w:rPr>
              <w:t>18:       Accept patch: Delta_final &lt;- Delta_final union {delta_k};</w:t>
              <w:br/>
            </w:r>
            <w:r>
              <w:rPr>
                <w:rFonts w:ascii="Times New Roman" w:hAnsi="Times New Roman"/>
                <w:color w:val="0F172A"/>
                <w:sz w:val="17"/>
              </w:rPr>
              <w:t>19:   else</w:t>
              <w:br/>
            </w:r>
            <w:r>
              <w:rPr>
                <w:rFonts w:ascii="Consolas" w:hAnsi="Consolas"/>
                <w:color w:val="0F172A"/>
                <w:sz w:val="17"/>
              </w:rPr>
              <w:t>20:       Forward compiler diagnostic error back to Agent 5 for iterative retry (max 3 cycles);</w:t>
              <w:br/>
            </w:r>
            <w:r>
              <w:rPr>
                <w:rFonts w:ascii="Times New Roman" w:hAnsi="Times New Roman"/>
                <w:color w:val="0F172A"/>
                <w:sz w:val="17"/>
              </w:rPr>
              <w:t>21: end for</w:t>
              <w:br/>
            </w:r>
            <w:r>
              <w:rPr>
                <w:rFonts w:ascii="Times New Roman" w:hAnsi="Times New Roman"/>
                <w:color w:val="0F172A"/>
                <w:sz w:val="17"/>
              </w:rPr>
              <w:t>22: [Agent 7] Map confirmed findings to CWE, CVSS v3.1, and MITRE ATT&amp;CK Cloud Matrix;</w:t>
              <w:br/>
            </w:r>
            <w:r>
              <w:rPr>
                <w:rFonts w:ascii="Times New Roman" w:hAnsi="Times New Roman"/>
                <w:color w:val="0F172A"/>
                <w:sz w:val="17"/>
              </w:rPr>
              <w:t>23: [Agent 8] Generate SARIF JSON report and cryptographically signed Git PR via Ed25519 keys;</w:t>
              <w:br/>
            </w:r>
            <w:r>
              <w:rPr>
                <w:rFonts w:ascii="Times New Roman" w:hAnsi="Times New Roman"/>
                <w:color w:val="0F172A"/>
                <w:sz w:val="17"/>
              </w:rPr>
              <w:t>24: return R_sarif, Delta_final</w:t>
              <w:br/>
            </w:r>
          </w:p>
        </w:tc>
      </w:tr>
    </w:tbl>
    <w:p>
      <w:pPr>
        <w:spacing w:after="120"/>
      </w:pPr>
    </w:p>
    <w:p>
      <w:pPr>
        <w:pStyle w:val="ListParagraph"/>
        <w:keepNext/>
        <w:spacing w:before="280" w:after="80"/>
        <w:jc w:val="left"/>
        <w:numPr>
          <w:ilvl w:val="0"/>
          <w:numId w:val="20"/>
        </w:numPr>
      </w:pPr>
      <w:r>
        <w:rPr>
          <w:rFonts w:ascii="Times New Roman" w:hAnsi="Times New Roman"/>
          <w:b/>
          <w:color w:val="0F172A"/>
          <w:sz w:val="25"/>
        </w:rPr>
        <w:t>Theory and Computation</w:t>
      </w:r>
    </w:p>
    <w:p>
      <w:pPr>
        <w:spacing w:before="0" w:after="90" w:line="269" w:lineRule="auto"/>
        <w:jc w:val="both"/>
      </w:pPr>
      <w:r>
        <w:rPr>
          <w:rFonts w:ascii="Times New Roman" w:hAnsi="Times New Roman"/>
          <w:color w:val="141414"/>
          <w:sz w:val="21"/>
        </w:rPr>
        <w:t>The theoretical underpinnings of the AgentShield AI models used to verify IaC security are provided as a multi-stage graph and a decision-theoretic optimisation problem. In this section, we will provide the formalisms, symbolic nomenclature, probability calculations, and computational expressions that drive the operations of the eight-agent autonomous pipeline.</w:t>
      </w:r>
    </w:p>
    <w:p>
      <w:pPr>
        <w:pStyle w:val="ListParagraph"/>
        <w:keepNext/>
        <w:spacing w:before="200" w:after="80"/>
        <w:jc w:val="left"/>
        <w:numPr>
          <w:ilvl w:val="1"/>
          <w:numId w:val="20"/>
        </w:numPr>
      </w:pPr>
      <w:r>
        <w:rPr>
          <w:rFonts w:ascii="Times New Roman" w:hAnsi="Times New Roman"/>
          <w:b/>
          <w:color w:val="0F172A"/>
          <w:sz w:val="23"/>
        </w:rPr>
        <w:t>Mathematical Expressions and Nomenclature</w:t>
      </w:r>
    </w:p>
    <w:p>
      <w:pPr>
        <w:spacing w:before="0" w:after="90" w:line="269" w:lineRule="auto"/>
        <w:jc w:val="both"/>
      </w:pPr>
      <w:r>
        <w:rPr>
          <w:rFonts w:ascii="Times New Roman" w:hAnsi="Times New Roman"/>
          <w:color w:val="141414"/>
          <w:sz w:val="21"/>
        </w:rPr>
        <w:t>The nomenclature and symbols used in the calculations are summarised in Table 1 below detailing the operating domains of all state variables.</w:t>
      </w:r>
    </w:p>
    <w:p>
      <w:pPr>
        <w:spacing w:before="200" w:after="60"/>
        <w:jc w:val="left"/>
      </w:pPr>
      <w:r>
        <w:rPr>
          <w:rFonts w:ascii="Times New Roman" w:hAnsi="Times New Roman"/>
          <w:b/>
          <w:color w:val="0F172A"/>
          <w:sz w:val="20"/>
        </w:rPr>
        <w:t xml:space="preserve">Table 1: </w:t>
      </w:r>
      <w:r>
        <w:rPr>
          <w:rFonts w:ascii="Times New Roman" w:hAnsi="Times New Roman"/>
          <w:color w:val="1E293B"/>
          <w:sz w:val="20"/>
        </w:rPr>
        <w:t>Mathematical Nomenclature and Symbol Definitions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257"/>
        <w:gridCol w:w="2257"/>
        <w:gridCol w:w="2257"/>
        <w:gridCol w:w="2257"/>
      </w:tblGrid>
      <w:tr>
        <w:trPr>
          <w:tblHeader/>
          <w:cantSplit/>
        </w:trPr>
        <w:tc>
          <w:tcPr>
            <w:tcW w:type="dxa" w:w="2257"/>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Symbol</w:t>
            </w:r>
          </w:p>
        </w:tc>
        <w:tc>
          <w:tcPr>
            <w:tcW w:type="dxa" w:w="2257"/>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Domain</w:t>
            </w:r>
          </w:p>
        </w:tc>
        <w:tc>
          <w:tcPr>
            <w:tcW w:type="dxa" w:w="2257"/>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Description</w:t>
            </w:r>
          </w:p>
        </w:tc>
        <w:tc>
          <w:tcPr>
            <w:tcW w:type="dxa" w:w="2257"/>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Agent Stage</w:t>
            </w:r>
          </w:p>
        </w:tc>
      </w:tr>
      <w:tr>
        <w:trPr>
          <w:cantSplit/>
        </w:trPr>
        <w:tc>
          <w:tcPr>
            <w:tcW w:type="dxa" w:w="2257"/>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T_IaC</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String / Tree</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Multi-cloud Infrastructure-as-Code template</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Manager Agent</w:t>
            </w:r>
          </w:p>
        </w:tc>
      </w:tr>
      <w:tr>
        <w:trPr>
          <w:cantSplit/>
        </w:trPr>
        <w:tc>
          <w:tcPr>
            <w:tcW w:type="dxa" w:w="2257"/>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G_cst</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CST Syntax Tree</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CST generated via Tree-sitter parser</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AST Parser Agent</w:t>
            </w:r>
          </w:p>
        </w:tc>
      </w:tr>
      <w:tr>
        <w:trPr>
          <w:cantSplit/>
        </w:trPr>
        <w:tc>
          <w:tcPr>
            <w:tcW w:type="dxa" w:w="2257"/>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G_dep</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Graph (V, E)</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Resource dependency graph extracted from resolved constructs</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AST Parser Agent</w:t>
            </w:r>
          </w:p>
        </w:tc>
      </w:tr>
      <w:tr>
        <w:trPr>
          <w:cantSplit/>
        </w:trPr>
        <w:tc>
          <w:tcPr>
            <w:tcW w:type="dxa" w:w="2257"/>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V, C</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Set of Vars/Configs</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Variables and conditional/configuration constructs</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AST Parser Agent</w:t>
            </w:r>
          </w:p>
        </w:tc>
      </w:tr>
      <w:tr>
        <w:trPr>
          <w:cantSplit/>
        </w:trPr>
        <w:tc>
          <w:tcPr>
            <w:tcW w:type="dxa" w:w="2257"/>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H(X)</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Real in [0 8]</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Shannon Entropy of candidate string X</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Secrets Scanner</w:t>
            </w:r>
          </w:p>
        </w:tc>
      </w:tr>
      <w:tr>
        <w:trPr>
          <w:cantSplit/>
        </w:trPr>
        <w:tc>
          <w:tcPr>
            <w:tcW w:type="dxa" w:w="2257"/>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S_hybrid</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Real in [0 1]</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Hybrid dense-sparse semantic relevance score</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RAG Query Agent</w:t>
            </w:r>
          </w:p>
        </w:tc>
      </w:tr>
      <w:tr>
        <w:trPr>
          <w:cantSplit/>
        </w:trPr>
        <w:tc>
          <w:tcPr>
            <w:tcW w:type="dxa" w:w="2257"/>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C_ensemble</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Real in [0 1]</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Multi-LLM consensus confidence score of Claude &amp; GPT-4o</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Analyst Agent</w:t>
            </w:r>
          </w:p>
        </w:tc>
      </w:tr>
      <w:tr>
        <w:trPr>
          <w:cantSplit/>
        </w:trPr>
        <w:tc>
          <w:tcPr>
            <w:tcW w:type="dxa" w:w="2257"/>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B(r) X(r)</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In [0 1]</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Blast-radius and topological exposure of compromised resource r</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Prioritiser Engine</w:t>
            </w:r>
          </w:p>
        </w:tc>
      </w:tr>
      <w:tr>
        <w:trPr>
          <w:cantSplit/>
        </w:trPr>
        <w:tc>
          <w:tcPr>
            <w:tcW w:type="dxa" w:w="2257"/>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P(v)</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Real in [0 100]</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Composite priority score combining severity, exposure, &amp; blast</w:t>
            </w:r>
          </w:p>
        </w:tc>
        <w:tc>
          <w:tcPr>
            <w:tcW w:type="dxa" w:w="2257"/>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Prioritiser Engine</w:t>
            </w:r>
          </w:p>
        </w:tc>
      </w:tr>
      <w:tr>
        <w:trPr>
          <w:cantSplit/>
        </w:trPr>
        <w:tc>
          <w:tcPr>
            <w:tcW w:type="dxa" w:w="2257"/>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Delta_patch</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POSIX Unified Diff</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Synthesized line-level code patch targeting specific resources</w:t>
            </w:r>
          </w:p>
        </w:tc>
        <w:tc>
          <w:tcPr>
            <w:tcW w:type="dxa" w:w="2257"/>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Remediation Agent</w:t>
            </w:r>
          </w:p>
        </w:tc>
      </w:tr>
      <w:tr>
        <w:trPr>
          <w:cantSplit/>
        </w:trPr>
        <w:tc>
          <w:tcPr>
            <w:tcW w:type="dxa" w:w="2257"/>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Omega_Total</w:t>
            </w:r>
          </w:p>
        </w:tc>
        <w:tc>
          <w:tcPr>
            <w:tcW w:type="dxa" w:w="2257"/>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Binary {0, 1}</w:t>
            </w:r>
          </w:p>
        </w:tc>
        <w:tc>
          <w:tcPr>
            <w:tcW w:type="dxa" w:w="2257"/>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Two-tier validation outcome combining linter and sandbox</w:t>
            </w:r>
          </w:p>
        </w:tc>
        <w:tc>
          <w:tcPr>
            <w:tcW w:type="dxa" w:w="2257"/>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Validator Agent</w:t>
            </w:r>
          </w:p>
        </w:tc>
      </w:tr>
    </w:tbl>
    <w:p>
      <w:pPr>
        <w:spacing w:after="80"/>
      </w:pPr>
    </w:p>
    <w:p>
      <w:pPr>
        <w:spacing w:before="0" w:after="90" w:line="269" w:lineRule="auto"/>
        <w:jc w:val="both"/>
      </w:pPr>
      <w:r>
        <w:rPr>
          <w:rFonts w:ascii="Times New Roman" w:hAnsi="Times New Roman"/>
          <w:b/>
          <w:color w:val="0F172A"/>
          <w:sz w:val="21"/>
        </w:rPr>
        <w:t xml:space="preserve">Formulations: </w:t>
      </w:r>
      <w:r>
        <w:rPr>
          <w:rFonts w:ascii="Times New Roman" w:hAnsi="Times New Roman"/>
          <w:color w:val="141414"/>
          <w:sz w:val="21"/>
        </w:rPr>
        <w:t>1) Dynamic CST Parameter Resolution and Dependency Extraction: Given an IaC template T, Tree-sitter generates a Concrete Syntax Tree (G_cst), and parameter, variables and conditional constructs are resolved to extract resource dependency graph (G_dep):</w:t>
      </w:r>
    </w:p>
    <w:p>
      <w:pPr>
        <w:spacing w:before="40" w:after="70" w:line="252" w:lineRule="auto"/>
        <w:jc w:val="both"/>
      </w:pPr>
      <w:r>
        <w:rPr>
          <w:rFonts w:ascii="Times New Roman" w:hAnsi="Times New Roman"/>
          <w:i/>
          <w:color w:val="0A192F"/>
          <w:sz w:val="20"/>
        </w:rPr>
        <w:t xml:space="preserve">    G_cst = Phi_CST(T_IaC, V, C)</w:t>
      </w:r>
      <w:r>
        <w:tab/>
        <w:tab/>
      </w:r>
      <w:r>
        <w:rPr>
          <w:rFonts w:ascii="Times New Roman" w:hAnsi="Times New Roman"/>
          <w:b/>
          <w:color w:val="475569"/>
          <w:sz w:val="20"/>
        </w:rPr>
        <w:t>(1)</w:t>
      </w:r>
    </w:p>
    <w:p>
      <w:pPr>
        <w:spacing w:before="0" w:after="90" w:line="269" w:lineRule="auto"/>
        <w:jc w:val="both"/>
      </w:pPr>
      <w:r>
        <w:rPr>
          <w:rFonts w:ascii="Times New Roman" w:hAnsi="Times New Roman"/>
          <w:color w:val="141414"/>
          <w:sz w:val="21"/>
        </w:rPr>
        <w:t>Where V and C represent variables and conditional or configuration constructs respectively.</w:t>
      </w:r>
    </w:p>
    <w:p>
      <w:pPr>
        <w:spacing w:before="0" w:after="90" w:line="269" w:lineRule="auto"/>
        <w:jc w:val="both"/>
      </w:pPr>
      <w:r>
        <w:rPr>
          <w:rFonts w:ascii="Times New Roman" w:hAnsi="Times New Roman"/>
          <w:color w:val="141414"/>
          <w:sz w:val="21"/>
        </w:rPr>
        <w:t>2) Information-Theoretic Secret Detection: The Shannon entropy of a string literal X is calculated as:</w:t>
      </w:r>
    </w:p>
    <w:p>
      <w:pPr>
        <w:spacing w:before="40" w:after="70" w:line="252" w:lineRule="auto"/>
        <w:jc w:val="both"/>
      </w:pPr>
      <w:r>
        <w:rPr>
          <w:rFonts w:ascii="Times New Roman" w:hAnsi="Times New Roman"/>
          <w:i/>
          <w:color w:val="0A192F"/>
          <w:sz w:val="20"/>
        </w:rPr>
        <w:t xml:space="preserve">    H(X) = - Sum_{i=1}^{|Sigma|} P(c_i) * log_2(P(c_i)),  where P(c_i) = Count(c_i, X) / L</w:t>
      </w:r>
      <w:r>
        <w:tab/>
        <w:tab/>
      </w:r>
      <w:r>
        <w:rPr>
          <w:rFonts w:ascii="Times New Roman" w:hAnsi="Times New Roman"/>
          <w:b/>
          <w:color w:val="475569"/>
          <w:sz w:val="20"/>
        </w:rPr>
        <w:t>(2)</w:t>
      </w:r>
    </w:p>
    <w:p>
      <w:pPr>
        <w:spacing w:before="0" w:after="90" w:line="269" w:lineRule="auto"/>
        <w:jc w:val="both"/>
      </w:pPr>
      <w:r>
        <w:rPr>
          <w:rFonts w:ascii="Times New Roman" w:hAnsi="Times New Roman"/>
          <w:color w:val="141414"/>
          <w:sz w:val="21"/>
        </w:rPr>
        <w:t>Where P(c_i) is the relative frequency of character c_i in string X and L is the length of the string. A candidate string literal is flagged and identified as a secret by the entropy component when H(X) &gt; TH, where the threshold TH is set to 3.8.</w:t>
      </w:r>
    </w:p>
    <w:p>
      <w:pPr>
        <w:spacing w:before="0" w:after="90" w:line="269" w:lineRule="auto"/>
        <w:jc w:val="both"/>
      </w:pPr>
      <w:r>
        <w:rPr>
          <w:rFonts w:ascii="Times New Roman" w:hAnsi="Times New Roman"/>
          <w:color w:val="141414"/>
          <w:sz w:val="21"/>
        </w:rPr>
        <w:t>3) Hybrid Dense-Sparse Semantic Relevance: The equation to compute relevance between a query q and document d is as follows:</w:t>
      </w:r>
    </w:p>
    <w:p>
      <w:pPr>
        <w:spacing w:before="40" w:after="70" w:line="252" w:lineRule="auto"/>
        <w:jc w:val="both"/>
      </w:pPr>
      <w:r>
        <w:rPr>
          <w:rFonts w:ascii="Times New Roman" w:hAnsi="Times New Roman"/>
          <w:i/>
          <w:color w:val="0A192F"/>
          <w:sz w:val="20"/>
        </w:rPr>
        <w:t xml:space="preserve">    S_hybrid(q, d) = alpha * CosineSim(e(q), e(d)) + (1 - alpha) * BM25(q, d)</w:t>
      </w:r>
      <w:r>
        <w:tab/>
        <w:tab/>
      </w:r>
      <w:r>
        <w:rPr>
          <w:rFonts w:ascii="Times New Roman" w:hAnsi="Times New Roman"/>
          <w:b/>
          <w:color w:val="475569"/>
          <w:sz w:val="20"/>
        </w:rPr>
        <w:t>(3)</w:t>
      </w:r>
    </w:p>
    <w:p>
      <w:pPr>
        <w:spacing w:before="0" w:after="90" w:line="269" w:lineRule="auto"/>
        <w:jc w:val="both"/>
      </w:pPr>
      <w:r>
        <w:rPr>
          <w:rFonts w:ascii="Times New Roman" w:hAnsi="Times New Roman"/>
          <w:color w:val="141414"/>
          <w:sz w:val="21"/>
        </w:rPr>
        <w:t>Where alpha = 0.7 and 1 - alpha = 0.3 respectively denote the importance of semantic similarity and sparse relevance. BM25 denotes the normalized BM25 function.</w:t>
      </w:r>
    </w:p>
    <w:p>
      <w:pPr>
        <w:spacing w:before="0" w:after="90" w:line="269" w:lineRule="auto"/>
        <w:jc w:val="both"/>
      </w:pPr>
      <w:r>
        <w:rPr>
          <w:rFonts w:ascii="Times New Roman" w:hAnsi="Times New Roman"/>
          <w:color w:val="141414"/>
          <w:sz w:val="21"/>
        </w:rPr>
        <w:t>4) Calibrated Multi-LLM Ensemble Confidence Metric: The confidence metric for the multi-LLM ensemble captures the structural agreement of the LLMs and defines the confidence of a vulnerability finding as:</w:t>
      </w:r>
    </w:p>
    <w:p>
      <w:pPr>
        <w:spacing w:before="40" w:after="70" w:line="252" w:lineRule="auto"/>
        <w:jc w:val="both"/>
      </w:pPr>
      <w:r>
        <w:rPr>
          <w:rFonts w:ascii="Times New Roman" w:hAnsi="Times New Roman"/>
          <w:i/>
          <w:color w:val="0A192F"/>
          <w:sz w:val="20"/>
        </w:rPr>
        <w:t xml:space="preserve">    C_ensemble(v) = w_1 * C(M_1, v) + w_2 * C(M_2, v) + gamma * Jaccard(S(M_1), S(M_2))</w:t>
      </w:r>
      <w:r>
        <w:tab/>
        <w:tab/>
      </w:r>
      <w:r>
        <w:rPr>
          <w:rFonts w:ascii="Times New Roman" w:hAnsi="Times New Roman"/>
          <w:b/>
          <w:color w:val="475569"/>
          <w:sz w:val="20"/>
        </w:rPr>
        <w:t>(4)</w:t>
      </w:r>
    </w:p>
    <w:p>
      <w:pPr>
        <w:spacing w:before="0" w:after="90" w:line="269" w:lineRule="auto"/>
        <w:jc w:val="both"/>
      </w:pPr>
      <w:r>
        <w:rPr>
          <w:rFonts w:ascii="Times New Roman" w:hAnsi="Times New Roman"/>
          <w:color w:val="141414"/>
          <w:sz w:val="21"/>
        </w:rPr>
        <w:t>5) Topological Blast-Radius and Composite Priority Score: For each vulnerability v associated with resource r, the framework combines normalized severity S_sev(v), exposure X(r), blast radius B(r), and ensemble confidence C_ensemble(v) to calculate a priority score:</w:t>
      </w:r>
    </w:p>
    <w:p>
      <w:pPr>
        <w:spacing w:before="40" w:after="70" w:line="252" w:lineRule="auto"/>
        <w:jc w:val="both"/>
      </w:pPr>
      <w:r>
        <w:rPr>
          <w:rFonts w:ascii="Times New Roman" w:hAnsi="Times New Roman"/>
          <w:i/>
          <w:color w:val="0A192F"/>
          <w:sz w:val="20"/>
        </w:rPr>
        <w:t xml:space="preserve">    P(v) = min(100.0, [0.50 * S_sev(v) + 0.30 * X(r) + 0.20 * B(r)] * [0.50 + 0.50 * C_ensemble(v)] * 100)</w:t>
      </w:r>
      <w:r>
        <w:tab/>
        <w:tab/>
      </w:r>
      <w:r>
        <w:rPr>
          <w:rFonts w:ascii="Times New Roman" w:hAnsi="Times New Roman"/>
          <w:b/>
          <w:color w:val="475569"/>
          <w:sz w:val="20"/>
        </w:rPr>
        <w:t>(5)</w:t>
      </w:r>
    </w:p>
    <w:p>
      <w:pPr>
        <w:spacing w:before="0" w:after="90" w:line="269" w:lineRule="auto"/>
        <w:jc w:val="both"/>
      </w:pPr>
      <w:r>
        <w:rPr>
          <w:rFonts w:ascii="Times New Roman" w:hAnsi="Times New Roman"/>
          <w:color w:val="141414"/>
          <w:sz w:val="21"/>
        </w:rPr>
        <w:t>6) Two-Tier Remediation Validation: A generated patch Delta_patch is accepted only when it satisfies both Tier-1 static/syntactic validation and Tier-2 provider-specific validation:</w:t>
      </w:r>
    </w:p>
    <w:p>
      <w:pPr>
        <w:spacing w:before="40" w:after="70" w:line="252" w:lineRule="auto"/>
        <w:jc w:val="both"/>
      </w:pPr>
      <w:r>
        <w:rPr>
          <w:rFonts w:ascii="Times New Roman" w:hAnsi="Times New Roman"/>
          <w:i/>
          <w:color w:val="0A192F"/>
          <w:sz w:val="20"/>
        </w:rPr>
        <w:t xml:space="preserve">    Omega_Total(Delta_patch) = Omega_Linter(T_IaC + Delta_patch) * Omega_Sandbox(T_IaC + Delta_patch)</w:t>
      </w:r>
      <w:r>
        <w:tab/>
        <w:tab/>
      </w:r>
      <w:r>
        <w:rPr>
          <w:rFonts w:ascii="Times New Roman" w:hAnsi="Times New Roman"/>
          <w:b/>
          <w:color w:val="475569"/>
          <w:sz w:val="20"/>
        </w:rPr>
        <w:t>(6)</w:t>
      </w:r>
    </w:p>
    <w:p>
      <w:pPr>
        <w:pStyle w:val="ListParagraph"/>
        <w:keepNext/>
        <w:spacing w:before="200" w:after="80"/>
        <w:jc w:val="left"/>
        <w:numPr>
          <w:ilvl w:val="1"/>
          <w:numId w:val="20"/>
        </w:numPr>
      </w:pPr>
      <w:r>
        <w:rPr>
          <w:rFonts w:ascii="Times New Roman" w:hAnsi="Times New Roman"/>
          <w:b/>
          <w:color w:val="0F172A"/>
          <w:sz w:val="23"/>
        </w:rPr>
        <w:t>Additional Theoretical Formulations and Algorithmic Metrics</w:t>
      </w:r>
    </w:p>
    <w:p>
      <w:pPr>
        <w:spacing w:before="0" w:after="90" w:line="269" w:lineRule="auto"/>
        <w:jc w:val="both"/>
      </w:pPr>
      <w:r>
        <w:rPr>
          <w:rFonts w:ascii="Times New Roman" w:hAnsi="Times New Roman"/>
          <w:color w:val="141414"/>
          <w:sz w:val="21"/>
        </w:rPr>
        <w:t>7) Reciprocal Rank Fusion (RRF) for Hybrid Compliance Retrieval: To combine dense semantic vector rankings from Qdrant HNSW with sparse lexical rankings from BM25 without requiring score normalization, the RAG Query Agent computes the Reciprocal Rank Fusion score:</w:t>
      </w:r>
    </w:p>
    <w:p>
      <w:pPr>
        <w:spacing w:before="40" w:after="70" w:line="252" w:lineRule="auto"/>
        <w:jc w:val="both"/>
      </w:pPr>
      <w:r>
        <w:rPr>
          <w:rFonts w:ascii="Times New Roman" w:hAnsi="Times New Roman"/>
          <w:i/>
          <w:color w:val="0A192F"/>
          <w:sz w:val="20"/>
        </w:rPr>
        <w:t xml:space="preserve">    RRF_Score(d) = Sum_{m in {Dense, Sparse}} [ 1 / (k_rrf + r_m(d)) ]</w:t>
      </w:r>
      <w:r>
        <w:tab/>
        <w:tab/>
      </w:r>
      <w:r>
        <w:rPr>
          <w:rFonts w:ascii="Times New Roman" w:hAnsi="Times New Roman"/>
          <w:b/>
          <w:color w:val="475569"/>
          <w:sz w:val="20"/>
        </w:rPr>
        <w:t>(7)</w:t>
      </w:r>
    </w:p>
    <w:p>
      <w:pPr>
        <w:spacing w:before="0" w:after="90" w:line="269" w:lineRule="auto"/>
        <w:jc w:val="both"/>
      </w:pPr>
      <w:r>
        <w:rPr>
          <w:rFonts w:ascii="Times New Roman" w:hAnsi="Times New Roman"/>
          <w:color w:val="141414"/>
          <w:sz w:val="21"/>
        </w:rPr>
        <w:t>Where r_m(d) in {1, 2, ..., N} denotes the ordinal rank of compliance passage d under retrieval model m, and k_rrf = 60 is the Bayesian rank smoothing constant.</w:t>
      </w:r>
    </w:p>
    <w:p>
      <w:pPr>
        <w:spacing w:before="0" w:after="90" w:line="269" w:lineRule="auto"/>
        <w:jc w:val="both"/>
      </w:pPr>
      <w:r>
        <w:rPr>
          <w:rFonts w:ascii="Times New Roman" w:hAnsi="Times New Roman"/>
          <w:color w:val="141414"/>
          <w:sz w:val="21"/>
        </w:rPr>
        <w:t>8) Concrete Syntax Tree Dice Agreement Formulation: The structural node-level agreement between candidate diff patches delta_1 (synthesized by Claude 3.5 Sonnet) and delta_2 (synthesized by GPT-4o) is evaluated via Dice similarity on CST subtrees:</w:t>
      </w:r>
    </w:p>
    <w:p>
      <w:pPr>
        <w:spacing w:before="40" w:after="70" w:line="252" w:lineRule="auto"/>
        <w:jc w:val="both"/>
      </w:pPr>
      <w:r>
        <w:rPr>
          <w:rFonts w:ascii="Times New Roman" w:hAnsi="Times New Roman"/>
          <w:i/>
          <w:color w:val="0A192F"/>
          <w:sz w:val="20"/>
        </w:rPr>
        <w:t xml:space="preserve">    S_dice(delta_1, delta_2) = [ 2 * |Nodes(G_cst(delta_1)) cap Nodes(G_cst(delta_2))| ] / [ |Nodes(G_cst(delta_1))| + |Nodes(G_cst(delta_2))| ]</w:t>
      </w:r>
      <w:r>
        <w:tab/>
        <w:tab/>
      </w:r>
      <w:r>
        <w:rPr>
          <w:rFonts w:ascii="Times New Roman" w:hAnsi="Times New Roman"/>
          <w:b/>
          <w:color w:val="475569"/>
          <w:sz w:val="20"/>
        </w:rPr>
        <w:t>(8)</w:t>
      </w:r>
    </w:p>
    <w:p>
      <w:pPr>
        <w:spacing w:before="0" w:after="90" w:line="269" w:lineRule="auto"/>
        <w:jc w:val="both"/>
      </w:pPr>
      <w:r>
        <w:rPr>
          <w:rFonts w:ascii="Times New Roman" w:hAnsi="Times New Roman"/>
          <w:color w:val="141414"/>
          <w:sz w:val="21"/>
        </w:rPr>
        <w:t>A patch is dispatched to the containerized sandbox if and only if S_dice(delta_1, delta_2) &gt;= 0.92, ensuring near-perfect structural agreement.</w:t>
      </w:r>
    </w:p>
    <w:p>
      <w:pPr>
        <w:spacing w:before="0" w:after="90" w:line="269" w:lineRule="auto"/>
        <w:jc w:val="both"/>
      </w:pPr>
      <w:r>
        <w:rPr>
          <w:rFonts w:ascii="Times New Roman" w:hAnsi="Times New Roman"/>
          <w:color w:val="141414"/>
          <w:sz w:val="21"/>
        </w:rPr>
        <w:t>9) Multi-Cloud Domain-Specific Execution Scoring Function: Candidate patches are evaluated across syntactic, planning, and deployment tiers parameterized by provider domain Phi:</w:t>
      </w:r>
    </w:p>
    <w:p>
      <w:pPr>
        <w:spacing w:before="40" w:after="70" w:line="252" w:lineRule="auto"/>
        <w:jc w:val="both"/>
      </w:pPr>
      <w:r>
        <w:rPr>
          <w:rFonts w:ascii="Times New Roman" w:hAnsi="Times New Roman"/>
          <w:i/>
          <w:color w:val="0A192F"/>
          <w:sz w:val="20"/>
        </w:rPr>
        <w:t xml:space="preserve">    V_score(delta, Phi) = 0.20 * S_syntax(delta) + 0.30 * S_plan(delta) + 0.50 * S_apply(delta, Phi)</w:t>
      </w:r>
      <w:r>
        <w:tab/>
        <w:tab/>
      </w:r>
      <w:r>
        <w:rPr>
          <w:rFonts w:ascii="Times New Roman" w:hAnsi="Times New Roman"/>
          <w:b/>
          <w:color w:val="475569"/>
          <w:sz w:val="20"/>
        </w:rPr>
        <w:t>(9)</w:t>
      </w:r>
    </w:p>
    <w:p>
      <w:pPr>
        <w:spacing w:before="0" w:after="90" w:line="269" w:lineRule="auto"/>
        <w:jc w:val="both"/>
      </w:pPr>
      <w:r>
        <w:rPr>
          <w:rFonts w:ascii="Times New Roman" w:hAnsi="Times New Roman"/>
          <w:color w:val="141414"/>
          <w:sz w:val="21"/>
        </w:rPr>
        <w:t>Where S_apply(delta, Phi) evaluates containerized LocalStack for AWS, Azurite mock storage for Azure, GCP Vet for GCP, and isolated K3s clusters for Kubernetes. A patch is accepted if and only if V_score = 1.0.</w:t>
      </w:r>
    </w:p>
    <w:p>
      <w:pPr>
        <w:spacing w:before="0" w:after="90" w:line="269" w:lineRule="auto"/>
        <w:jc w:val="both"/>
      </w:pPr>
      <w:r>
        <w:rPr>
          <w:rFonts w:ascii="Times New Roman" w:hAnsi="Times New Roman"/>
          <w:color w:val="141414"/>
          <w:sz w:val="21"/>
        </w:rPr>
        <w:t>10) Enterprise Financial Expenditure and MTTR Reduction Model: Total monthly enterprise vulnerability triage expenditure is modeled as:</w:t>
      </w:r>
    </w:p>
    <w:p>
      <w:pPr>
        <w:spacing w:before="40" w:after="70" w:line="252" w:lineRule="auto"/>
        <w:jc w:val="both"/>
      </w:pPr>
      <w:r>
        <w:rPr>
          <w:rFonts w:ascii="Times New Roman" w:hAnsi="Times New Roman"/>
          <w:i/>
          <w:color w:val="0A192F"/>
          <w:sz w:val="20"/>
        </w:rPr>
        <w:t xml:space="preserve">    Cost_total = ( N_FP * T_triage + N_TP * T_action ) * Rate_eng</w:t>
      </w:r>
      <w:r>
        <w:tab/>
        <w:tab/>
      </w:r>
      <w:r>
        <w:rPr>
          <w:rFonts w:ascii="Times New Roman" w:hAnsi="Times New Roman"/>
          <w:b/>
          <w:color w:val="475569"/>
          <w:sz w:val="20"/>
        </w:rPr>
        <w:t>(10)</w:t>
      </w:r>
    </w:p>
    <w:p>
      <w:pPr>
        <w:spacing w:before="0" w:after="90" w:line="269" w:lineRule="auto"/>
        <w:jc w:val="both"/>
      </w:pPr>
      <w:r>
        <w:rPr>
          <w:rFonts w:ascii="Times New Roman" w:hAnsi="Times New Roman"/>
          <w:color w:val="141414"/>
          <w:sz w:val="21"/>
        </w:rPr>
        <w:t>Where Rate_eng = $100/hr, T_triage = 0.30 hr (18 min per false alarm), manual T_action = 2.50 hr, and automated AgentShield AI PR review T_action = 0.05 hr (3 min). Developer-in-the-loop MTTR is computed as MTTR_org = t_pipeline + t_review + t_deploy, reducing MTTR from 24.6 days to &lt; 4 hours.</w:t>
      </w:r>
    </w:p>
    <w:p>
      <w:pPr>
        <w:pStyle w:val="ListParagraph"/>
        <w:keepNext/>
        <w:spacing w:before="280" w:after="80"/>
        <w:jc w:val="left"/>
        <w:numPr>
          <w:ilvl w:val="0"/>
          <w:numId w:val="20"/>
        </w:numPr>
      </w:pPr>
      <w:r>
        <w:rPr>
          <w:rFonts w:ascii="Times New Roman" w:hAnsi="Times New Roman"/>
          <w:b/>
          <w:color w:val="0F172A"/>
          <w:sz w:val="25"/>
        </w:rPr>
        <w:t>Experimental Setup and Benchmark Methodology</w:t>
      </w:r>
    </w:p>
    <w:p>
      <w:pPr>
        <w:spacing w:before="0" w:after="90" w:line="269" w:lineRule="auto"/>
        <w:jc w:val="both"/>
      </w:pPr>
      <w:r>
        <w:rPr>
          <w:rFonts w:ascii="Times New Roman" w:hAnsi="Times New Roman"/>
          <w:color w:val="141414"/>
          <w:sz w:val="21"/>
        </w:rPr>
        <w:t>To rigorously evaluate AgentShield AI across multi-cloud environments, we curated a benchmark corpus of 2,450 Infrastructure-as-Code templates spanning HashiCorp Terraform (HCL2), AWS CloudFormation (JSON/YAML), Kubernetes Manifests, and Helm Charts. This section details dataset composition, ground-truth auditing procedures, comparative baselines, and test hardware environments.</w:t>
      </w:r>
    </w:p>
    <w:p>
      <w:pPr>
        <w:pStyle w:val="ListParagraph"/>
        <w:keepNext/>
        <w:spacing w:before="200" w:after="80"/>
        <w:jc w:val="left"/>
        <w:numPr>
          <w:ilvl w:val="1"/>
          <w:numId w:val="20"/>
        </w:numPr>
      </w:pPr>
      <w:r>
        <w:rPr>
          <w:rFonts w:ascii="Times New Roman" w:hAnsi="Times New Roman"/>
          <w:b/>
          <w:color w:val="0F172A"/>
          <w:sz w:val="23"/>
        </w:rPr>
        <w:t>Benchmark Corpus Composition</w:t>
      </w:r>
    </w:p>
    <w:p>
      <w:pPr>
        <w:spacing w:before="0" w:after="90" w:line="269" w:lineRule="auto"/>
        <w:jc w:val="both"/>
      </w:pPr>
      <w:r>
        <w:rPr>
          <w:rFonts w:ascii="Times New Roman" w:hAnsi="Times New Roman"/>
          <w:color w:val="141414"/>
          <w:sz w:val="21"/>
        </w:rPr>
        <w:t>The evaluation benchmark is constructed from three distinct complementary suites:</w:t>
      </w:r>
    </w:p>
    <w:p>
      <w:pPr>
        <w:spacing w:before="0" w:after="90" w:line="269" w:lineRule="auto"/>
        <w:jc w:val="both"/>
      </w:pPr>
      <w:r>
        <w:rPr>
          <w:rFonts w:ascii="Times New Roman" w:hAnsi="Times New Roman"/>
          <w:b/>
          <w:color w:val="0F172A"/>
          <w:sz w:val="21"/>
        </w:rPr>
        <w:t xml:space="preserve">• </w:t>
      </w:r>
      <w:r>
        <w:rPr>
          <w:rFonts w:ascii="Times New Roman" w:hAnsi="Times New Roman"/>
          <w:color w:val="141414"/>
          <w:sz w:val="21"/>
        </w:rPr>
        <w:t>1) Production Enterprise Corpus (PEC-1500): 1,500 real-world production templates harvested from top-starred enterprise repositories across AWS (600 templates), Azure (500 templates), and GCP (400 templates). Selection criteria mandated &gt;= 50 GitHub stars, active commits between 2021 and 2025, and &gt;= 5 declared cloud resources.</w:t>
      </w:r>
    </w:p>
    <w:p>
      <w:pPr>
        <w:spacing w:before="0" w:after="90" w:line="269" w:lineRule="auto"/>
        <w:jc w:val="both"/>
      </w:pPr>
      <w:r>
        <w:rPr>
          <w:rFonts w:ascii="Times New Roman" w:hAnsi="Times New Roman"/>
          <w:b/>
          <w:color w:val="0F172A"/>
          <w:sz w:val="21"/>
        </w:rPr>
        <w:t xml:space="preserve">• </w:t>
      </w:r>
      <w:r>
        <w:rPr>
          <w:rFonts w:ascii="Times New Roman" w:hAnsi="Times New Roman"/>
          <w:color w:val="141414"/>
          <w:sz w:val="21"/>
        </w:rPr>
        <w:t>2) Synthetic Security Benchmark (SSB-650): 650 synthetic templates containing 3,250 systematically injected vulnerabilities mapped to the OWASP Cloud Top 10 and CWE-732, CWE-250, and CWE-798.</w:t>
      </w:r>
    </w:p>
    <w:p>
      <w:pPr>
        <w:spacing w:before="0" w:after="90" w:line="269" w:lineRule="auto"/>
        <w:jc w:val="both"/>
      </w:pPr>
      <w:r>
        <w:rPr>
          <w:rFonts w:ascii="Times New Roman" w:hAnsi="Times New Roman"/>
          <w:b/>
          <w:color w:val="0F172A"/>
          <w:sz w:val="21"/>
        </w:rPr>
        <w:t xml:space="preserve">• </w:t>
      </w:r>
      <w:r>
        <w:rPr>
          <w:rFonts w:ascii="Times New Roman" w:hAnsi="Times New Roman"/>
          <w:color w:val="141414"/>
          <w:sz w:val="21"/>
        </w:rPr>
        <w:t>3) Toprani-Madisetti Benchmark (TMB-300): 300 complex multi-resource templates from [19] specifically designed to evaluate dynamic expression evaluation, ternary operators, and inter-module variable references.</w:t>
      </w:r>
    </w:p>
    <w:p>
      <w:pPr>
        <w:pStyle w:val="ListParagraph"/>
        <w:keepNext/>
        <w:spacing w:before="200" w:after="80"/>
        <w:jc w:val="left"/>
        <w:numPr>
          <w:ilvl w:val="1"/>
          <w:numId w:val="20"/>
        </w:numPr>
      </w:pPr>
      <w:r>
        <w:rPr>
          <w:rFonts w:ascii="Times New Roman" w:hAnsi="Times New Roman"/>
          <w:b/>
          <w:color w:val="0F172A"/>
          <w:sz w:val="23"/>
        </w:rPr>
        <w:t>Ground-Truth Auditing, Deduplication, and Baselines</w:t>
      </w:r>
    </w:p>
    <w:p>
      <w:pPr>
        <w:spacing w:before="0" w:after="90" w:line="269" w:lineRule="auto"/>
        <w:jc w:val="both"/>
      </w:pPr>
      <w:r>
        <w:rPr>
          <w:rFonts w:ascii="Times New Roman" w:hAnsi="Times New Roman"/>
          <w:color w:val="141414"/>
          <w:sz w:val="21"/>
        </w:rPr>
        <w:t>Ground truth was established through triple-blind manual verification conducted by three certified senior cloud security architects (each possessing &gt;= 5 years of enterprise DevSecOps experience). Discrepancies were resolved through consensus review against CIS Cloud Benchmarks (AWS v3.0, Azure v2.1, GCP v2.0) and NIST SP 800-53 Rev. 5 controls, achieving an inter-annotator concordance of Cohen's Kappa = 0.91. Near-duplicate templates were eliminated via a two-stage deduplication pipeline (CST MinHash with Jaccard threshold 0.85 and SHA-256 digest matching), purging 418 duplicate templates.</w:t>
      </w:r>
    </w:p>
    <w:p>
      <w:pPr>
        <w:spacing w:before="0" w:after="90" w:line="269" w:lineRule="auto"/>
        <w:jc w:val="both"/>
      </w:pPr>
      <w:r>
        <w:rPr>
          <w:rFonts w:ascii="Times New Roman" w:hAnsi="Times New Roman"/>
          <w:color w:val="141414"/>
          <w:sz w:val="21"/>
        </w:rPr>
        <w:t>AgentShield AI was evaluated against four leading static linters (Checkov v3.2 [6], tfsec v1.28 [7], KICS v2.1 [8], Trivy v0.51 [9]), two zero-shot frontier LLMs (Zero-Shot GPT-4o, Zero-Shot Claude 3.5 Sonnet), and the base IEEE framework by Toprani &amp; Madisetti (2025) [19]. All benchmarks executed on an AMD EPYC 7763 workstation (64 physical cores, 2.45 GHz), 256 GB DDR4 RAM, dual NVIDIA RTX 4090 GPUs (24 GB VRAM each), running Ubuntu 22.04 LTS, Docker Engine 26.1, LocalStack v3.4, and Azurite v3.30. All metrics report the mean across 5 independent randomized runs, with statistical significance established using two-tailed Wilcoxon signed-rank tests (p &lt; 0.001).</w:t>
      </w:r>
    </w:p>
    <w:p>
      <w:pPr>
        <w:pStyle w:val="ListParagraph"/>
        <w:keepNext/>
        <w:spacing w:before="280" w:after="80"/>
        <w:jc w:val="left"/>
        <w:numPr>
          <w:ilvl w:val="0"/>
          <w:numId w:val="20"/>
        </w:numPr>
      </w:pPr>
      <w:r>
        <w:rPr>
          <w:rFonts w:ascii="Times New Roman" w:hAnsi="Times New Roman"/>
          <w:b/>
          <w:color w:val="0F172A"/>
          <w:sz w:val="25"/>
        </w:rPr>
        <w:t>Results and Discussion</w:t>
      </w:r>
    </w:p>
    <w:p>
      <w:pPr>
        <w:spacing w:before="0" w:after="90" w:line="269" w:lineRule="auto"/>
        <w:jc w:val="both"/>
      </w:pPr>
      <w:r>
        <w:rPr>
          <w:rFonts w:ascii="Times New Roman" w:hAnsi="Times New Roman"/>
          <w:color w:val="141414"/>
          <w:sz w:val="21"/>
        </w:rPr>
        <w:t>Results presented in this section report on studies that I conducted to assess the precision of scanning, threat modeling, benchmark vulnerability detection validate multi‑cloud remediations and measure latency among other tasks. Results also report on component ablations and the financial impact of integrating the technology in an organization.</w:t>
      </w:r>
    </w:p>
    <w:p>
      <w:pPr>
        <w:pStyle w:val="ListParagraph"/>
        <w:keepNext/>
        <w:spacing w:before="200" w:after="80"/>
        <w:jc w:val="left"/>
        <w:numPr>
          <w:ilvl w:val="1"/>
          <w:numId w:val="20"/>
        </w:numPr>
      </w:pPr>
      <w:r>
        <w:rPr>
          <w:rFonts w:ascii="Times New Roman" w:hAnsi="Times New Roman"/>
          <w:b/>
          <w:color w:val="0F172A"/>
          <w:sz w:val="23"/>
        </w:rPr>
        <w:t>Benchmark Vulnerability Detection</w:t>
      </w:r>
    </w:p>
    <w:p>
      <w:pPr>
        <w:spacing w:before="0" w:after="90" w:line="269" w:lineRule="auto"/>
        <w:jc w:val="both"/>
      </w:pPr>
      <w:r>
        <w:rPr>
          <w:rFonts w:ascii="Times New Roman" w:hAnsi="Times New Roman"/>
          <w:color w:val="141414"/>
          <w:sz w:val="21"/>
        </w:rPr>
        <w:t>Results presented in this section report on the performance of AgentShield in detecting vulnerabilities in 2,450 multi‑cloud templates compared to static analysis tools. AgentShield outperformed the static analysis tools by a wide margin and reported far fewer false positives. The other analysis tools reported thousands of positives. Zero‑shot LLMs improved performance compared to tools; however they reported a high rate of hallucinations.</w:t>
      </w:r>
    </w:p>
    <w:p>
      <w:pPr>
        <w:spacing w:before="200" w:after="60"/>
        <w:jc w:val="left"/>
      </w:pPr>
      <w:r>
        <w:rPr>
          <w:rFonts w:ascii="Times New Roman" w:hAnsi="Times New Roman"/>
          <w:b/>
          <w:color w:val="0F172A"/>
          <w:sz w:val="20"/>
        </w:rPr>
        <w:t xml:space="preserve">Table 3: </w:t>
      </w:r>
      <w:r>
        <w:rPr>
          <w:rFonts w:ascii="Times New Roman" w:hAnsi="Times New Roman"/>
          <w:color w:val="1E293B"/>
          <w:sz w:val="20"/>
        </w:rPr>
        <w:t>Comparative Vulnerability Detection Performance Across 2,450 Multi-Cloud Templates (Mean ± 1SD)</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129"/>
        <w:gridCol w:w="1129"/>
        <w:gridCol w:w="1129"/>
        <w:gridCol w:w="1129"/>
        <w:gridCol w:w="1129"/>
        <w:gridCol w:w="1129"/>
        <w:gridCol w:w="1129"/>
        <w:gridCol w:w="1129"/>
      </w:tblGrid>
      <w:tr>
        <w:trPr>
          <w:tblHeader/>
          <w:cantSplit/>
        </w:trPr>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Framework / Tool</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Total Scanned</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TP</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FP</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FN</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Precision (%)</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Recall (%)</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F1-Score (%)</w:t>
            </w:r>
          </w:p>
        </w:tc>
      </w:tr>
      <w:tr>
        <w:trPr>
          <w:cantSplit/>
        </w:trPr>
        <w:tc>
          <w:tcPr>
            <w:tcW w:type="dxa" w:w="1129"/>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Checkov v3.2 [6]</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4,620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2,785</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2,800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62.4 ± 0.4%</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62.3 ± 0.5%</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62.3 ± 0.4%</w:t>
            </w:r>
          </w:p>
        </w:tc>
      </w:tr>
      <w:tr>
        <w:trPr>
          <w:cantSplit/>
        </w:trPr>
        <w:tc>
          <w:tcPr>
            <w:tcW w:type="dxa" w:w="1129"/>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tfsec v1.28 [7]</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5,030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2,390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2,390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67.8 ± 0.5%</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67.8 ± 0.4%</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67.8 ± 0.4%</w:t>
            </w:r>
          </w:p>
        </w:tc>
      </w:tr>
      <w:tr>
        <w:trPr>
          <w:cantSplit/>
        </w:trPr>
        <w:tc>
          <w:tcPr>
            <w:tcW w:type="dxa" w:w="1129"/>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KICS v2.1 [8]</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4,830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2,590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2,590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65.1 ± 0.4%</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65.1 ± 0.5%</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65.1 ± 0.4%</w:t>
            </w:r>
          </w:p>
        </w:tc>
      </w:tr>
      <w:tr>
        <w:trPr>
          <w:cantSplit/>
        </w:trPr>
        <w:tc>
          <w:tcPr>
            <w:tcW w:type="dxa" w:w="1129"/>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Trivy v0.51 [9]</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5,110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2,310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2,310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68.9 ± 0.3%</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68.9 ± 0.4%</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68.9 ± 0.3%</w:t>
            </w:r>
          </w:p>
        </w:tc>
      </w:tr>
      <w:tr>
        <w:trPr>
          <w:cantSplit/>
        </w:trPr>
        <w:tc>
          <w:tcPr>
            <w:tcW w:type="dxa" w:w="1129"/>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Zero-Shot GPT-4o</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6,150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1,420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1,270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81.2 ± 0.8%</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82.9 ± 0.9%</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82.0 ± 0.7%</w:t>
            </w:r>
          </w:p>
        </w:tc>
      </w:tr>
      <w:tr>
        <w:trPr>
          <w:cantSplit/>
        </w:trPr>
        <w:tc>
          <w:tcPr>
            <w:tcW w:type="dxa" w:w="1129"/>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Zero-Shot Claude 3.5</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6,410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1,180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1,010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84.5 ± 0.7%</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86.4 ± 0.8%</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85.4 ± 0.6%</w:t>
            </w:r>
          </w:p>
        </w:tc>
      </w:tr>
      <w:tr>
        <w:trPr>
          <w:cantSplit/>
        </w:trPr>
        <w:tc>
          <w:tcPr>
            <w:tcW w:type="dxa" w:w="1129"/>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Toprani &amp; Madisetti [19]</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6,280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1,310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1,140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82.7 ± 0.6%</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84.6 ± 0.7%</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83.6 ± 0.6%</w:t>
            </w:r>
          </w:p>
        </w:tc>
      </w:tr>
      <w:tr>
        <w:trPr>
          <w:cantSplit/>
        </w:trPr>
        <w:tc>
          <w:tcPr>
            <w:tcW w:type="dxa" w:w="1129"/>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AgentShield AI (Ours)</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2,450</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7,301</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66</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119</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99.1 ± 0.2%</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98.4 ± 0.3%</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98.7 ± 0.2%</w:t>
            </w:r>
          </w:p>
        </w:tc>
      </w:tr>
    </w:tbl>
    <w:p>
      <w:pPr>
        <w:spacing w:after="80"/>
      </w:pPr>
    </w:p>
    <w:p>
      <w:pPr>
        <w:spacing w:before="200" w:after="60"/>
        <w:jc w:val="center"/>
      </w:pPr>
    </w:p>
    <w:p>
      <w:r>
        <w:drawing>
          <wp:inline xmlns:a="http://schemas.openxmlformats.org/drawingml/2006/main" xmlns:pic="http://schemas.openxmlformats.org/drawingml/2006/picture">
            <wp:extent cx="5303520" cy="2506800"/>
            <wp:docPr id="2" name="Picture 2"/>
            <wp:cNvGraphicFramePr>
              <a:graphicFrameLocks noChangeAspect="1"/>
            </wp:cNvGraphicFramePr>
            <a:graphic>
              <a:graphicData uri="http://schemas.openxmlformats.org/drawingml/2006/picture">
                <pic:pic>
                  <pic:nvPicPr>
                    <pic:cNvPr id="0" name="fig_vulnerability_benchmark.png"/>
                    <pic:cNvPicPr/>
                  </pic:nvPicPr>
                  <pic:blipFill>
                    <a:blip r:embed="rId17"/>
                    <a:stretch>
                      <a:fillRect/>
                    </a:stretch>
                  </pic:blipFill>
                  <pic:spPr>
                    <a:xfrm>
                      <a:off x="0" y="0"/>
                      <a:ext cx="5303520" cy="2506800"/>
                    </a:xfrm>
                    <a:prstGeom prst="rect"/>
                  </pic:spPr>
                </pic:pic>
              </a:graphicData>
            </a:graphic>
          </wp:inline>
        </w:drawing>
      </w:r>
    </w:p>
    <w:p>
      <w:pPr>
        <w:spacing w:before="40" w:after="200" w:line="252" w:lineRule="auto"/>
        <w:jc w:val="both"/>
      </w:pPr>
      <w:r>
        <w:rPr>
          <w:rFonts w:ascii="Times New Roman" w:hAnsi="Times New Roman"/>
          <w:b/>
          <w:color w:val="0F172A"/>
          <w:sz w:val="19"/>
        </w:rPr>
        <w:t xml:space="preserve">Figure 2: </w:t>
      </w:r>
      <w:r>
        <w:rPr>
          <w:rFonts w:ascii="Times New Roman" w:hAnsi="Times New Roman"/>
          <w:color w:val="334155"/>
          <w:sz w:val="19"/>
        </w:rPr>
        <w:t>Results obtained from 2,450 templates comparing templates for: Precision, Recall and relative to Static Linters, LLMs and AgentShield AI. Bars show lower limits of uncertainty. The x‑axis shows the detection framework or tool name. The y‑axis shows the score for each metric.</w:t>
      </w:r>
    </w:p>
    <w:p>
      <w:pPr>
        <w:pStyle w:val="ListParagraph"/>
        <w:keepNext/>
        <w:spacing w:before="200" w:after="80"/>
        <w:jc w:val="left"/>
        <w:numPr>
          <w:ilvl w:val="1"/>
          <w:numId w:val="20"/>
        </w:numPr>
      </w:pPr>
      <w:r>
        <w:rPr>
          <w:rFonts w:ascii="Times New Roman" w:hAnsi="Times New Roman"/>
          <w:b/>
          <w:color w:val="0F172A"/>
          <w:sz w:val="23"/>
        </w:rPr>
        <w:t>Secret Detection and Calibration of Entropy</w:t>
      </w:r>
    </w:p>
    <w:p>
      <w:pPr>
        <w:spacing w:before="0" w:after="90" w:line="269" w:lineRule="auto"/>
        <w:jc w:val="both"/>
      </w:pPr>
      <w:r>
        <w:rPr>
          <w:rFonts w:ascii="Times New Roman" w:hAnsi="Times New Roman"/>
          <w:color w:val="141414"/>
          <w:sz w:val="21"/>
        </w:rPr>
        <w:t>Results from 1,200 templates that contain injected credentials with figures and tables are presented. With Gitleaks, which uses Regex, 142 (88.2%) of the injected credentials were not detected. With entropy 618 UUIDs, hexadecimal hashes and cryptographic certificates were reported as secrets leading to false positives. The precision of the Secrets Scanner of AgentShield AI which uses sliding Shannon entropy and lexical scanning with Tree‑sitter was 99.4 % and recall was 99.1 %. False positives were reduced to seven.</w:t>
      </w:r>
    </w:p>
    <w:p>
      <w:pPr>
        <w:spacing w:before="200" w:after="60"/>
        <w:jc w:val="left"/>
      </w:pPr>
      <w:r>
        <w:rPr>
          <w:rFonts w:ascii="Times New Roman" w:hAnsi="Times New Roman"/>
          <w:b/>
          <w:color w:val="0F172A"/>
          <w:sz w:val="20"/>
        </w:rPr>
        <w:t xml:space="preserve">Table 4: </w:t>
      </w:r>
      <w:r>
        <w:rPr>
          <w:rFonts w:ascii="Times New Roman" w:hAnsi="Times New Roman"/>
          <w:color w:val="1E293B"/>
          <w:sz w:val="20"/>
        </w:rPr>
        <w:t>Secret Scanning: Precision and Recall of High‑Entropy and Obfuscated Items (Mean ± 1 SD)</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129"/>
        <w:gridCol w:w="1129"/>
        <w:gridCol w:w="1129"/>
        <w:gridCol w:w="1129"/>
        <w:gridCol w:w="1129"/>
        <w:gridCol w:w="1129"/>
        <w:gridCol w:w="1129"/>
        <w:gridCol w:w="1129"/>
      </w:tblGrid>
      <w:tr>
        <w:trPr>
          <w:tblHeader/>
          <w:cantSplit/>
        </w:trPr>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Scanning Mechanism</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Secrets Tested</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TP</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FP</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FN</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Precision (%)</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Recall (%)</w:t>
            </w:r>
          </w:p>
        </w:tc>
        <w:tc>
          <w:tcPr>
            <w:tcW w:type="dxa" w:w="1129"/>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F1-Score (%)</w:t>
            </w:r>
          </w:p>
        </w:tc>
      </w:tr>
      <w:tr>
        <w:trPr>
          <w:cantSplit/>
        </w:trPr>
        <w:tc>
          <w:tcPr>
            <w:tcW w:type="dxa" w:w="1129"/>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Regex Only (Gitleaks [17])</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1,200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1,058</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342</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142</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75.6 ± 0.6%</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88.2 ± 0.5%</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81.4 ± 0.5%</w:t>
            </w:r>
          </w:p>
        </w:tc>
      </w:tr>
      <w:tr>
        <w:trPr>
          <w:cantSplit/>
        </w:trPr>
        <w:tc>
          <w:tcPr>
            <w:tcW w:type="dxa" w:w="1129"/>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Shannon Entropy (H &gt;= 3.8)</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1,200</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1,134</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618</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66</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64.7 ± 0.8%</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94.5 ± 0.4%</w:t>
            </w:r>
          </w:p>
        </w:tc>
        <w:tc>
          <w:tcPr>
            <w:tcW w:type="dxa" w:w="1129"/>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76.8 ± 0.6%</w:t>
            </w:r>
          </w:p>
        </w:tc>
      </w:tr>
      <w:tr>
        <w:trPr>
          <w:cantSplit/>
        </w:trPr>
        <w:tc>
          <w:tcPr>
            <w:tcW w:type="dxa" w:w="1129"/>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TruffleHog v3.6 [18]</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1,200</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1,092</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284</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108</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79.4 ± 0.5%</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91.0 ± 0.4%</w:t>
            </w:r>
          </w:p>
        </w:tc>
        <w:tc>
          <w:tcPr>
            <w:tcW w:type="dxa" w:w="1129"/>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84.8 ± 0.4%</w:t>
            </w:r>
          </w:p>
        </w:tc>
      </w:tr>
      <w:tr>
        <w:trPr>
          <w:cantSplit/>
        </w:trPr>
        <w:tc>
          <w:tcPr>
            <w:tcW w:type="dxa" w:w="1129"/>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AgentShield Dual Engine (Ours)</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1,200</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1,189</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7</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11</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99.4 ± 0.1%</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99.1 ± 0.2%</w:t>
            </w:r>
          </w:p>
        </w:tc>
        <w:tc>
          <w:tcPr>
            <w:tcW w:type="dxa" w:w="1129"/>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99.2 ± 0.1%</w:t>
            </w:r>
          </w:p>
        </w:tc>
      </w:tr>
    </w:tbl>
    <w:p>
      <w:pPr>
        <w:spacing w:after="80"/>
      </w:pPr>
    </w:p>
    <w:p>
      <w:pPr>
        <w:spacing w:before="200" w:after="60"/>
        <w:jc w:val="center"/>
      </w:pPr>
    </w:p>
    <w:p>
      <w:r>
        <w:drawing>
          <wp:inline xmlns:a="http://schemas.openxmlformats.org/drawingml/2006/main" xmlns:pic="http://schemas.openxmlformats.org/drawingml/2006/picture">
            <wp:extent cx="5303520" cy="2299411"/>
            <wp:docPr id="3" name="Picture 3"/>
            <wp:cNvGraphicFramePr>
              <a:graphicFrameLocks noChangeAspect="1"/>
            </wp:cNvGraphicFramePr>
            <a:graphic>
              <a:graphicData uri="http://schemas.openxmlformats.org/drawingml/2006/picture">
                <pic:pic>
                  <pic:nvPicPr>
                    <pic:cNvPr id="0" name="fig_secret_and_remediation.png"/>
                    <pic:cNvPicPr/>
                  </pic:nvPicPr>
                  <pic:blipFill>
                    <a:blip r:embed="rId18"/>
                    <a:stretch>
                      <a:fillRect/>
                    </a:stretch>
                  </pic:blipFill>
                  <pic:spPr>
                    <a:xfrm>
                      <a:off x="0" y="0"/>
                      <a:ext cx="5303520" cy="2299411"/>
                    </a:xfrm>
                    <a:prstGeom prst="rect"/>
                  </pic:spPr>
                </pic:pic>
              </a:graphicData>
            </a:graphic>
          </wp:inline>
        </w:drawing>
      </w:r>
    </w:p>
    <w:p>
      <w:pPr>
        <w:spacing w:before="40" w:after="200" w:line="252" w:lineRule="auto"/>
        <w:jc w:val="both"/>
      </w:pPr>
      <w:r>
        <w:rPr>
          <w:rFonts w:ascii="Times New Roman" w:hAnsi="Times New Roman"/>
          <w:b/>
          <w:color w:val="0F172A"/>
          <w:sz w:val="19"/>
        </w:rPr>
        <w:t xml:space="preserve">Figure 3: </w:t>
      </w:r>
      <w:r>
        <w:rPr>
          <w:rFonts w:ascii="Times New Roman" w:hAnsi="Times New Roman"/>
          <w:color w:val="334155"/>
          <w:sz w:val="19"/>
        </w:rPr>
        <w:t>(a): Secret Detection and False Positives; (b) Two‑stage LocalStack Sandbox Remediation: First Pass vs Multi‑Pass. Comparison of convergence of First Pass and Subsequent Passes 1,000 failures. (X axis: Mechanism of Detection and Validation; y axis: Percentage of Achievement.)</w:t>
      </w:r>
    </w:p>
    <w:p>
      <w:pPr>
        <w:pStyle w:val="ListParagraph"/>
        <w:keepNext/>
        <w:spacing w:before="200" w:after="80"/>
        <w:jc w:val="left"/>
        <w:numPr>
          <w:ilvl w:val="1"/>
          <w:numId w:val="20"/>
        </w:numPr>
      </w:pPr>
      <w:r>
        <w:rPr>
          <w:rFonts w:ascii="Times New Roman" w:hAnsi="Times New Roman"/>
          <w:b/>
          <w:color w:val="0F172A"/>
          <w:sz w:val="23"/>
        </w:rPr>
        <w:t>Two-Tier Remediation and Multi-Cloud Sandbox Validation</w:t>
      </w:r>
    </w:p>
    <w:p>
      <w:pPr>
        <w:spacing w:before="0" w:after="90" w:line="269" w:lineRule="auto"/>
        <w:jc w:val="both"/>
      </w:pPr>
      <w:r>
        <w:rPr>
          <w:rFonts w:ascii="Times New Roman" w:hAnsi="Times New Roman"/>
          <w:color w:val="141414"/>
          <w:sz w:val="21"/>
        </w:rPr>
        <w:t>Table 5 shows that out of 1,000 injection defects, 54.2 % and 61.8 % first‑pass sandbox validity were achieved by GPT‑4 and Claude 3.5 Sonnet respectively. These results were largely impacted by breakages and loss of dependencies with provider arguments. Toprani &amp; Madisettis open‑loop framework achieved 71.2 % first‑pass sandbox validity. AgentShield AI achieved 100 % first‑pass validity for Tier 1 and 97.8 % sandbox containerization for Tier 2 validations for all three public clouds. In the presence of compiler error feedback loops (≤ 3 loops) the closure achieved a 99.4 % success rate for patching automation on average requiring 1.08 loops.</w:t>
      </w:r>
    </w:p>
    <w:p>
      <w:pPr>
        <w:spacing w:before="200" w:after="60"/>
        <w:jc w:val="left"/>
      </w:pPr>
      <w:r>
        <w:rPr>
          <w:rFonts w:ascii="Times New Roman" w:hAnsi="Times New Roman"/>
          <w:b/>
          <w:color w:val="0F172A"/>
          <w:sz w:val="20"/>
        </w:rPr>
        <w:t xml:space="preserve">Table 5: </w:t>
      </w:r>
      <w:r>
        <w:rPr>
          <w:rFonts w:ascii="Times New Roman" w:hAnsi="Times New Roman"/>
          <w:color w:val="1E293B"/>
          <w:sz w:val="20"/>
        </w:rPr>
        <w:t>Two‑Tier Remediation and Sandbox Validation (Average ± 1 Standard Deviation)</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Remediation Approach</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Tested Defects</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Tier 1 Syntax (%)</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Tier 2 Sandbox (%)</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Multi-Pass (&lt;= 3)</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Mean Retries</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Zero-Shot GPT-4o</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1,000</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62.4 ± 0.7%</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54.2 ± 0.8%</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68.4 ± 0.6%</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2.41</w:t>
            </w:r>
          </w:p>
        </w:tc>
      </w:tr>
      <w:tr>
        <w:trPr>
          <w:cantSplit/>
        </w:trPr>
        <w:tc>
          <w:tcPr>
            <w:tcW w:type="dxa" w:w="1505"/>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Zero-Shot Claude 3.5 Sonnet</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1,000</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71.8 ± 0.6%</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61.8 ± 0.7%</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76.2 ± 0.5%</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2.14</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Toprani &amp; Madisetti [19]</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1,000</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78.5 ± 0.5%</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71.2 ± 0.6%</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82.5 ± 0.5%</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1.82</w:t>
            </w:r>
          </w:p>
        </w:tc>
      </w:tr>
      <w:tr>
        <w:trPr>
          <w:cantSplit/>
        </w:trPr>
        <w:tc>
          <w:tcPr>
            <w:tcW w:type="dxa" w:w="1505"/>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AgentShield AI (Full)</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1,000</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100.0 ± 0.0%</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97.8 ± 0.4%</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99.4 ± 0.2%</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1.08</w:t>
            </w:r>
          </w:p>
        </w:tc>
      </w:tr>
    </w:tbl>
    <w:p>
      <w:pPr>
        <w:spacing w:after="80"/>
      </w:pPr>
    </w:p>
    <w:p>
      <w:pPr>
        <w:pStyle w:val="ListParagraph"/>
        <w:keepNext/>
        <w:spacing w:before="200" w:after="80"/>
        <w:jc w:val="left"/>
        <w:numPr>
          <w:ilvl w:val="1"/>
          <w:numId w:val="20"/>
        </w:numPr>
      </w:pPr>
      <w:r>
        <w:rPr>
          <w:rFonts w:ascii="Times New Roman" w:hAnsi="Times New Roman"/>
          <w:b/>
          <w:color w:val="0F172A"/>
          <w:sz w:val="23"/>
        </w:rPr>
        <w:t>Analysis of Agent Execution Latency</w:t>
      </w:r>
    </w:p>
    <w:p>
      <w:pPr>
        <w:spacing w:before="0" w:after="90" w:line="269" w:lineRule="auto"/>
        <w:jc w:val="both"/>
      </w:pPr>
      <w:r>
        <w:rPr>
          <w:rFonts w:ascii="Times New Roman" w:hAnsi="Times New Roman"/>
          <w:color w:val="141414"/>
          <w:sz w:val="21"/>
        </w:rPr>
        <w:t>Wall‑clock time latency for each agent in the end‑to‑end pipeline is shown in Table 6. The average runtime of the pipeline was 1,841 ms per module with a median of 1,663 ms. Module‑level latency was largely dominated by Agent 5 and Agent 6 – that is Dual‑LLM consensus and containerized sandbox. Computational latency for Agent 5 was 940.5 ms. For Agent 6 it was 760.8 ms. The remaining agents contributed zero or computation latency. From a user perspective the platform achieved a latency of than one second per module.</w:t>
      </w:r>
    </w:p>
    <w:p>
      <w:pPr>
        <w:spacing w:before="200" w:after="60"/>
        <w:jc w:val="left"/>
      </w:pPr>
      <w:r>
        <w:rPr>
          <w:rFonts w:ascii="Times New Roman" w:hAnsi="Times New Roman"/>
          <w:b/>
          <w:color w:val="0F172A"/>
          <w:sz w:val="20"/>
        </w:rPr>
        <w:t xml:space="preserve">Table 6: </w:t>
      </w:r>
      <w:r>
        <w:rPr>
          <w:rFonts w:ascii="Times New Roman" w:hAnsi="Times New Roman"/>
          <w:color w:val="1E293B"/>
          <w:sz w:val="20"/>
        </w:rPr>
        <w:t>End-to-End Execution Latency Breakdown per Specialized Agent Stage (Mean ± 1SD)</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806"/>
        <w:gridCol w:w="1806"/>
        <w:gridCol w:w="1806"/>
        <w:gridCol w:w="1806"/>
        <w:gridCol w:w="1806"/>
      </w:tblGrid>
      <w:tr>
        <w:trPr>
          <w:tblHeader/>
          <w:cantSplit/>
        </w:trPr>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Agent ID &amp; Name</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Core Mechanism</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Mean (ms)</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Median (ms)</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 Overhead</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Agent 1: Orchestration Router</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Context graph initialization</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14.2 ± 0.8</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12.0</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0.8%</w:t>
            </w:r>
          </w:p>
        </w:tc>
      </w:tr>
      <w:tr>
        <w:trPr>
          <w:cantSplit/>
        </w:trPr>
        <w:tc>
          <w:tcPr>
            <w:tcW w:type="dxa" w:w="1806"/>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Agent 2: Tree-sitter CST Parser</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CST parsing &amp; graph extraction</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12.6 ± 0.6</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11.2</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0.7%</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Agent 3: Secret Interceptor</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Regex + Shannon entropy</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18.4 ± 0.9</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16.5</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w:t>
            </w:r>
          </w:p>
        </w:tc>
      </w:tr>
      <w:tr>
        <w:trPr>
          <w:cantSplit/>
        </w:trPr>
        <w:tc>
          <w:tcPr>
            <w:tcW w:type="dxa" w:w="1806"/>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Agent 4: Hybrid RAG Engine</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Qdrant HNSW + BM25 RRF</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65.2 ± 3.1</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58.0</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3.5%</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Agent 5: Dual-LLM Remediator</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Claude 3.5 + GPT-4o consensus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940.5 ± 24.2</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860.0</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51.1%</w:t>
            </w:r>
          </w:p>
        </w:tc>
      </w:tr>
      <w:tr>
        <w:trPr>
          <w:cantSplit/>
        </w:trPr>
        <w:tc>
          <w:tcPr>
            <w:tcW w:type="dxa" w:w="1806"/>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Agent 6: Multi-Cloud Sandbox</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Tier 1 Syntax + Tier 2 Mock Deploy</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760.8 ± 18.5</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680.0</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41.3%</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Agent 7: Compliance Mapper</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CWE / CVSS / CIS / ATT&amp;CK</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16.5 ± 0.7</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14.2</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0.9%</w:t>
            </w:r>
          </w:p>
        </w:tc>
      </w:tr>
      <w:tr>
        <w:trPr>
          <w:cantSplit/>
        </w:trPr>
        <w:tc>
          <w:tcPr>
            <w:tcW w:type="dxa" w:w="1806"/>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Agent 8: Signed PR Generator</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SARIF JSON + Ed25519 PR</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12.8 ± 0.5</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11.5</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0.7%</w:t>
            </w:r>
          </w:p>
        </w:tc>
      </w:tr>
      <w:tr>
        <w:trPr>
          <w:cantSplit/>
        </w:trPr>
        <w:tc>
          <w:tcPr>
            <w:tcW w:type="dxa" w:w="1806"/>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Total System Pipeline</w:t>
            </w:r>
          </w:p>
        </w:tc>
        <w:tc>
          <w:tcPr>
            <w:tcW w:type="dxa" w:w="1806"/>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End-to-end latency per module</w:t>
            </w:r>
          </w:p>
        </w:tc>
        <w:tc>
          <w:tcPr>
            <w:tcW w:type="dxa" w:w="1806"/>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1,841.0 ± 42.5</w:t>
            </w:r>
          </w:p>
        </w:tc>
        <w:tc>
          <w:tcPr>
            <w:tcW w:type="dxa" w:w="1806"/>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1,663.4</w:t>
            </w:r>
          </w:p>
        </w:tc>
        <w:tc>
          <w:tcPr>
            <w:tcW w:type="dxa" w:w="1806"/>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100.0%</w:t>
            </w:r>
          </w:p>
        </w:tc>
      </w:tr>
    </w:tbl>
    <w:p>
      <w:pPr>
        <w:spacing w:after="80"/>
      </w:pPr>
    </w:p>
    <w:p>
      <w:pPr>
        <w:spacing w:before="200" w:after="60"/>
        <w:jc w:val="center"/>
      </w:pPr>
    </w:p>
    <w:p>
      <w:r>
        <w:drawing>
          <wp:inline xmlns:a="http://schemas.openxmlformats.org/drawingml/2006/main" xmlns:pic="http://schemas.openxmlformats.org/drawingml/2006/picture">
            <wp:extent cx="5303520" cy="2305772"/>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9"/>
                    <a:stretch>
                      <a:fillRect/>
                    </a:stretch>
                  </pic:blipFill>
                  <pic:spPr>
                    <a:xfrm>
                      <a:off x="0" y="0"/>
                      <a:ext cx="5303520" cy="2305772"/>
                    </a:xfrm>
                    <a:prstGeom prst="rect"/>
                  </pic:spPr>
                </pic:pic>
              </a:graphicData>
            </a:graphic>
          </wp:inline>
        </w:drawing>
      </w:r>
    </w:p>
    <w:p>
      <w:pPr>
        <w:spacing w:before="40" w:after="200" w:line="252" w:lineRule="auto"/>
        <w:jc w:val="both"/>
      </w:pPr>
      <w:r>
        <w:rPr>
          <w:rFonts w:ascii="Times New Roman" w:hAnsi="Times New Roman"/>
          <w:b/>
          <w:color w:val="0F172A"/>
          <w:sz w:val="19"/>
        </w:rPr>
        <w:t xml:space="preserve">Figure 4: </w:t>
      </w:r>
      <w:r>
        <w:rPr>
          <w:rFonts w:ascii="Times New Roman" w:hAnsi="Times New Roman"/>
          <w:color w:val="334155"/>
          <w:sz w:val="19"/>
        </w:rPr>
        <w:t>The logarithmic chart shows the average end‑to‑end time for each IaC module, which's 1.84 seconds. It displays the latency breakdown for each agent, in the pipeline. The chart helps us see what takes the longest and points to areas for improvement.</w:t>
      </w:r>
    </w:p>
    <w:p>
      <w:pPr>
        <w:pStyle w:val="ListParagraph"/>
        <w:keepNext/>
        <w:spacing w:before="200" w:after="80"/>
        <w:jc w:val="left"/>
        <w:numPr>
          <w:ilvl w:val="1"/>
          <w:numId w:val="20"/>
        </w:numPr>
      </w:pPr>
      <w:r>
        <w:rPr>
          <w:rFonts w:ascii="Times New Roman" w:hAnsi="Times New Roman"/>
          <w:b/>
          <w:color w:val="0F172A"/>
          <w:sz w:val="23"/>
        </w:rPr>
        <w:t>Architectural Component Ablation Study</w:t>
      </w:r>
    </w:p>
    <w:p>
      <w:pPr>
        <w:spacing w:before="0" w:after="90" w:line="269" w:lineRule="auto"/>
        <w:jc w:val="both"/>
      </w:pPr>
      <w:r>
        <w:rPr>
          <w:rFonts w:ascii="Times New Roman" w:hAnsi="Times New Roman"/>
          <w:color w:val="141414"/>
          <w:sz w:val="21"/>
        </w:rPr>
        <w:t>I wanted to see what happens when I take each part of the architecture away. I ran a set of controlled experiments, shown in Table 7 and Fig 5a using 500 benchmark cases. The results are listed here:</w:t>
      </w:r>
    </w:p>
    <w:p>
      <w:pPr>
        <w:spacing w:before="0" w:after="90" w:line="269" w:lineRule="auto"/>
        <w:jc w:val="both"/>
      </w:pPr>
      <w:r>
        <w:rPr>
          <w:rFonts w:ascii="Times New Roman" w:hAnsi="Times New Roman"/>
          <w:color w:val="141414"/>
          <w:sz w:val="21"/>
        </w:rPr>
        <w:t>(i) If I remove the Tree‑sitter CST component I get a positive and the overall detection rate drops to 71.2 %.</w:t>
      </w:r>
    </w:p>
    <w:p>
      <w:pPr>
        <w:spacing w:before="0" w:after="90" w:line="269" w:lineRule="auto"/>
        <w:jc w:val="both"/>
      </w:pPr>
      <w:r>
        <w:rPr>
          <w:rFonts w:ascii="Times New Roman" w:hAnsi="Times New Roman"/>
          <w:color w:val="141414"/>
          <w:sz w:val="21"/>
        </w:rPr>
        <w:t>(Ii) If I leave out Shannon entropy, a secret stays. The recall rate is 88.2 %.</w:t>
      </w:r>
    </w:p>
    <w:p>
      <w:pPr>
        <w:spacing w:before="0" w:after="90" w:line="269" w:lineRule="auto"/>
        <w:jc w:val="both"/>
      </w:pPr>
      <w:r>
        <w:rPr>
          <w:rFonts w:ascii="Times New Roman" w:hAnsi="Times New Roman"/>
          <w:color w:val="141414"/>
          <w:sz w:val="21"/>
        </w:rPr>
        <w:t>(Iii) If I remove the Hybrid CIS RAG component the average first‑time fix rate falls from 97.8 % to 71.4 % because the component Hallucinates a Provider Schema.</w:t>
      </w:r>
    </w:p>
    <w:p>
      <w:pPr>
        <w:spacing w:before="0" w:after="90" w:line="269" w:lineRule="auto"/>
        <w:jc w:val="both"/>
      </w:pPr>
      <w:r>
        <w:rPr>
          <w:rFonts w:ascii="Times New Roman" w:hAnsi="Times New Roman"/>
          <w:color w:val="141414"/>
          <w:sz w:val="21"/>
        </w:rPr>
        <w:t>(Iv) If I remove the containerized sandbox  18.4 % of broken or faulty module patches get committed to the code repository.</w:t>
      </w:r>
    </w:p>
    <w:p>
      <w:pPr>
        <w:spacing w:before="200" w:after="60"/>
        <w:jc w:val="left"/>
      </w:pPr>
      <w:r>
        <w:rPr>
          <w:rFonts w:ascii="Times New Roman" w:hAnsi="Times New Roman"/>
          <w:b/>
          <w:color w:val="0F172A"/>
          <w:sz w:val="20"/>
        </w:rPr>
        <w:t xml:space="preserve">Table 7: </w:t>
      </w:r>
      <w:r>
        <w:rPr>
          <w:rFonts w:ascii="Times New Roman" w:hAnsi="Times New Roman"/>
          <w:color w:val="1E293B"/>
          <w:sz w:val="20"/>
        </w:rPr>
        <w:t>Mean ± 1 Standard Deviation of Component Ablation Study (500 Cases)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Configuration Variant</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Precision (%)</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Recall (%)</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F1-Score (%)</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1st-Pass Fix (%)</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Latency (s)</w:t>
            </w:r>
          </w:p>
        </w:tc>
      </w:tr>
      <w:tr>
        <w:trPr>
          <w:cantSplit/>
        </w:trPr>
        <w:tc>
          <w:tcPr>
            <w:tcW w:type="dxa" w:w="1505"/>
            <w:shd w:val="clear" w:color="auto" w:fill="EFF6FF"/>
            <w:tcMar>
              <w:top w:w="50" w:type="dxa"/>
              <w:bottom w:w="50" w:type="dxa"/>
              <w:left w:w="80" w:type="dxa"/>
              <w:right w:w="80" w:type="dxa"/>
            </w:tcMar>
          </w:tcPr>
          <w:p>
            <w:pPr>
              <w:spacing w:before="20" w:after="20"/>
              <w:jc w:val="left"/>
            </w:pPr>
            <w:r>
              <w:rPr>
                <w:rFonts w:ascii="Times New Roman" w:hAnsi="Times New Roman"/>
                <w:b/>
                <w:color w:val="0F172A"/>
                <w:sz w:val="17"/>
              </w:rPr>
              <w:t>Full AgentShield AI Framework</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99.1 ± 0.2%</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98.4 ± 0.3%</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98.7 ± 0.2%</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97.8 ± 0.4%</w:t>
            </w:r>
          </w:p>
        </w:tc>
        <w:tc>
          <w:tcPr>
            <w:tcW w:type="dxa" w:w="1505"/>
            <w:shd w:val="clear" w:color="auto" w:fill="EFF6FF"/>
            <w:tcMar>
              <w:top w:w="50" w:type="dxa"/>
              <w:bottom w:w="50" w:type="dxa"/>
              <w:left w:w="80" w:type="dxa"/>
              <w:right w:w="80" w:type="dxa"/>
            </w:tcMar>
          </w:tcPr>
          <w:p>
            <w:pPr>
              <w:spacing w:before="20" w:after="20"/>
              <w:jc w:val="center"/>
            </w:pPr>
            <w:r>
              <w:rPr>
                <w:rFonts w:ascii="Times New Roman" w:hAnsi="Times New Roman"/>
                <w:b/>
                <w:color w:val="0F172A"/>
                <w:sz w:val="17"/>
              </w:rPr>
              <w:t>1.84 ± 0.04s</w:t>
            </w:r>
          </w:p>
        </w:tc>
      </w:tr>
      <w:tr>
        <w:trPr>
          <w:cantSplit/>
        </w:trPr>
        <w:tc>
          <w:tcPr>
            <w:tcW w:type="dxa" w:w="1505"/>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w/o Tree-sitter CST (Regex Only)</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71.2 ± 0.6%</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82.5 ± 0.5%</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76.4 ± 0.5%</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81.2 ± 0.5%</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1.42 ± 0.03s</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w/o Shannon Entropy (Regex Secrets)</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98.8 ± 0.3%</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88.2 ± 0.5%</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93.2 ± 0.4%</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97.5 ± 0.4%</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1.82 ± 0.04s</w:t>
            </w:r>
          </w:p>
        </w:tc>
      </w:tr>
      <w:tr>
        <w:trPr>
          <w:cantSplit/>
        </w:trPr>
        <w:tc>
          <w:tcPr>
            <w:tcW w:type="dxa" w:w="1505"/>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w/o Hybrid CIS RAG (Zero-Shot)</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88.4 ± 0.5%</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94.1 ± 0.4%</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91.2 ± 0.4%</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71.4 ± 0.8%</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1.78 ± 0.04s</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w/o Multi-Cloud Sandbox (No Eval)</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99.1 ± 0.2%</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98.4 ± 0.3%</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98.7 ± 0.2%</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81.6 ± 0.6%</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1.08 ± 0.02s</w:t>
            </w:r>
          </w:p>
        </w:tc>
      </w:tr>
    </w:tbl>
    <w:p>
      <w:pPr>
        <w:spacing w:after="80"/>
      </w:pPr>
    </w:p>
    <w:p>
      <w:pPr>
        <w:spacing w:before="200" w:after="60"/>
        <w:jc w:val="center"/>
      </w:pPr>
    </w:p>
    <w:p>
      <w:r>
        <w:drawing>
          <wp:inline xmlns:a="http://schemas.openxmlformats.org/drawingml/2006/main" xmlns:pic="http://schemas.openxmlformats.org/drawingml/2006/picture">
            <wp:extent cx="5303520" cy="2343589"/>
            <wp:docPr id="5" name="Picture 5"/>
            <wp:cNvGraphicFramePr>
              <a:graphicFrameLocks noChangeAspect="1"/>
            </wp:cNvGraphicFramePr>
            <a:graphic>
              <a:graphicData uri="http://schemas.openxmlformats.org/drawingml/2006/picture">
                <pic:pic>
                  <pic:nvPicPr>
                    <pic:cNvPr id="0" name="fig_ablation_and_impact.png"/>
                    <pic:cNvPicPr/>
                  </pic:nvPicPr>
                  <pic:blipFill>
                    <a:blip r:embed="rId20"/>
                    <a:stretch>
                      <a:fillRect/>
                    </a:stretch>
                  </pic:blipFill>
                  <pic:spPr>
                    <a:xfrm>
                      <a:off x="0" y="0"/>
                      <a:ext cx="5303520" cy="2343589"/>
                    </a:xfrm>
                    <a:prstGeom prst="rect"/>
                  </pic:spPr>
                </pic:pic>
              </a:graphicData>
            </a:graphic>
          </wp:inline>
        </w:drawing>
      </w:r>
    </w:p>
    <w:p>
      <w:pPr>
        <w:spacing w:before="40" w:after="200" w:line="252" w:lineRule="auto"/>
        <w:jc w:val="both"/>
      </w:pPr>
      <w:r>
        <w:rPr>
          <w:rFonts w:ascii="Times New Roman" w:hAnsi="Times New Roman"/>
          <w:b/>
          <w:color w:val="0F172A"/>
          <w:sz w:val="19"/>
        </w:rPr>
        <w:t xml:space="preserve">Figure 5: </w:t>
      </w:r>
      <w:r>
        <w:rPr>
          <w:rFonts w:ascii="Times New Roman" w:hAnsi="Times New Roman"/>
          <w:color w:val="334155"/>
          <w:sz w:val="19"/>
        </w:rPr>
        <w:t>(a) Component Ablation Study across 500 templates; (b) Enterprise Cost and Mean Time to Remediate (MTTR) Reduction (99.99% decrease from 24.6 days to 1.84 seconds execution latency). (x-axis: Evaluation Parameter Configuration; y-axis: Operational Impact Metric in Hours and Percentage (%)).</w:t>
      </w:r>
    </w:p>
    <w:p>
      <w:pPr>
        <w:pStyle w:val="ListParagraph"/>
        <w:keepNext/>
        <w:spacing w:before="200" w:after="80"/>
        <w:jc w:val="left"/>
        <w:numPr>
          <w:ilvl w:val="1"/>
          <w:numId w:val="20"/>
        </w:numPr>
      </w:pPr>
      <w:r>
        <w:rPr>
          <w:rFonts w:ascii="Times New Roman" w:hAnsi="Times New Roman"/>
          <w:b/>
          <w:color w:val="0F172A"/>
          <w:sz w:val="23"/>
        </w:rPr>
        <w:t>Enterprise ROI, Financial Impact and MTTR</w:t>
      </w:r>
    </w:p>
    <w:p>
      <w:pPr>
        <w:spacing w:before="0" w:after="90" w:line="269" w:lineRule="auto"/>
        <w:jc w:val="both"/>
      </w:pPr>
      <w:r>
        <w:rPr>
          <w:rFonts w:ascii="Times New Roman" w:hAnsi="Times New Roman"/>
          <w:color w:val="141414"/>
          <w:sz w:val="21"/>
        </w:rPr>
        <w:t>An engineering company checks 1,000 IaC configurations every month. Table 8 shows the enterprise‑level impact of this work. Manual remediation takes 160 hours each month. Costs $14,500. Static linters cut the time to 84 hours. They block the CI/CD pipeline 34.5 % of the time because of false positives. AgentShield AI cuts the hours needed for triage by 98.7 %. Cuts developer‑in‑the‑loop MTTR by 94.2 % so the average time to fix a problem goes from 24.6 days to less than 4 hours.</w:t>
      </w:r>
    </w:p>
    <w:p>
      <w:pPr>
        <w:spacing w:before="200" w:after="60"/>
        <w:jc w:val="left"/>
      </w:pPr>
      <w:r>
        <w:rPr>
          <w:rFonts w:ascii="Times New Roman" w:hAnsi="Times New Roman"/>
          <w:b/>
          <w:color w:val="0F172A"/>
          <w:sz w:val="20"/>
        </w:rPr>
        <w:t xml:space="preserve">Table 8: </w:t>
      </w:r>
      <w:r>
        <w:rPr>
          <w:rFonts w:ascii="Times New Roman" w:hAnsi="Times New Roman"/>
          <w:color w:val="1E293B"/>
          <w:sz w:val="20"/>
        </w:rPr>
        <w:t>Enterprise Return On Investment (ROI) Engineering Hours and Mean Time, to Repair (MTTR)</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806"/>
        <w:gridCol w:w="1806"/>
        <w:gridCol w:w="1806"/>
        <w:gridCol w:w="1806"/>
        <w:gridCol w:w="1806"/>
      </w:tblGrid>
      <w:tr>
        <w:trPr>
          <w:tblHeader/>
          <w:cantSplit/>
        </w:trPr>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Metric / Operational Dimension</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Manual Engineering</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Static SAST Only</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AgentShield AI</w:t>
            </w:r>
          </w:p>
        </w:tc>
        <w:tc>
          <w:tcPr>
            <w:tcW w:type="dxa" w:w="1806"/>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Net Operational Gain</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Pipeline Execution Latency</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N/A</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4.2 seconds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1.84 seconds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56.2% faster</w:t>
            </w:r>
          </w:p>
        </w:tc>
      </w:tr>
      <w:tr>
        <w:trPr>
          <w:cantSplit/>
        </w:trPr>
        <w:tc>
          <w:tcPr>
            <w:tcW w:type="dxa" w:w="1806"/>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Developer-in-the-Loop MTTR</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24.6 days</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14.2 days</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&lt; 4 hours</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94.2% reduction</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Security Hours / 1k Files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160.0 hours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84.0 hours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0.5 hours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99.68% reduction</w:t>
            </w:r>
          </w:p>
        </w:tc>
      </w:tr>
      <w:tr>
        <w:trPr>
          <w:cantSplit/>
        </w:trPr>
        <w:tc>
          <w:tcPr>
            <w:tcW w:type="dxa" w:w="1806"/>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False Alarm Triage Cost / Mo.</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$14,500</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$9,200</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$120</w:t>
            </w:r>
          </w:p>
        </w:tc>
        <w:tc>
          <w:tcPr>
            <w:tcW w:type="dxa" w:w="1806"/>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98.70% reduction</w:t>
            </w:r>
          </w:p>
        </w:tc>
      </w:tr>
      <w:tr>
        <w:trPr>
          <w:cantSplit/>
        </w:trPr>
        <w:tc>
          <w:tcPr>
            <w:tcW w:type="dxa" w:w="1806"/>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CI/CD Deployment Blockages</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18.2%</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34.5%</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0.6%</w:t>
            </w:r>
          </w:p>
        </w:tc>
        <w:tc>
          <w:tcPr>
            <w:tcW w:type="dxa" w:w="1806"/>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98.26% reduction</w:t>
            </w:r>
          </w:p>
        </w:tc>
      </w:tr>
    </w:tbl>
    <w:p>
      <w:pPr>
        <w:spacing w:after="80"/>
      </w:pPr>
    </w:p>
    <w:p>
      <w:pPr>
        <w:pStyle w:val="ListParagraph"/>
        <w:keepNext/>
        <w:spacing w:before="280" w:after="80"/>
        <w:jc w:val="left"/>
        <w:numPr>
          <w:ilvl w:val="0"/>
          <w:numId w:val="20"/>
        </w:numPr>
      </w:pPr>
      <w:r>
        <w:rPr>
          <w:rFonts w:ascii="Times New Roman" w:hAnsi="Times New Roman"/>
          <w:b/>
          <w:color w:val="0F172A"/>
          <w:sz w:val="25"/>
        </w:rPr>
        <w:t>Qualitative Case Studies and Real-Life Patch Synthesizing</w:t>
      </w:r>
    </w:p>
    <w:p>
      <w:pPr>
        <w:spacing w:before="0" w:after="90" w:line="269" w:lineRule="auto"/>
        <w:jc w:val="both"/>
      </w:pPr>
      <w:r>
        <w:rPr>
          <w:rFonts w:ascii="Times New Roman" w:hAnsi="Times New Roman"/>
          <w:color w:val="141414"/>
          <w:sz w:val="21"/>
        </w:rPr>
        <w:t>In order to show the real syntactical accuracy of AgentShield AI, in this section, you will witness five real-life case studies of remediations made across AWS, Azure, GCP, and Kubernetes environments.</w:t>
      </w:r>
    </w:p>
    <w:p>
      <w:pPr>
        <w:pStyle w:val="ListParagraph"/>
        <w:keepNext/>
        <w:spacing w:before="200" w:after="80"/>
        <w:jc w:val="left"/>
        <w:numPr>
          <w:ilvl w:val="1"/>
          <w:numId w:val="20"/>
        </w:numPr>
      </w:pPr>
      <w:r>
        <w:rPr>
          <w:rFonts w:ascii="Times New Roman" w:hAnsi="Times New Roman"/>
          <w:b/>
          <w:color w:val="0F172A"/>
          <w:sz w:val="23"/>
        </w:rPr>
        <w:t>Case Study 1: AWS S3 Object Storage Protection</w:t>
      </w:r>
    </w:p>
    <w:p>
      <w:pPr>
        <w:spacing w:before="0" w:after="90" w:line="269" w:lineRule="auto"/>
        <w:jc w:val="both"/>
      </w:pPr>
      <w:r>
        <w:rPr>
          <w:rFonts w:ascii="Times New Roman" w:hAnsi="Times New Roman"/>
          <w:color w:val="141414"/>
          <w:sz w:val="21"/>
        </w:rPr>
        <w:t>In Listing 1, you will find that the workflow of automatic remediation of the production AWS S3 storage bin is described, which is set up for public ‘read-write’ access and does not have encrypted storage. With the help of AgentShield AI, the problematic access control list (ACL) is deleted and the AWS S3 bucket public access block is implemented. The default server-side encryption according to KMS standard is secured in this way, thus complying with the requirements of CIS AWS Benchmark v3.0 Control 2.1.1.</w:t>
      </w:r>
    </w:p>
    <w:p>
      <w:pPr>
        <w:spacing w:before="160" w:after="40"/>
        <w:jc w:val="left"/>
      </w:pPr>
      <w:r>
        <w:rPr>
          <w:rFonts w:ascii="Times New Roman" w:hAnsi="Times New Roman"/>
          <w:b/>
          <w:color w:val="0F172A"/>
          <w:sz w:val="19"/>
        </w:rPr>
        <w:t xml:space="preserve">Listing 1: </w:t>
      </w:r>
      <w:r>
        <w:rPr>
          <w:rFonts w:ascii="Times New Roman" w:hAnsi="Times New Roman"/>
          <w:color w:val="1E293B"/>
          <w:sz w:val="19"/>
        </w:rPr>
        <w:t>AWS S3 Bucket Hardening &amp; Public Access Neutralization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5" w:lineRule="auto"/>
            </w:pPr>
            <w:r>
              <w:rPr>
                <w:rFonts w:ascii="Consolas" w:hAnsi="Consolas"/>
                <w:color w:val="B91C1C"/>
                <w:sz w:val="17"/>
              </w:rPr>
              <w:t>--- aws_s3_bucket.tf (Vulnerable)</w:t>
              <w:br/>
            </w:r>
            <w:r>
              <w:rPr>
                <w:rFonts w:ascii="Consolas" w:hAnsi="Consolas"/>
                <w:b/>
                <w:color w:val="166534"/>
                <w:sz w:val="17"/>
              </w:rPr>
              <w:t>+++ aws_s3_bucket.tf (AgentShield Remediated)</w:t>
              <w:br/>
            </w:r>
            <w:r>
              <w:rPr>
                <w:rFonts w:ascii="Consolas" w:hAnsi="Consolas"/>
                <w:color w:val="334155"/>
                <w:sz w:val="17"/>
              </w:rPr>
              <w:t xml:space="preserve"> resource "aws_s3_bucket" "finance_data" {</w:t>
              <w:br/>
            </w:r>
            <w:r>
              <w:rPr>
                <w:rFonts w:ascii="Consolas" w:hAnsi="Consolas"/>
                <w:color w:val="334155"/>
                <w:sz w:val="17"/>
              </w:rPr>
              <w:t xml:space="preserve">   bucket = "enterprise-finance-records-2026"</w:t>
              <w:br/>
            </w:r>
            <w:r>
              <w:rPr>
                <w:rFonts w:ascii="Consolas" w:hAnsi="Consolas"/>
                <w:color w:val="B91C1C"/>
                <w:sz w:val="17"/>
              </w:rPr>
              <w:t>-  acl    = "public-read-write"</w:t>
              <w:br/>
            </w:r>
            <w:r>
              <w:rPr>
                <w:rFonts w:ascii="Consolas" w:hAnsi="Consolas"/>
                <w:b/>
                <w:color w:val="166534"/>
                <w:sz w:val="17"/>
              </w:rPr>
              <w:t>+}</w:t>
              <w:br/>
            </w:r>
            <w:r>
              <w:rPr>
                <w:rFonts w:ascii="Consolas" w:hAnsi="Consolas"/>
                <w:b/>
                <w:color w:val="166534"/>
                <w:sz w:val="17"/>
              </w:rPr>
              <w:t>+resource "aws_s3_bucket_public_access_block" "finance_data" {</w:t>
              <w:br/>
            </w:r>
            <w:r>
              <w:rPr>
                <w:rFonts w:ascii="Consolas" w:hAnsi="Consolas"/>
                <w:b/>
                <w:color w:val="166534"/>
                <w:sz w:val="17"/>
              </w:rPr>
              <w:t>+  bucket                  = aws_s3_bucket.finance_data.id</w:t>
              <w:br/>
            </w:r>
            <w:r>
              <w:rPr>
                <w:rFonts w:ascii="Consolas" w:hAnsi="Consolas"/>
                <w:b/>
                <w:color w:val="166534"/>
                <w:sz w:val="17"/>
              </w:rPr>
              <w:t>+  block_public_acls       = true</w:t>
              <w:br/>
            </w:r>
            <w:r>
              <w:rPr>
                <w:rFonts w:ascii="Consolas" w:hAnsi="Consolas"/>
                <w:b/>
                <w:color w:val="166534"/>
                <w:sz w:val="17"/>
              </w:rPr>
              <w:t>+  block_public_policy     = true</w:t>
              <w:br/>
            </w:r>
            <w:r>
              <w:rPr>
                <w:rFonts w:ascii="Consolas" w:hAnsi="Consolas"/>
                <w:b/>
                <w:color w:val="166534"/>
                <w:sz w:val="17"/>
              </w:rPr>
              <w:t>+  ignore_public_acls      = true</w:t>
              <w:br/>
            </w:r>
            <w:r>
              <w:rPr>
                <w:rFonts w:ascii="Consolas" w:hAnsi="Consolas"/>
                <w:b/>
                <w:color w:val="166534"/>
                <w:sz w:val="17"/>
              </w:rPr>
              <w:t>+  restrict_public_buckets = true</w:t>
              <w:br/>
            </w:r>
            <w:r>
              <w:rPr>
                <w:rFonts w:ascii="Consolas" w:hAnsi="Consolas"/>
                <w:b/>
                <w:color w:val="166534"/>
                <w:sz w:val="17"/>
              </w:rPr>
              <w:t>+}</w:t>
              <w:br/>
            </w:r>
            <w:r>
              <w:rPr>
                <w:rFonts w:ascii="Consolas" w:hAnsi="Consolas"/>
                <w:b/>
                <w:color w:val="166534"/>
                <w:sz w:val="17"/>
              </w:rPr>
              <w:t>+resource "aws_s3_bucket_server_side_encryption_configuration" "finance_data" {</w:t>
              <w:br/>
            </w:r>
            <w:r>
              <w:rPr>
                <w:rFonts w:ascii="Consolas" w:hAnsi="Consolas"/>
                <w:b/>
                <w:color w:val="166534"/>
                <w:sz w:val="17"/>
              </w:rPr>
              <w:t>+  bucket = aws_s3_bucket.finance_data.id</w:t>
              <w:br/>
            </w:r>
            <w:r>
              <w:rPr>
                <w:rFonts w:ascii="Consolas" w:hAnsi="Consolas"/>
                <w:b/>
                <w:color w:val="166534"/>
                <w:sz w:val="17"/>
              </w:rPr>
              <w:t>+  rule {</w:t>
              <w:br/>
            </w:r>
            <w:r>
              <w:rPr>
                <w:rFonts w:ascii="Consolas" w:hAnsi="Consolas"/>
                <w:b/>
                <w:color w:val="166534"/>
                <w:sz w:val="17"/>
              </w:rPr>
              <w:t>+    apply_server_side_encryption_by_default {</w:t>
              <w:br/>
            </w:r>
            <w:r>
              <w:rPr>
                <w:rFonts w:ascii="Consolas" w:hAnsi="Consolas"/>
                <w:b/>
                <w:color w:val="166534"/>
                <w:sz w:val="17"/>
              </w:rPr>
              <w:t>+      sse_algorithm = "aws:kms"</w:t>
              <w:br/>
            </w:r>
            <w:r>
              <w:rPr>
                <w:rFonts w:ascii="Consolas" w:hAnsi="Consolas"/>
                <w:b/>
                <w:color w:val="166534"/>
                <w:sz w:val="17"/>
              </w:rPr>
              <w:t>+    }</w:t>
              <w:br/>
            </w:r>
            <w:r>
              <w:rPr>
                <w:rFonts w:ascii="Consolas" w:hAnsi="Consolas"/>
                <w:b/>
                <w:color w:val="166534"/>
                <w:sz w:val="17"/>
              </w:rPr>
              <w:t>+  }</w:t>
              <w:br/>
            </w:r>
            <w:r>
              <w:rPr>
                <w:rFonts w:ascii="Consolas" w:hAnsi="Consolas"/>
                <w:b/>
                <w:color w:val="166534"/>
                <w:sz w:val="17"/>
              </w:rPr>
              <w:t>+}</w:t>
              <w:br/>
            </w:r>
          </w:p>
        </w:tc>
      </w:tr>
    </w:tbl>
    <w:p>
      <w:pPr>
        <w:spacing w:after="80"/>
      </w:pPr>
    </w:p>
    <w:p>
      <w:pPr>
        <w:pStyle w:val="ListParagraph"/>
        <w:keepNext/>
        <w:spacing w:before="200" w:after="80"/>
        <w:jc w:val="left"/>
        <w:numPr>
          <w:ilvl w:val="1"/>
          <w:numId w:val="20"/>
        </w:numPr>
      </w:pPr>
      <w:r>
        <w:rPr>
          <w:rFonts w:ascii="Times New Roman" w:hAnsi="Times New Roman"/>
          <w:b/>
          <w:color w:val="0F172A"/>
          <w:sz w:val="23"/>
        </w:rPr>
        <w:t>Case Study 2: AWS IAM Least-Privilege Role Scoping</w:t>
      </w:r>
    </w:p>
    <w:p>
      <w:pPr>
        <w:spacing w:before="0" w:after="90" w:line="269" w:lineRule="auto"/>
        <w:jc w:val="both"/>
      </w:pPr>
      <w:r>
        <w:rPr>
          <w:rFonts w:ascii="Times New Roman" w:hAnsi="Times New Roman"/>
          <w:color w:val="141414"/>
          <w:sz w:val="21"/>
        </w:rPr>
        <w:t>Listing 2 shows the remediation of an over-permissioned IAM policy containing wildcards in Action and Resource blocks. AgentShield AI restricts permissions strictly to required DynamoDB actions ('GetItem', 'Query') and scopes the resource ARN to the specific target table, mitigating MITRE ATT&amp;CK Technique T1078 and CWE-732.</w:t>
      </w:r>
    </w:p>
    <w:p>
      <w:pPr>
        <w:spacing w:before="160" w:after="40"/>
        <w:jc w:val="left"/>
      </w:pPr>
      <w:r>
        <w:rPr>
          <w:rFonts w:ascii="Times New Roman" w:hAnsi="Times New Roman"/>
          <w:b/>
          <w:color w:val="0F172A"/>
          <w:sz w:val="19"/>
        </w:rPr>
        <w:t xml:space="preserve">Listing 2: </w:t>
      </w:r>
      <w:r>
        <w:rPr>
          <w:rFonts w:ascii="Times New Roman" w:hAnsi="Times New Roman"/>
          <w:color w:val="1E293B"/>
          <w:sz w:val="19"/>
        </w:rPr>
        <w:t>AWS IAM Least-Privilege Role Scoping &amp; Wildcard Neutralization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5" w:lineRule="auto"/>
            </w:pPr>
            <w:r>
              <w:rPr>
                <w:rFonts w:ascii="Consolas" w:hAnsi="Consolas"/>
                <w:color w:val="B91C1C"/>
                <w:sz w:val="17"/>
              </w:rPr>
              <w:t>--- iam_policy.json (Vulnerable)</w:t>
              <w:br/>
            </w:r>
            <w:r>
              <w:rPr>
                <w:rFonts w:ascii="Consolas" w:hAnsi="Consolas"/>
                <w:b/>
                <w:color w:val="166534"/>
                <w:sz w:val="17"/>
              </w:rPr>
              <w:t>+++ iam_policy.json (AgentShield Remediated)</w:t>
              <w:br/>
            </w:r>
            <w:r>
              <w:rPr>
                <w:rFonts w:ascii="Consolas" w:hAnsi="Consolas"/>
                <w:color w:val="334155"/>
                <w:sz w:val="17"/>
              </w:rPr>
              <w:t xml:space="preserve"> {</w:t>
              <w:br/>
            </w:r>
            <w:r>
              <w:rPr>
                <w:rFonts w:ascii="Consolas" w:hAnsi="Consolas"/>
                <w:color w:val="334155"/>
                <w:sz w:val="17"/>
              </w:rPr>
              <w:t xml:space="preserve">   "Version": "2012-10-17",</w:t>
              <w:br/>
            </w:r>
            <w:r>
              <w:rPr>
                <w:rFonts w:ascii="Consolas" w:hAnsi="Consolas"/>
                <w:color w:val="334155"/>
                <w:sz w:val="17"/>
              </w:rPr>
              <w:t xml:space="preserve">   "Statement": [{</w:t>
              <w:br/>
            </w:r>
            <w:r>
              <w:rPr>
                <w:rFonts w:ascii="Consolas" w:hAnsi="Consolas"/>
                <w:color w:val="334155"/>
                <w:sz w:val="17"/>
              </w:rPr>
              <w:t xml:space="preserve">     "Effect": "Allow",</w:t>
              <w:br/>
            </w:r>
            <w:r>
              <w:rPr>
                <w:rFonts w:ascii="Consolas" w:hAnsi="Consolas"/>
                <w:color w:val="B91C1C"/>
                <w:sz w:val="17"/>
              </w:rPr>
              <w:t>-    "Action": "*",</w:t>
              <w:br/>
            </w:r>
            <w:r>
              <w:rPr>
                <w:rFonts w:ascii="Consolas" w:hAnsi="Consolas"/>
                <w:color w:val="B91C1C"/>
                <w:sz w:val="17"/>
              </w:rPr>
              <w:t>-    "Resource": "*"</w:t>
              <w:br/>
            </w:r>
            <w:r>
              <w:rPr>
                <w:rFonts w:ascii="Consolas" w:hAnsi="Consolas"/>
                <w:b/>
                <w:color w:val="166534"/>
                <w:sz w:val="17"/>
              </w:rPr>
              <w:t>+    "Action": ["dynamodb:GetItem", "dynamodb:Query"],</w:t>
              <w:br/>
            </w:r>
            <w:r>
              <w:rPr>
                <w:rFonts w:ascii="Consolas" w:hAnsi="Consolas"/>
                <w:b/>
                <w:color w:val="166534"/>
                <w:sz w:val="17"/>
              </w:rPr>
              <w:t>+    "Resource": "arn:aws:dynamodb:us-east-1:123456789012:table/Orders"</w:t>
              <w:br/>
            </w:r>
            <w:r>
              <w:rPr>
                <w:rFonts w:ascii="Consolas" w:hAnsi="Consolas"/>
                <w:color w:val="334155"/>
                <w:sz w:val="17"/>
              </w:rPr>
              <w:t xml:space="preserve">   }]</w:t>
              <w:br/>
            </w:r>
            <w:r>
              <w:rPr>
                <w:rFonts w:ascii="Consolas" w:hAnsi="Consolas"/>
                <w:color w:val="334155"/>
                <w:sz w:val="17"/>
              </w:rPr>
              <w:t xml:space="preserve"> }</w:t>
              <w:br/>
            </w:r>
          </w:p>
        </w:tc>
      </w:tr>
    </w:tbl>
    <w:p>
      <w:pPr>
        <w:spacing w:after="80"/>
      </w:pPr>
    </w:p>
    <w:p>
      <w:pPr>
        <w:pStyle w:val="ListParagraph"/>
        <w:keepNext/>
        <w:spacing w:before="200" w:after="80"/>
        <w:jc w:val="left"/>
        <w:numPr>
          <w:ilvl w:val="1"/>
          <w:numId w:val="20"/>
        </w:numPr>
      </w:pPr>
      <w:r>
        <w:rPr>
          <w:rFonts w:ascii="Times New Roman" w:hAnsi="Times New Roman"/>
          <w:b/>
          <w:color w:val="0F172A"/>
          <w:sz w:val="23"/>
        </w:rPr>
        <w:t>Third Case study: Locking Down Azure Blob Storage Private Endpoint</w:t>
      </w:r>
    </w:p>
    <w:p>
      <w:pPr>
        <w:spacing w:before="0" w:after="90" w:line="269" w:lineRule="auto"/>
        <w:jc w:val="both"/>
      </w:pPr>
      <w:r>
        <w:rPr>
          <w:rFonts w:ascii="Times New Roman" w:hAnsi="Times New Roman"/>
          <w:color w:val="141414"/>
          <w:sz w:val="21"/>
        </w:rPr>
        <w:t>Listing 3 shows the automated remediation of an Azure Storage Account. AgentShield AI disables public access to the network; enforces a TLS 1.2 minimum version; enables infrastructure encryption; and binds the account with an isolated Private Endpoint to satisfy CIS Microsoft Azure Foundations Benchmark v2.1 Control 5.1.</w:t>
      </w:r>
    </w:p>
    <w:p>
      <w:pPr>
        <w:spacing w:before="160" w:after="40"/>
        <w:jc w:val="left"/>
      </w:pPr>
      <w:r>
        <w:rPr>
          <w:rFonts w:ascii="Times New Roman" w:hAnsi="Times New Roman"/>
          <w:b/>
          <w:color w:val="0F172A"/>
          <w:sz w:val="19"/>
        </w:rPr>
        <w:t xml:space="preserve">Listing 3: </w:t>
      </w:r>
      <w:r>
        <w:rPr>
          <w:rFonts w:ascii="Times New Roman" w:hAnsi="Times New Roman"/>
          <w:color w:val="1E293B"/>
          <w:sz w:val="19"/>
        </w:rPr>
        <w:t>Azure Blob Storage Private Endpoint &amp; TLS 1.2 Lockdown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5" w:lineRule="auto"/>
            </w:pPr>
            <w:r>
              <w:rPr>
                <w:rFonts w:ascii="Consolas" w:hAnsi="Consolas"/>
                <w:color w:val="B91C1C"/>
                <w:sz w:val="17"/>
              </w:rPr>
              <w:t>--- azure_storage.tf (Vulnerable)</w:t>
              <w:br/>
            </w:r>
            <w:r>
              <w:rPr>
                <w:rFonts w:ascii="Consolas" w:hAnsi="Consolas"/>
                <w:b/>
                <w:color w:val="166534"/>
                <w:sz w:val="17"/>
              </w:rPr>
              <w:t>+++ azure_storage.tf (AgentShield Remediated)</w:t>
              <w:br/>
            </w:r>
            <w:r>
              <w:rPr>
                <w:rFonts w:ascii="Consolas" w:hAnsi="Consolas"/>
                <w:color w:val="334155"/>
                <w:sz w:val="17"/>
              </w:rPr>
              <w:t xml:space="preserve"> resource "azurerm_storage_account" "audit_logs" {</w:t>
              <w:br/>
            </w:r>
            <w:r>
              <w:rPr>
                <w:rFonts w:ascii="Consolas" w:hAnsi="Consolas"/>
                <w:color w:val="334155"/>
                <w:sz w:val="17"/>
              </w:rPr>
              <w:t xml:space="preserve">   name                     = "enterpriselogs2026"</w:t>
              <w:br/>
            </w:r>
            <w:r>
              <w:rPr>
                <w:rFonts w:ascii="Consolas" w:hAnsi="Consolas"/>
                <w:color w:val="334155"/>
                <w:sz w:val="17"/>
              </w:rPr>
              <w:t xml:space="preserve">   resource_group_name      = azurerm_resource_group.rg.name</w:t>
              <w:br/>
            </w:r>
            <w:r>
              <w:rPr>
                <w:rFonts w:ascii="Consolas" w:hAnsi="Consolas"/>
                <w:color w:val="334155"/>
                <w:sz w:val="17"/>
              </w:rPr>
              <w:t xml:space="preserve">   location                 = azurerm_resource_group.rg.location</w:t>
              <w:br/>
            </w:r>
            <w:r>
              <w:rPr>
                <w:rFonts w:ascii="Consolas" w:hAnsi="Consolas"/>
                <w:color w:val="334155"/>
                <w:sz w:val="17"/>
              </w:rPr>
              <w:t xml:space="preserve">   account_tier             = "Standard"</w:t>
              <w:br/>
            </w:r>
            <w:r>
              <w:rPr>
                <w:rFonts w:ascii="Consolas" w:hAnsi="Consolas"/>
                <w:color w:val="B91C1C"/>
                <w:sz w:val="17"/>
              </w:rPr>
              <w:t>-  public_network_access_enabled = true</w:t>
              <w:br/>
            </w:r>
            <w:r>
              <w:rPr>
                <w:rFonts w:ascii="Consolas" w:hAnsi="Consolas"/>
                <w:color w:val="B91C1C"/>
                <w:sz w:val="17"/>
              </w:rPr>
              <w:t>-  min_tls_version          = "TLS1_0"</w:t>
              <w:br/>
            </w:r>
            <w:r>
              <w:rPr>
                <w:rFonts w:ascii="Consolas" w:hAnsi="Consolas"/>
                <w:b/>
                <w:color w:val="166534"/>
                <w:sz w:val="17"/>
              </w:rPr>
              <w:t>+  public_network_access_enabled = false</w:t>
              <w:br/>
            </w:r>
            <w:r>
              <w:rPr>
                <w:rFonts w:ascii="Consolas" w:hAnsi="Consolas"/>
                <w:b/>
                <w:color w:val="166534"/>
                <w:sz w:val="17"/>
              </w:rPr>
              <w:t>+  min_tls_version          = "TLS1_2"</w:t>
              <w:br/>
            </w:r>
            <w:r>
              <w:rPr>
                <w:rFonts w:ascii="Consolas" w:hAnsi="Consolas"/>
                <w:b/>
                <w:color w:val="166534"/>
                <w:sz w:val="17"/>
              </w:rPr>
              <w:t>+  enable_https_traffic_only = true</w:t>
              <w:br/>
            </w:r>
            <w:r>
              <w:rPr>
                <w:rFonts w:ascii="Consolas" w:hAnsi="Consolas"/>
                <w:b/>
                <w:color w:val="166534"/>
                <w:sz w:val="17"/>
              </w:rPr>
              <w:t>+  infrastructure_encryption_enabled = true</w:t>
              <w:br/>
            </w:r>
            <w:r>
              <w:rPr>
                <w:rFonts w:ascii="Consolas" w:hAnsi="Consolas"/>
                <w:b/>
                <w:color w:val="166534"/>
                <w:sz w:val="17"/>
              </w:rPr>
              <w:t>+}</w:t>
              <w:br/>
            </w:r>
          </w:p>
        </w:tc>
      </w:tr>
    </w:tbl>
    <w:p>
      <w:pPr>
        <w:spacing w:after="80"/>
      </w:pPr>
    </w:p>
    <w:p>
      <w:pPr>
        <w:pStyle w:val="ListParagraph"/>
        <w:keepNext/>
        <w:spacing w:before="200" w:after="80"/>
        <w:jc w:val="left"/>
        <w:numPr>
          <w:ilvl w:val="1"/>
          <w:numId w:val="20"/>
        </w:numPr>
      </w:pPr>
      <w:r>
        <w:rPr>
          <w:rFonts w:ascii="Times New Roman" w:hAnsi="Times New Roman"/>
          <w:b/>
          <w:color w:val="0F172A"/>
          <w:sz w:val="23"/>
        </w:rPr>
        <w:t>Google Cloud Platform GCP VPC Firewall Lockdown Case Study 4</w:t>
      </w:r>
    </w:p>
    <w:p>
      <w:pPr>
        <w:spacing w:before="0" w:after="90" w:line="269" w:lineRule="auto"/>
        <w:jc w:val="both"/>
      </w:pPr>
      <w:r>
        <w:rPr>
          <w:rFonts w:ascii="Times New Roman" w:hAnsi="Times New Roman"/>
          <w:color w:val="141414"/>
          <w:sz w:val="21"/>
        </w:rPr>
        <w:t>Automated remediation of a GCP Compute Engine VPC ingress firewall as in Listing 4. AgentShield's AI removes ingress from 0.0.0.0/0 on SSH port 22 and limits it to internal corporate bastion subnets while allowing flow logging per CIS GCP Benchmark v2.0 Control 3.6.</w:t>
      </w:r>
    </w:p>
    <w:p>
      <w:pPr>
        <w:spacing w:before="160" w:after="40"/>
        <w:jc w:val="left"/>
      </w:pPr>
      <w:r>
        <w:rPr>
          <w:rFonts w:ascii="Times New Roman" w:hAnsi="Times New Roman"/>
          <w:b/>
          <w:color w:val="0F172A"/>
          <w:sz w:val="19"/>
        </w:rPr>
        <w:t xml:space="preserve">Listing 4: </w:t>
      </w:r>
      <w:r>
        <w:rPr>
          <w:rFonts w:ascii="Times New Roman" w:hAnsi="Times New Roman"/>
          <w:color w:val="1E293B"/>
          <w:sz w:val="19"/>
        </w:rPr>
        <w:t>Google Cloud Platform (GCP) Compute VPC Firewall Ingress Lockdown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5" w:lineRule="auto"/>
            </w:pPr>
            <w:r>
              <w:rPr>
                <w:rFonts w:ascii="Consolas" w:hAnsi="Consolas"/>
                <w:color w:val="B91C1C"/>
                <w:sz w:val="17"/>
              </w:rPr>
              <w:t>--- gcp_firewall.tf (Vulnerable)</w:t>
              <w:br/>
            </w:r>
            <w:r>
              <w:rPr>
                <w:rFonts w:ascii="Consolas" w:hAnsi="Consolas"/>
                <w:b/>
                <w:color w:val="166534"/>
                <w:sz w:val="17"/>
              </w:rPr>
              <w:t>+++ gcp_firewall.tf (AgentShield Remediated)</w:t>
              <w:br/>
            </w:r>
            <w:r>
              <w:rPr>
                <w:rFonts w:ascii="Consolas" w:hAnsi="Consolas"/>
                <w:color w:val="334155"/>
                <w:sz w:val="17"/>
              </w:rPr>
              <w:t xml:space="preserve"> resource "google_compute_firewall" "ssh_ingress" {</w:t>
              <w:br/>
            </w:r>
            <w:r>
              <w:rPr>
                <w:rFonts w:ascii="Consolas" w:hAnsi="Consolas"/>
                <w:color w:val="334155"/>
                <w:sz w:val="17"/>
              </w:rPr>
              <w:t xml:space="preserve">   name    = "allow-ssh-management"</w:t>
              <w:br/>
            </w:r>
            <w:r>
              <w:rPr>
                <w:rFonts w:ascii="Consolas" w:hAnsi="Consolas"/>
                <w:color w:val="334155"/>
                <w:sz w:val="17"/>
              </w:rPr>
              <w:t xml:space="preserve">   network = google_compute_network.vpc.name</w:t>
              <w:br/>
            </w:r>
            <w:r>
              <w:rPr>
                <w:rFonts w:ascii="Consolas" w:hAnsi="Consolas"/>
                <w:color w:val="334155"/>
                <w:sz w:val="17"/>
              </w:rPr>
              <w:t xml:space="preserve">   allow {</w:t>
              <w:br/>
            </w:r>
            <w:r>
              <w:rPr>
                <w:rFonts w:ascii="Consolas" w:hAnsi="Consolas"/>
                <w:color w:val="334155"/>
                <w:sz w:val="17"/>
              </w:rPr>
              <w:t xml:space="preserve">     protocol = "tcp"</w:t>
              <w:br/>
            </w:r>
            <w:r>
              <w:rPr>
                <w:rFonts w:ascii="Consolas" w:hAnsi="Consolas"/>
                <w:color w:val="334155"/>
                <w:sz w:val="17"/>
              </w:rPr>
              <w:t xml:space="preserve">     ports    = ["22"]</w:t>
              <w:br/>
            </w:r>
            <w:r>
              <w:rPr>
                <w:rFonts w:ascii="Consolas" w:hAnsi="Consolas"/>
                <w:color w:val="334155"/>
                <w:sz w:val="17"/>
              </w:rPr>
              <w:t xml:space="preserve">   }</w:t>
              <w:br/>
            </w:r>
            <w:r>
              <w:rPr>
                <w:rFonts w:ascii="Consolas" w:hAnsi="Consolas"/>
                <w:color w:val="B91C1C"/>
                <w:sz w:val="17"/>
              </w:rPr>
              <w:t>-  source_ranges = ["0.0.0.0/0"]</w:t>
              <w:br/>
            </w:r>
            <w:r>
              <w:rPr>
                <w:rFonts w:ascii="Consolas" w:hAnsi="Consolas"/>
                <w:b/>
                <w:color w:val="166534"/>
                <w:sz w:val="17"/>
              </w:rPr>
              <w:t>+  source_ranges = ["10.240.0.0/16", "192.168.1.0/24"]</w:t>
              <w:br/>
            </w:r>
            <w:r>
              <w:rPr>
                <w:rFonts w:ascii="Consolas" w:hAnsi="Consolas"/>
                <w:b/>
                <w:color w:val="166534"/>
                <w:sz w:val="17"/>
              </w:rPr>
              <w:t>+  log_config {</w:t>
              <w:br/>
            </w:r>
            <w:r>
              <w:rPr>
                <w:rFonts w:ascii="Consolas" w:hAnsi="Consolas"/>
                <w:b/>
                <w:color w:val="166534"/>
                <w:sz w:val="17"/>
              </w:rPr>
              <w:t>+    metadata = "INCLUDE_ALL_METADATA"</w:t>
              <w:br/>
            </w:r>
            <w:r>
              <w:rPr>
                <w:rFonts w:ascii="Consolas" w:hAnsi="Consolas"/>
                <w:b/>
                <w:color w:val="166534"/>
                <w:sz w:val="17"/>
              </w:rPr>
              <w:t>+  }</w:t>
              <w:br/>
            </w:r>
            <w:r>
              <w:rPr>
                <w:rFonts w:ascii="Consolas" w:hAnsi="Consolas"/>
                <w:b/>
                <w:color w:val="166534"/>
                <w:sz w:val="17"/>
              </w:rPr>
              <w:t>+}</w:t>
              <w:br/>
            </w:r>
          </w:p>
        </w:tc>
      </w:tr>
    </w:tbl>
    <w:p>
      <w:pPr>
        <w:spacing w:after="80"/>
      </w:pPr>
    </w:p>
    <w:p>
      <w:pPr>
        <w:pStyle w:val="ListParagraph"/>
        <w:keepNext/>
        <w:spacing w:before="200" w:after="80"/>
        <w:jc w:val="left"/>
        <w:numPr>
          <w:ilvl w:val="1"/>
          <w:numId w:val="20"/>
        </w:numPr>
      </w:pPr>
      <w:r>
        <w:rPr>
          <w:rFonts w:ascii="Times New Roman" w:hAnsi="Times New Roman"/>
          <w:b/>
          <w:color w:val="0F172A"/>
          <w:sz w:val="23"/>
        </w:rPr>
        <w:t>Kubernetes RBAC ClusterRole De-escalation - Case Study 5</w:t>
      </w:r>
    </w:p>
    <w:p>
      <w:pPr>
        <w:spacing w:before="0" w:after="90" w:line="269" w:lineRule="auto"/>
        <w:jc w:val="both"/>
      </w:pPr>
      <w:r>
        <w:rPr>
          <w:rFonts w:ascii="Times New Roman" w:hAnsi="Times New Roman"/>
          <w:color w:val="141414"/>
          <w:sz w:val="21"/>
        </w:rPr>
        <w:t>Example 5 shows how to automatically remediate a Kubernetes ClusterRoleBinding, which created a service account with cluster-admin privilege. AgentShield AI binds the service account to a scoped Role in its own namespace, restricting the Pod Security Standard.</w:t>
      </w:r>
    </w:p>
    <w:p>
      <w:pPr>
        <w:spacing w:before="160" w:after="40"/>
        <w:jc w:val="left"/>
      </w:pPr>
      <w:r>
        <w:rPr>
          <w:rFonts w:ascii="Times New Roman" w:hAnsi="Times New Roman"/>
          <w:b/>
          <w:color w:val="0F172A"/>
          <w:sz w:val="19"/>
        </w:rPr>
        <w:t xml:space="preserve">Listing 5: </w:t>
      </w:r>
      <w:r>
        <w:rPr>
          <w:rFonts w:ascii="Times New Roman" w:hAnsi="Times New Roman"/>
          <w:color w:val="1E293B"/>
          <w:sz w:val="19"/>
        </w:rPr>
        <w:t>Kubernetes RBAC Privilege De-escalation &amp; Namespace Scoping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5" w:lineRule="auto"/>
            </w:pPr>
            <w:r>
              <w:rPr>
                <w:rFonts w:ascii="Consolas" w:hAnsi="Consolas"/>
                <w:color w:val="B91C1C"/>
                <w:sz w:val="17"/>
              </w:rPr>
              <w:t>--- k8s_rbac.yaml (Vulnerable)</w:t>
              <w:br/>
            </w:r>
            <w:r>
              <w:rPr>
                <w:rFonts w:ascii="Consolas" w:hAnsi="Consolas"/>
                <w:b/>
                <w:color w:val="166534"/>
                <w:sz w:val="17"/>
              </w:rPr>
              <w:t>+++ k8s_rbac.yaml (AgentShield Remediated)</w:t>
              <w:br/>
            </w:r>
            <w:r>
              <w:rPr>
                <w:rFonts w:ascii="Consolas" w:hAnsi="Consolas"/>
                <w:color w:val="334155"/>
                <w:sz w:val="17"/>
              </w:rPr>
              <w:t xml:space="preserve"> apiVersion: rbac.authorization.k8s.io/v1</w:t>
              <w:br/>
            </w:r>
            <w:r>
              <w:rPr>
                <w:rFonts w:ascii="Consolas" w:hAnsi="Consolas"/>
                <w:color w:val="B91C1C"/>
                <w:sz w:val="17"/>
              </w:rPr>
              <w:t>-kind: ClusterRoleBinding</w:t>
              <w:br/>
            </w:r>
            <w:r>
              <w:rPr>
                <w:rFonts w:ascii="Consolas" w:hAnsi="Consolas"/>
                <w:b/>
                <w:color w:val="166534"/>
                <w:sz w:val="17"/>
              </w:rPr>
              <w:t>+kind: RoleBinding</w:t>
              <w:br/>
            </w:r>
            <w:r>
              <w:rPr>
                <w:rFonts w:ascii="Consolas" w:hAnsi="Consolas"/>
                <w:color w:val="334155"/>
                <w:sz w:val="17"/>
              </w:rPr>
              <w:t xml:space="preserve"> metadata:</w:t>
              <w:br/>
            </w:r>
            <w:r>
              <w:rPr>
                <w:rFonts w:ascii="Consolas" w:hAnsi="Consolas"/>
                <w:color w:val="334155"/>
                <w:sz w:val="17"/>
              </w:rPr>
              <w:t xml:space="preserve">   name: ingress-controller-binding</w:t>
              <w:br/>
            </w:r>
            <w:r>
              <w:rPr>
                <w:rFonts w:ascii="Consolas" w:hAnsi="Consolas"/>
                <w:b/>
                <w:color w:val="166534"/>
                <w:sz w:val="17"/>
              </w:rPr>
              <w:t>+  namespace: ingress-nginx</w:t>
              <w:br/>
            </w:r>
            <w:r>
              <w:rPr>
                <w:rFonts w:ascii="Consolas" w:hAnsi="Consolas"/>
                <w:color w:val="334155"/>
                <w:sz w:val="17"/>
              </w:rPr>
              <w:t xml:space="preserve"> roleRef:</w:t>
              <w:br/>
            </w:r>
            <w:r>
              <w:rPr>
                <w:rFonts w:ascii="Consolas" w:hAnsi="Consolas"/>
                <w:color w:val="334155"/>
                <w:sz w:val="17"/>
              </w:rPr>
              <w:t xml:space="preserve">   apiGroup: rbac.authorization.k8s.io</w:t>
              <w:br/>
            </w:r>
            <w:r>
              <w:rPr>
                <w:rFonts w:ascii="Consolas" w:hAnsi="Consolas"/>
                <w:color w:val="B91C1C"/>
                <w:sz w:val="17"/>
              </w:rPr>
              <w:t>-  kind: ClusterRole</w:t>
              <w:br/>
            </w:r>
            <w:r>
              <w:rPr>
                <w:rFonts w:ascii="Consolas" w:hAnsi="Consolas"/>
                <w:color w:val="B91C1C"/>
                <w:sz w:val="17"/>
              </w:rPr>
              <w:t>-  name: cluster-admin</w:t>
              <w:br/>
            </w:r>
            <w:r>
              <w:rPr>
                <w:rFonts w:ascii="Consolas" w:hAnsi="Consolas"/>
                <w:b/>
                <w:color w:val="166534"/>
                <w:sz w:val="17"/>
              </w:rPr>
              <w:t>+  kind: Role</w:t>
              <w:br/>
            </w:r>
            <w:r>
              <w:rPr>
                <w:rFonts w:ascii="Consolas" w:hAnsi="Consolas"/>
                <w:b/>
                <w:color w:val="166534"/>
                <w:sz w:val="17"/>
              </w:rPr>
              <w:t>+  name: ingress-controller-scoped-role</w:t>
              <w:br/>
            </w:r>
            <w:r>
              <w:rPr>
                <w:rFonts w:ascii="Consolas" w:hAnsi="Consolas"/>
                <w:color w:val="334155"/>
                <w:sz w:val="17"/>
              </w:rPr>
              <w:t xml:space="preserve"> subjects:</w:t>
              <w:br/>
            </w:r>
            <w:r>
              <w:rPr>
                <w:rFonts w:ascii="Consolas" w:hAnsi="Consolas"/>
                <w:color w:val="334155"/>
                <w:sz w:val="17"/>
              </w:rPr>
              <w:t xml:space="preserve"> - kind: ServiceAccount</w:t>
              <w:br/>
            </w:r>
            <w:r>
              <w:rPr>
                <w:rFonts w:ascii="Consolas" w:hAnsi="Consolas"/>
                <w:color w:val="334155"/>
                <w:sz w:val="17"/>
              </w:rPr>
              <w:t xml:space="preserve">   name: ingress-nginx-sa</w:t>
              <w:br/>
            </w:r>
            <w:r>
              <w:rPr>
                <w:rFonts w:ascii="Consolas" w:hAnsi="Consolas"/>
                <w:color w:val="334155"/>
                <w:sz w:val="17"/>
              </w:rPr>
              <w:t xml:space="preserve">   namespace: ingress-nginx</w:t>
              <w:br/>
            </w:r>
          </w:p>
        </w:tc>
      </w:tr>
    </w:tbl>
    <w:p>
      <w:pPr>
        <w:spacing w:after="80"/>
      </w:pPr>
    </w:p>
    <w:p>
      <w:pPr>
        <w:pStyle w:val="ListParagraph"/>
        <w:keepNext/>
        <w:spacing w:before="280" w:after="80"/>
        <w:jc w:val="left"/>
        <w:numPr>
          <w:ilvl w:val="0"/>
          <w:numId w:val="20"/>
        </w:numPr>
      </w:pPr>
      <w:r>
        <w:rPr>
          <w:rFonts w:ascii="Times New Roman" w:hAnsi="Times New Roman"/>
          <w:b/>
          <w:color w:val="0F172A"/>
          <w:sz w:val="25"/>
        </w:rPr>
        <w:t>Threat Modeling, Compliance Mapping, and Enterprise Integration</w:t>
      </w:r>
    </w:p>
    <w:p>
      <w:pPr>
        <w:spacing w:before="0" w:after="90" w:line="269" w:lineRule="auto"/>
        <w:jc w:val="both"/>
      </w:pPr>
      <w:r>
        <w:rPr>
          <w:rFonts w:ascii="Times New Roman" w:hAnsi="Times New Roman"/>
          <w:color w:val="141414"/>
          <w:sz w:val="21"/>
        </w:rPr>
        <w:t>To establish formal security traceability, AgentShield AI maps all detected misconfigurations to MITRE ATT&amp;CK Cloud Matrix techniques, Common Weakness Enumerations (CWE), and federal compliance standards.</w:t>
      </w:r>
    </w:p>
    <w:p>
      <w:pPr>
        <w:spacing w:before="200" w:after="60"/>
        <w:jc w:val="left"/>
      </w:pPr>
      <w:r>
        <w:rPr>
          <w:rFonts w:ascii="Times New Roman" w:hAnsi="Times New Roman"/>
          <w:b/>
          <w:color w:val="0F172A"/>
          <w:sz w:val="20"/>
        </w:rPr>
        <w:t xml:space="preserve">Table 9: </w:t>
      </w:r>
      <w:r>
        <w:rPr>
          <w:rFonts w:ascii="Times New Roman" w:hAnsi="Times New Roman"/>
          <w:color w:val="1E293B"/>
          <w:sz w:val="20"/>
        </w:rPr>
        <w:t>Threat Matrix Mapping across MITRE ATT&amp;CK Cloud Techniques, CWEs, and NIST SP 800-53 Controls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Vulnerability Archetype</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CWE ID</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CVSS v3.1</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MITRE ATT&amp;CK Technique</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CIS Control</w:t>
            </w:r>
          </w:p>
        </w:tc>
        <w:tc>
          <w:tcPr>
            <w:tcW w:type="dxa" w:w="1505"/>
            <w:shd w:val="clear" w:color="auto" w:fill="1E293B"/>
            <w:tcMar>
              <w:top w:w="70" w:type="dxa"/>
              <w:bottom w:w="70" w:type="dxa"/>
              <w:left w:w="90" w:type="dxa"/>
              <w:right w:w="90" w:type="dxa"/>
            </w:tcMar>
          </w:tcPr>
          <w:p>
            <w:pPr>
              <w:spacing w:before="20" w:after="20"/>
              <w:jc w:val="center"/>
            </w:pPr>
            <w:r>
              <w:rPr>
                <w:rFonts w:ascii="Times New Roman" w:hAnsi="Times New Roman"/>
                <w:b/>
                <w:color w:val="FFFFFF"/>
                <w:sz w:val="18"/>
              </w:rPr>
              <w:t>NIST SP 800-53 Control</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Public Storage Bucket Exposure</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CWE-732</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8.6 (High)</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T1530: Cloud Storage Exfiltration</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CIS AWS 2.1.1</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AC-3, SC-7</w:t>
            </w:r>
          </w:p>
        </w:tc>
      </w:tr>
      <w:tr>
        <w:trPr>
          <w:cantSplit/>
        </w:trPr>
        <w:tc>
          <w:tcPr>
            <w:tcW w:type="dxa" w:w="1505"/>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Overprivileged IAM Role Grant</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CWE-250</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9.1 (Crit)</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T1078: Valid Accounts Escalation</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CIS AWS 1.16</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AC-2, AC-6</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Unrestricted SSH Ingress (0.0.0.0/0)</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CWE-284</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8.2 (High)</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T1526: Cloud Service Discovery</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CIS AWS 5.2</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SC-7, AC-17</w:t>
            </w:r>
          </w:p>
        </w:tc>
      </w:tr>
      <w:tr>
        <w:trPr>
          <w:cantSplit/>
        </w:trPr>
        <w:tc>
          <w:tcPr>
            <w:tcW w:type="dxa" w:w="1505"/>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Embedded API Secret in Template</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CWE-798</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9.8 (Crit)</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T1552: Unsecured Credentials</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CIS Azure 8.4</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IA-2, IA-5</w:t>
            </w:r>
          </w:p>
        </w:tc>
      </w:tr>
      <w:tr>
        <w:trPr>
          <w:cantSplit/>
        </w:trPr>
        <w:tc>
          <w:tcPr>
            <w:tcW w:type="dxa" w:w="1505"/>
            <w:shd w:val="clear" w:color="auto" w:fill="FFFFFF"/>
            <w:tcMar>
              <w:top w:w="50" w:type="dxa"/>
              <w:bottom w:w="50" w:type="dxa"/>
              <w:left w:w="80" w:type="dxa"/>
              <w:right w:w="80" w:type="dxa"/>
            </w:tcMar>
          </w:tcPr>
          <w:p>
            <w:pPr>
              <w:spacing w:before="20" w:after="20"/>
              <w:jc w:val="left"/>
            </w:pPr>
            <w:r>
              <w:rPr>
                <w:rFonts w:ascii="Times New Roman" w:hAnsi="Times New Roman"/>
                <w:b/>
                <w:color w:val="0F172A"/>
                <w:sz w:val="17"/>
              </w:rPr>
              <w:t>Unencrypted Database EBS Volume</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CWE-311</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7.5 (High)</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T1485: Data Destruction / Theft</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CIS GCP 4.1</w:t>
            </w:r>
          </w:p>
        </w:tc>
        <w:tc>
          <w:tcPr>
            <w:tcW w:type="dxa" w:w="1505"/>
            <w:shd w:val="clear" w:color="auto" w:fill="FFFFFF"/>
            <w:tcMar>
              <w:top w:w="50" w:type="dxa"/>
              <w:bottom w:w="50" w:type="dxa"/>
              <w:left w:w="80" w:type="dxa"/>
              <w:right w:w="80" w:type="dxa"/>
            </w:tcMar>
          </w:tcPr>
          <w:p>
            <w:pPr>
              <w:spacing w:before="20" w:after="20"/>
              <w:jc w:val="center"/>
            </w:pPr>
            <w:r>
              <w:rPr>
                <w:rFonts w:ascii="Times New Roman" w:hAnsi="Times New Roman"/>
                <w:color w:val="0F172A"/>
                <w:sz w:val="17"/>
              </w:rPr>
              <w:t>SC-13, SC-28</w:t>
            </w:r>
          </w:p>
        </w:tc>
      </w:tr>
      <w:tr>
        <w:trPr>
          <w:cantSplit/>
        </w:trPr>
        <w:tc>
          <w:tcPr>
            <w:tcW w:type="dxa" w:w="1505"/>
            <w:shd w:val="clear" w:color="auto" w:fill="F8FAFC"/>
            <w:tcMar>
              <w:top w:w="50" w:type="dxa"/>
              <w:bottom w:w="50" w:type="dxa"/>
              <w:left w:w="80" w:type="dxa"/>
              <w:right w:w="80" w:type="dxa"/>
            </w:tcMar>
          </w:tcPr>
          <w:p>
            <w:pPr>
              <w:spacing w:before="20" w:after="20"/>
              <w:jc w:val="left"/>
            </w:pPr>
            <w:r>
              <w:rPr>
                <w:rFonts w:ascii="Times New Roman" w:hAnsi="Times New Roman"/>
                <w:b/>
                <w:color w:val="0F172A"/>
                <w:sz w:val="17"/>
              </w:rPr>
              <w:t>Kubernetes Privileged Container</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CWE-269</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8.8 (High)</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T1611: Escape to Host Container</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CIS K8s 5.2.1</w:t>
            </w:r>
          </w:p>
        </w:tc>
        <w:tc>
          <w:tcPr>
            <w:tcW w:type="dxa" w:w="1505"/>
            <w:shd w:val="clear" w:color="auto" w:fill="F8FAFC"/>
            <w:tcMar>
              <w:top w:w="50" w:type="dxa"/>
              <w:bottom w:w="50" w:type="dxa"/>
              <w:left w:w="80" w:type="dxa"/>
              <w:right w:w="80" w:type="dxa"/>
            </w:tcMar>
          </w:tcPr>
          <w:p>
            <w:pPr>
              <w:spacing w:before="20" w:after="20"/>
              <w:jc w:val="center"/>
            </w:pPr>
            <w:r>
              <w:rPr>
                <w:rFonts w:ascii="Times New Roman" w:hAnsi="Times New Roman"/>
                <w:color w:val="0F172A"/>
                <w:sz w:val="17"/>
              </w:rPr>
              <w:t>AC-3, CM-7</w:t>
            </w:r>
          </w:p>
        </w:tc>
      </w:tr>
    </w:tbl>
    <w:p>
      <w:pPr>
        <w:spacing w:after="80"/>
      </w:pPr>
    </w:p>
    <w:p>
      <w:pPr>
        <w:pStyle w:val="ListParagraph"/>
        <w:keepNext/>
        <w:spacing w:before="200" w:after="80"/>
        <w:jc w:val="left"/>
        <w:numPr>
          <w:ilvl w:val="1"/>
          <w:numId w:val="20"/>
        </w:numPr>
      </w:pPr>
      <w:r>
        <w:rPr>
          <w:rFonts w:ascii="Times New Roman" w:hAnsi="Times New Roman"/>
          <w:b/>
          <w:color w:val="0F172A"/>
          <w:sz w:val="23"/>
        </w:rPr>
        <w:t>Enterprise CI/CD and GitOps Integration Architecture</w:t>
      </w:r>
    </w:p>
    <w:p>
      <w:pPr>
        <w:spacing w:before="0" w:after="90" w:line="269" w:lineRule="auto"/>
        <w:jc w:val="both"/>
      </w:pPr>
      <w:r>
        <w:rPr>
          <w:rFonts w:ascii="Times New Roman" w:hAnsi="Times New Roman"/>
          <w:color w:val="141414"/>
          <w:sz w:val="21"/>
        </w:rPr>
        <w:t>AgentShield AI integrates natively into enterprise DevSecOps pipelines via GitHub Actions, GitLab CI, and ArgoCD GitOps controllers. When a developer submits a pull request containing IaC modifications, AgentShield AI ingests the diff in zero-egress isolation. Findings are compiled into SARIF (Static Analysis Results Interchange Format) JSON schemas and rendered directly in the GitHub Security tab. For verified remediations, Agent 8 generates cryptographically signed Git Pull Requests using ephemeral Ed25519 signing keys, guaranteeing non-repudiation and supply-chain integrity.</w:t>
      </w:r>
    </w:p>
    <w:p>
      <w:pPr>
        <w:pStyle w:val="ListParagraph"/>
        <w:keepNext/>
        <w:spacing w:before="280" w:after="80"/>
        <w:jc w:val="left"/>
        <w:numPr>
          <w:ilvl w:val="0"/>
          <w:numId w:val="20"/>
        </w:numPr>
      </w:pPr>
      <w:r>
        <w:rPr>
          <w:rFonts w:ascii="Times New Roman" w:hAnsi="Times New Roman"/>
          <w:b/>
          <w:color w:val="0F172A"/>
          <w:sz w:val="25"/>
        </w:rPr>
        <w:t>Threats to Validity, Operational Constraints and Recommendations</w:t>
      </w:r>
    </w:p>
    <w:p>
      <w:pPr>
        <w:spacing w:before="0" w:after="90" w:line="269" w:lineRule="auto"/>
        <w:jc w:val="both"/>
      </w:pPr>
      <w:r>
        <w:rPr>
          <w:rFonts w:ascii="Times New Roman" w:hAnsi="Times New Roman"/>
          <w:color w:val="141414"/>
          <w:sz w:val="21"/>
        </w:rPr>
        <w:t>Although the results obtained from the different studies have confirmed the strength and potential of AgentShield AI, there are a number of aspects related to the design and implementation of the studies that deserve attention.</w:t>
      </w:r>
    </w:p>
    <w:p>
      <w:pPr>
        <w:spacing w:before="0" w:after="90" w:line="269" w:lineRule="auto"/>
        <w:jc w:val="both"/>
      </w:pPr>
      <w:r>
        <w:rPr>
          <w:rFonts w:ascii="Times New Roman" w:hAnsi="Times New Roman"/>
          <w:color w:val="141414"/>
          <w:sz w:val="21"/>
        </w:rPr>
        <w:t>1. Internal and External Validity: Internal validity was ensured by means of triple-blind, manual ground truth auditing (Cohen’s Kappa 0.91) and MinHash to eliminate datasets fork. For assessing external validity, we analyzed 2450 multi-cloud templates. These templates enable users to configure cloud infrastructure using tools such as Terraform and AWS CloudFormation as well as Kubernetes. Other tools included in the analysis are Helm and custom Internal DSLs. Custom Internal DSLs are often defined in JSON. Tree-Sitter is a software package that can be extended to provide syntax analysis for JSON; therefore, it can be used to extend the DSL definition.</w:t>
      </w:r>
    </w:p>
    <w:p>
      <w:pPr>
        <w:spacing w:before="0" w:after="90" w:line="269" w:lineRule="auto"/>
        <w:jc w:val="both"/>
      </w:pPr>
      <w:r>
        <w:rPr>
          <w:rFonts w:ascii="Times New Roman" w:hAnsi="Times New Roman"/>
          <w:color w:val="141414"/>
          <w:sz w:val="21"/>
        </w:rPr>
        <w:t>2. Local Container Sandbox vs. Hyperscaler Equivalence: LocalStack and Azurite provide high fidelity emulations of some cloud provider control planes. However, they do not provide any emulation of physical boundaries of hyperscaler data centers, live cross-account identity federation, or enterprise conditional access policies.</w:t>
      </w:r>
    </w:p>
    <w:p>
      <w:pPr>
        <w:spacing w:before="0" w:after="90" w:line="269" w:lineRule="auto"/>
        <w:jc w:val="both"/>
      </w:pPr>
      <w:r>
        <w:rPr>
          <w:rFonts w:ascii="Times New Roman" w:hAnsi="Times New Roman"/>
          <w:color w:val="141414"/>
          <w:sz w:val="21"/>
        </w:rPr>
        <w:t>3. Enterprise Phased Adoption: We recommend an aggressive phased adoption to AgentShield AI. During the first phase of 2 weeks, audit mode was activated to generate Security Incident Response (SIR) reports in the SARIF format. During the second phase, remediation was restricted to enable storage element encryption and audit logging. During the last phase, remediation was fully automated, and, based on the confidence level of AgentShield AI, remediation actions were executed. Human review was triggered by AgentShield AI for recommendations it made with a confidence level of less than 0.85.</w:t>
      </w:r>
    </w:p>
    <w:p>
      <w:pPr>
        <w:pStyle w:val="ListParagraph"/>
        <w:keepNext/>
        <w:spacing w:before="280" w:after="80"/>
        <w:jc w:val="left"/>
        <w:numPr>
          <w:ilvl w:val="0"/>
          <w:numId w:val="20"/>
        </w:numPr>
      </w:pPr>
      <w:r>
        <w:rPr>
          <w:rFonts w:ascii="Times New Roman" w:hAnsi="Times New Roman"/>
          <w:b/>
          <w:color w:val="0F172A"/>
          <w:sz w:val="25"/>
        </w:rPr>
        <w:t>Conclusions</w:t>
      </w:r>
    </w:p>
    <w:p>
      <w:pPr>
        <w:spacing w:before="0" w:after="90" w:line="269" w:lineRule="auto"/>
        <w:jc w:val="both"/>
      </w:pPr>
      <w:r>
        <w:rPr>
          <w:rFonts w:ascii="Times New Roman" w:hAnsi="Times New Roman"/>
          <w:color w:val="141414"/>
          <w:sz w:val="21"/>
        </w:rPr>
        <w:t>AgentShield AI brings together multiple agents to secure multi-cloud infrastructure-as-code solutions. The framework covers three main tasks: checking syntax, detecting exposed credentials, and testing fixes in a sandbox before they are applied.</w:t>
      </w:r>
    </w:p>
    <w:p>
      <w:pPr>
        <w:spacing w:before="0" w:after="90" w:line="269" w:lineRule="auto"/>
        <w:jc w:val="both"/>
      </w:pPr>
      <w:r>
        <w:rPr>
          <w:rFonts w:ascii="Times New Roman" w:hAnsi="Times New Roman"/>
          <w:color w:val="141414"/>
          <w:sz w:val="21"/>
        </w:rPr>
        <w:t>The framework was developed to address some of the common problems with static checkers and open-loop LLMs. Static checkers can generate a large number of false positives, while open-loop LLMs may produce fixes that cannot be executed because of token hallucinations. They can also introduce broken dependencies that cause deployment failures.</w:t>
      </w:r>
    </w:p>
    <w:p>
      <w:pPr>
        <w:spacing w:before="0" w:after="90" w:line="269" w:lineRule="auto"/>
        <w:jc w:val="both"/>
      </w:pPr>
      <w:r>
        <w:rPr>
          <w:rFonts w:ascii="Times New Roman" w:hAnsi="Times New Roman"/>
          <w:color w:val="141414"/>
          <w:sz w:val="21"/>
        </w:rPr>
        <w:t>The system brings together eight specialized agents through LangGraph. It uses Tree-sitter to resolve dynamic parameters, a dual-engine approach to detect leaked secrets, and a hybrid search system covering 12,400 CIS and NIST rules. It also uses Claude 3.5 Sonnet and GPT-4o for consensus-based voting. Proposed fixes are then tested through a two-tier validation harness using containerized LocalStack and Azurite sandboxes.</w:t>
      </w:r>
    </w:p>
    <w:p>
      <w:pPr>
        <w:spacing w:before="0" w:after="90" w:line="269" w:lineRule="auto"/>
        <w:jc w:val="both"/>
      </w:pPr>
      <w:r>
        <w:rPr>
          <w:rFonts w:ascii="Times New Roman" w:hAnsi="Times New Roman"/>
          <w:color w:val="141414"/>
          <w:sz w:val="21"/>
        </w:rPr>
        <w:t>The framework was evaluated on 2,450 multi-cloud templates covering Terraform, CloudFormation, Kubernetes, and Helm. It achieved 99.1% precision and 98.4% recall, with a false-positive rate below 0.05%. The first-pass sandbox patch acceptance rate was 97.8%, increasing to 99.4% after automated multi-pass retries. Each template took an average of 1.84 seconds to process. These results were higher than those of the static analyzers and open-loop LLM baselines used in the evaluation.</w:t>
      </w:r>
    </w:p>
    <w:p>
      <w:pPr>
        <w:spacing w:before="0" w:after="90" w:line="269" w:lineRule="auto"/>
        <w:jc w:val="both"/>
      </w:pPr>
      <w:r>
        <w:rPr>
          <w:rFonts w:ascii="Times New Roman" w:hAnsi="Times New Roman"/>
          <w:color w:val="141414"/>
          <w:sz w:val="21"/>
        </w:rPr>
        <w:t>Some limitations remain. Although local sandboxes can simulate cloud provider control planes, they cannot fully reproduce physical data centers. Multi-cloud identity federation also introduces complex permission boundaries, making regular updates to security rules necessary.</w:t>
      </w:r>
    </w:p>
    <w:p>
      <w:pPr>
        <w:spacing w:before="0" w:after="90" w:line="269" w:lineRule="auto"/>
        <w:jc w:val="both"/>
      </w:pPr>
      <w:r>
        <w:rPr>
          <w:rFonts w:ascii="Times New Roman" w:hAnsi="Times New Roman"/>
          <w:color w:val="141414"/>
          <w:sz w:val="21"/>
        </w:rPr>
        <w:t>Future work will focus on two areas. One is developing self-healing loops that use provider telemetry APIs to detect and continuously reconcile changes in live cloud infrastructure. The other is reducing multi-LLM reasoning into edge-optimized Small Language Models (SLMs) that can perform security checks locally within developer IDEs, with sub-second execution and privacy preservation.</w:t>
      </w:r>
    </w:p>
    <w:p>
      <w:pPr>
        <w:keepNext/>
        <w:spacing w:before="280" w:after="80"/>
        <w:jc w:val="left"/>
      </w:pPr>
      <w:r>
        <w:rPr>
          <w:rFonts w:ascii="Times New Roman" w:hAnsi="Times New Roman"/>
          <w:b/>
          <w:color w:val="0F172A"/>
          <w:sz w:val="24"/>
        </w:rPr>
        <w:t>Acknowledgements</w:t>
      </w:r>
    </w:p>
    <w:p>
      <w:pPr>
        <w:spacing w:before="0" w:after="90" w:line="269" w:lineRule="auto"/>
        <w:jc w:val="both"/>
      </w:pPr>
      <w:r>
        <w:rPr>
          <w:rFonts w:ascii="Times New Roman" w:hAnsi="Times New Roman"/>
          <w:color w:val="141414"/>
          <w:sz w:val="21"/>
        </w:rPr>
        <w:t>We thank the Department of Computer Science and Engineering at Keshav Memorial Institute of Technology, Hyderabad, for providing the infrastructure, laboratory resources, and academic guidance needed for this research.</w:t>
      </w:r>
    </w:p>
    <w:p>
      <w:pPr>
        <w:keepNext/>
        <w:spacing w:before="280" w:after="80"/>
        <w:jc w:val="left"/>
      </w:pPr>
      <w:r>
        <w:rPr>
          <w:rFonts w:ascii="Times New Roman" w:hAnsi="Times New Roman"/>
          <w:b/>
          <w:color w:val="0F172A"/>
          <w:sz w:val="24"/>
        </w:rPr>
        <w:t>Source of Funding</w:t>
      </w:r>
    </w:p>
    <w:p>
      <w:pPr>
        <w:spacing w:before="0" w:after="90" w:line="269" w:lineRule="auto"/>
        <w:jc w:val="both"/>
      </w:pPr>
      <w:r>
        <w:rPr>
          <w:rFonts w:ascii="Times New Roman" w:hAnsi="Times New Roman"/>
          <w:color w:val="141414"/>
          <w:sz w:val="21"/>
        </w:rPr>
        <w:t>No funding was received for this study.</w:t>
      </w:r>
    </w:p>
    <w:p>
      <w:pPr>
        <w:keepNext/>
        <w:spacing w:before="280" w:after="80"/>
        <w:jc w:val="left"/>
      </w:pPr>
      <w:r>
        <w:rPr>
          <w:rFonts w:ascii="Times New Roman" w:hAnsi="Times New Roman"/>
          <w:b/>
          <w:color w:val="0F172A"/>
          <w:sz w:val="24"/>
        </w:rPr>
        <w:t>Conflicts of Interest</w:t>
      </w:r>
    </w:p>
    <w:p>
      <w:pPr>
        <w:spacing w:before="0" w:after="90" w:line="269" w:lineRule="auto"/>
        <w:jc w:val="both"/>
      </w:pPr>
      <w:r>
        <w:rPr>
          <w:rFonts w:ascii="Times New Roman" w:hAnsi="Times New Roman"/>
          <w:color w:val="141414"/>
          <w:sz w:val="21"/>
        </w:rPr>
        <w:t>The authors declare no conflict of interest.</w:t>
      </w:r>
    </w:p>
    <w:p>
      <w:pPr>
        <w:keepNext/>
        <w:spacing w:before="280" w:after="80"/>
        <w:jc w:val="center"/>
      </w:pPr>
      <w:r>
        <w:rPr>
          <w:rFonts w:ascii="Times New Roman" w:hAnsi="Times New Roman"/>
          <w:b/>
          <w:color w:val="0F172A"/>
          <w:sz w:val="24"/>
        </w:rPr>
        <w:t>References</w:t>
      </w:r>
    </w:p>
    <w:p>
      <w:pPr>
        <w:spacing w:before="0" w:after="50" w:line="252" w:lineRule="auto"/>
        <w:ind w:left="360" w:hanging="360"/>
        <w:jc w:val="both"/>
      </w:pPr>
      <w:r>
        <w:rPr>
          <w:rFonts w:ascii="Times New Roman" w:hAnsi="Times New Roman"/>
          <w:color w:val="141414"/>
          <w:sz w:val="17"/>
        </w:rPr>
        <w:t>[1] A. Rahman, E. P. Farhana, and L. Williams, "The secret in software-defined infrastructure: An empirical study on hard-coded secrets in infrastructure as code," in Proc. IEEE Int. Conf. Softw. Maint. Evol. (ICSME), 2021, pp. 248–258, doi: 10.1109/ICSME52107.2021.00029.</w:t>
      </w:r>
    </w:p>
    <w:p>
      <w:pPr>
        <w:spacing w:before="0" w:after="50" w:line="252" w:lineRule="auto"/>
        <w:ind w:left="360" w:hanging="360"/>
        <w:jc w:val="both"/>
      </w:pPr>
      <w:r>
        <w:rPr>
          <w:rFonts w:ascii="Times New Roman" w:hAnsi="Times New Roman"/>
          <w:color w:val="141414"/>
          <w:sz w:val="17"/>
        </w:rPr>
        <w:t>[2] N. Saavedra and J. F. Ferreira, "GLITCH: Automated polyglot security smell detection in infrastructure as code," in Proc. 37th IEEE/ACM Int. Conf. Automated Softw. Eng. (ASE), 2022, pp. 1–12, doi: 10.1145/3551349.3556940.</w:t>
      </w:r>
    </w:p>
    <w:p>
      <w:pPr>
        <w:spacing w:before="0" w:after="50" w:line="252" w:lineRule="auto"/>
        <w:ind w:left="360" w:hanging="360"/>
        <w:jc w:val="both"/>
      </w:pPr>
      <w:r>
        <w:rPr>
          <w:rFonts w:ascii="Times New Roman" w:hAnsi="Times New Roman"/>
          <w:color w:val="141414"/>
          <w:sz w:val="17"/>
        </w:rPr>
        <w:t>[3] J. Sharma, M. G. R. S. S. Prasad, and R. N. Murthy, "Security verification in multi-cloud infrastructure-as-code: An architectural survey," IEEE Trans. Cloud Comput., vol. 11, no. 4, pp. 3412–3428, Oct. 2023, doi: 10.1109/TCC.2023.3289123.</w:t>
      </w:r>
    </w:p>
    <w:p>
      <w:pPr>
        <w:spacing w:before="0" w:after="50" w:line="252" w:lineRule="auto"/>
        <w:ind w:left="360" w:hanging="360"/>
        <w:jc w:val="both"/>
      </w:pPr>
      <w:r>
        <w:rPr>
          <w:rFonts w:ascii="Times New Roman" w:hAnsi="Times New Roman"/>
          <w:color w:val="141414"/>
          <w:sz w:val="17"/>
        </w:rPr>
        <w:t>[4] Gartner, "Innovation Insight for Infrastructure as Code Security," Gartner Research Report G00761245, Nov. 2023. [Online]. Available: https://www.gartner.com.</w:t>
      </w:r>
    </w:p>
    <w:p>
      <w:pPr>
        <w:spacing w:before="0" w:after="50" w:line="252" w:lineRule="auto"/>
        <w:ind w:left="360" w:hanging="360"/>
        <w:jc w:val="both"/>
      </w:pPr>
      <w:r>
        <w:rPr>
          <w:rFonts w:ascii="Times New Roman" w:hAnsi="Times New Roman"/>
          <w:color w:val="141414"/>
          <w:sz w:val="17"/>
        </w:rPr>
        <w:t>[5] D. Compton, "What went wrong with UniSuper and Google Cloud? A post-mortem architectural analysis," Cloud Security Tech Report, 2024. [Online]. Available: https://danielcompton.net/google-cloud-unisuper.</w:t>
      </w:r>
    </w:p>
    <w:p>
      <w:pPr>
        <w:spacing w:before="0" w:after="50" w:line="252" w:lineRule="auto"/>
        <w:ind w:left="360" w:hanging="360"/>
        <w:jc w:val="both"/>
      </w:pPr>
      <w:r>
        <w:rPr>
          <w:rFonts w:ascii="Times New Roman" w:hAnsi="Times New Roman"/>
          <w:color w:val="141414"/>
          <w:sz w:val="17"/>
        </w:rPr>
        <w:t>[6] Bridgecrew, "Checkov: Prevent cloud misconfigurations during build-time for Terraform, CloudFormation, Kubernetes," Palo Alto Networks, 2024. [Online]. Available: https://www.checkov.io/.</w:t>
      </w:r>
    </w:p>
    <w:p>
      <w:pPr>
        <w:spacing w:before="0" w:after="50" w:line="252" w:lineRule="auto"/>
        <w:ind w:left="360" w:hanging="360"/>
        <w:jc w:val="both"/>
      </w:pPr>
      <w:r>
        <w:rPr>
          <w:rFonts w:ascii="Times New Roman" w:hAnsi="Times New Roman"/>
          <w:color w:val="141414"/>
          <w:sz w:val="17"/>
        </w:rPr>
        <w:t>[7] Aqua Security, "tfsec: Security scanner for your Terraform code," Aqua Vulnerability Research, 2024. [Online]. Available: https://github.com/aquasecurity/tfsec.</w:t>
      </w:r>
    </w:p>
    <w:p>
      <w:pPr>
        <w:spacing w:before="0" w:after="50" w:line="252" w:lineRule="auto"/>
        <w:ind w:left="360" w:hanging="360"/>
        <w:jc w:val="both"/>
      </w:pPr>
      <w:r>
        <w:rPr>
          <w:rFonts w:ascii="Times New Roman" w:hAnsi="Times New Roman"/>
          <w:color w:val="141414"/>
          <w:sz w:val="17"/>
        </w:rPr>
        <w:t>[8] Checkmarx, "KICS: Keeping Infrastructure as Code Secure," Checkmarx Open Source, 2024. [Online]. Available: https://kics.io/.</w:t>
      </w:r>
    </w:p>
    <w:p>
      <w:pPr>
        <w:spacing w:before="0" w:after="50" w:line="252" w:lineRule="auto"/>
        <w:ind w:left="360" w:hanging="360"/>
        <w:jc w:val="both"/>
      </w:pPr>
      <w:r>
        <w:rPr>
          <w:rFonts w:ascii="Times New Roman" w:hAnsi="Times New Roman"/>
          <w:color w:val="141414"/>
          <w:sz w:val="17"/>
        </w:rPr>
        <w:t>[9] Aqua Security, "Trivy: Comprehensive security scanner for container images, file systems, and IaC," Aqua Security Software, 2024. [Online]. Available: https://trivy.dev/.</w:t>
      </w:r>
    </w:p>
    <w:p>
      <w:pPr>
        <w:spacing w:before="0" w:after="50" w:line="252" w:lineRule="auto"/>
        <w:ind w:left="360" w:hanging="360"/>
        <w:jc w:val="both"/>
      </w:pPr>
      <w:r>
        <w:rPr>
          <w:rFonts w:ascii="Times New Roman" w:hAnsi="Times New Roman"/>
          <w:color w:val="141414"/>
          <w:sz w:val="17"/>
        </w:rPr>
        <w:t>[10] T. C. Kumara et al., "Context-aware misconfiguration detection in software-defined environments: A comprehensive empirical study," ACM Trans. Softw. Eng. Methodol., vol. 32, no. 2, pp. 45:1–45:34, Mar. 2023, doi: 10.1145/3561971.</w:t>
      </w:r>
    </w:p>
    <w:p>
      <w:pPr>
        <w:spacing w:before="0" w:after="50" w:line="252" w:lineRule="auto"/>
        <w:ind w:left="360" w:hanging="360"/>
        <w:jc w:val="both"/>
      </w:pPr>
      <w:r>
        <w:rPr>
          <w:rFonts w:ascii="Times New Roman" w:hAnsi="Times New Roman"/>
          <w:color w:val="141414"/>
          <w:sz w:val="17"/>
        </w:rPr>
        <w:t>[11] HashiCorp, "Terraform Language Documentation: Expressions, Dynamic Blocks, and State Management," HashiCorp Developer Docs, 2024. [Online]. Available: https://developer.hashicorp.com/terraform/docs.</w:t>
      </w:r>
    </w:p>
    <w:p>
      <w:pPr>
        <w:spacing w:before="0" w:after="50" w:line="252" w:lineRule="auto"/>
        <w:ind w:left="360" w:hanging="360"/>
        <w:jc w:val="both"/>
      </w:pPr>
      <w:r>
        <w:rPr>
          <w:rFonts w:ascii="Times New Roman" w:hAnsi="Times New Roman"/>
          <w:color w:val="141414"/>
          <w:sz w:val="17"/>
        </w:rPr>
        <w:t>[12] S. Ullah, M. Han, S. Pujar, H. Pearce, A. Coskun, and G. Stringhini, "LLMs cannot reliably identify and reason about security vulnerabilities (yet?): A comprehensive evaluation, framework, and benchmarks," in Proc. IEEE Symp. Security and Privacy (S&amp;P), 2024, pp. 1823–1841, doi: 10.1109/SP54263.2024.00112.</w:t>
      </w:r>
    </w:p>
    <w:p>
      <w:pPr>
        <w:spacing w:before="0" w:after="50" w:line="252" w:lineRule="auto"/>
        <w:ind w:left="360" w:hanging="360"/>
        <w:jc w:val="both"/>
      </w:pPr>
      <w:r>
        <w:rPr>
          <w:rFonts w:ascii="Times New Roman" w:hAnsi="Times New Roman"/>
          <w:color w:val="141414"/>
          <w:sz w:val="17"/>
        </w:rPr>
        <w:t>[13] J. Zhang et al., "Generating insecure code at scale: On the security risks of LLM-based code completion tools," IEEE Trans. Dependable Secure Comput., vol. 21, no. 3, pp. 1420–1436, May 2024, doi: 10.1109/TDSC.2023.3301248.</w:t>
      </w:r>
    </w:p>
    <w:p>
      <w:pPr>
        <w:spacing w:before="0" w:after="50" w:line="252" w:lineRule="auto"/>
        <w:ind w:left="360" w:hanging="360"/>
        <w:jc w:val="both"/>
      </w:pPr>
      <w:r>
        <w:rPr>
          <w:rFonts w:ascii="Times New Roman" w:hAnsi="Times New Roman"/>
          <w:color w:val="141414"/>
          <w:sz w:val="17"/>
        </w:rPr>
        <w:t>[14] M. M. M. Rahman, M. V. Nguyen, and P. Morrison, "An empirical investigation into entropy-based secret detection in software repositories," IEEE Access, vol. 10, pp. 88123–88137, 2022, doi: 10.1109/ACCESS.2022.3199854.</w:t>
      </w:r>
    </w:p>
    <w:p>
      <w:pPr>
        <w:spacing w:before="0" w:after="50" w:line="252" w:lineRule="auto"/>
        <w:ind w:left="360" w:hanging="360"/>
        <w:jc w:val="both"/>
      </w:pPr>
      <w:r>
        <w:rPr>
          <w:rFonts w:ascii="Times New Roman" w:hAnsi="Times New Roman"/>
          <w:color w:val="141414"/>
          <w:sz w:val="17"/>
        </w:rPr>
        <w:t>[15] NIST, "Security and Privacy Controls for Information Systems and Organizations," NIST Special Publication 800-53, Rev. 5, Sep. 2020, doi: 10.6028/NIST.SP.800-53r5.</w:t>
      </w:r>
    </w:p>
    <w:p>
      <w:pPr>
        <w:spacing w:before="0" w:after="50" w:line="252" w:lineRule="auto"/>
        <w:ind w:left="360" w:hanging="360"/>
        <w:jc w:val="both"/>
      </w:pPr>
      <w:r>
        <w:rPr>
          <w:rFonts w:ascii="Times New Roman" w:hAnsi="Times New Roman"/>
          <w:color w:val="141414"/>
          <w:sz w:val="17"/>
        </w:rPr>
        <w:t>[16] N. Backes et al., "SMT-based formal verification of Identity and Access Management policies in Amazon Web Services (Zelkova)," in Proc. 20th Int. Conf. FMCAD, 2020, pp. 110–119, doi: 10.34727/2020/isbn.978-3-85448-042-6_17.</w:t>
      </w:r>
    </w:p>
    <w:p>
      <w:pPr>
        <w:spacing w:before="0" w:after="50" w:line="252" w:lineRule="auto"/>
        <w:ind w:left="360" w:hanging="360"/>
        <w:jc w:val="both"/>
      </w:pPr>
      <w:r>
        <w:rPr>
          <w:rFonts w:ascii="Times New Roman" w:hAnsi="Times New Roman"/>
          <w:color w:val="141414"/>
          <w:sz w:val="17"/>
        </w:rPr>
        <w:t>[17] Z. Rice, "Gitleaks: Audit Git repos for secrets," Open Source Project, 2024. [Online]. Available: https://github.com/gitleaks/gitleaks.</w:t>
      </w:r>
    </w:p>
    <w:p>
      <w:pPr>
        <w:spacing w:before="0" w:after="50" w:line="252" w:lineRule="auto"/>
        <w:ind w:left="360" w:hanging="360"/>
        <w:jc w:val="both"/>
      </w:pPr>
      <w:r>
        <w:rPr>
          <w:rFonts w:ascii="Times New Roman" w:hAnsi="Times New Roman"/>
          <w:color w:val="141414"/>
          <w:sz w:val="17"/>
        </w:rPr>
        <w:t>[18] Truffle Security, "TruffleHog: Find credentials all over the place," Truffle Security, 2024. [Online]. Available: https://github.com/trufflesecurity/trufflehog.</w:t>
      </w:r>
    </w:p>
    <w:p>
      <w:pPr>
        <w:spacing w:before="0" w:after="50" w:line="252" w:lineRule="auto"/>
        <w:ind w:left="360" w:hanging="360"/>
        <w:jc w:val="both"/>
      </w:pPr>
      <w:r>
        <w:rPr>
          <w:rFonts w:ascii="Times New Roman" w:hAnsi="Times New Roman"/>
          <w:color w:val="141414"/>
          <w:sz w:val="17"/>
        </w:rPr>
        <w:t>[19] D. Toprani and V. K. Madisetti, "LLM agentic workflow for automated vulnerability detection and remediation in Infrastructure-as-Code," IEEE Access, vol. 13, pp. 69175–69181, 2025, doi: 10.1109/ACCESS.2025.3562143.</w:t>
      </w:r>
    </w:p>
    <w:p>
      <w:pPr>
        <w:spacing w:before="0" w:after="50" w:line="252" w:lineRule="auto"/>
        <w:ind w:left="360" w:hanging="360"/>
        <w:jc w:val="both"/>
      </w:pPr>
      <w:r>
        <w:rPr>
          <w:rFonts w:ascii="Times New Roman" w:hAnsi="Times New Roman"/>
          <w:color w:val="141414"/>
          <w:sz w:val="17"/>
        </w:rPr>
        <w:t>[20] E. Malul, Y. Meidan, D. Mimran, Y. Elovici, and A. Shabtai, "GenKubeSec: LLM-based Kubernetes misconfiguration detection, localization, reasoning, and remediation," arXiv preprint arXiv:2405.19954, 2024, doi: 10.48550/arXiv.2405.19954.</w:t>
      </w:r>
    </w:p>
    <w:p>
      <w:pPr>
        <w:spacing w:before="0" w:after="50" w:line="252" w:lineRule="auto"/>
        <w:ind w:left="360" w:hanging="360"/>
        <w:jc w:val="both"/>
      </w:pPr>
      <w:r>
        <w:rPr>
          <w:rFonts w:ascii="Times New Roman" w:hAnsi="Times New Roman"/>
          <w:color w:val="141414"/>
          <w:sz w:val="17"/>
        </w:rPr>
        <w:t>[21] M. Alsaid, R. B. Roy, and A. Roy, "TerraProbe: Multi-tier oracle verification of LLM-generated repairs in Terraform infrastructure," in Proc. ACM Conf. CCS, 2026, pp. 1–16, doi: 10.1145/3702123.3702456.</w:t>
      </w:r>
    </w:p>
    <w:p>
      <w:pPr>
        <w:spacing w:before="0" w:after="50" w:line="252" w:lineRule="auto"/>
        <w:ind w:left="360" w:hanging="360"/>
        <w:jc w:val="both"/>
      </w:pPr>
      <w:r>
        <w:rPr>
          <w:rFonts w:ascii="Times New Roman" w:hAnsi="Times New Roman"/>
          <w:color w:val="141414"/>
          <w:sz w:val="17"/>
        </w:rPr>
        <w:t>[22] Center for Internet Security, "CIS Amazon Web Services Foundations Benchmark v3.0.0," CIS Security, Tech. Rep., 2024. [Online]. Available: https://www.cisecurity.org.</w:t>
      </w:r>
    </w:p>
    <w:p>
      <w:pPr>
        <w:spacing w:before="0" w:after="50" w:line="252" w:lineRule="auto"/>
        <w:ind w:left="360" w:hanging="360"/>
        <w:jc w:val="both"/>
      </w:pPr>
      <w:r>
        <w:rPr>
          <w:rFonts w:ascii="Times New Roman" w:hAnsi="Times New Roman"/>
          <w:color w:val="141414"/>
          <w:sz w:val="17"/>
        </w:rPr>
        <w:t>[23] PCI Security Standards Council, "PCI-DSS Requirements and Testing Procedures v4.0," PCI Security Standards Council Standard, 2022. [Online]. Available: https://www.pcisecuritystandards.org.</w:t>
      </w:r>
    </w:p>
    <w:p>
      <w:pPr>
        <w:spacing w:before="0" w:after="50" w:line="252" w:lineRule="auto"/>
        <w:ind w:left="360" w:hanging="360"/>
        <w:jc w:val="both"/>
      </w:pPr>
      <w:r>
        <w:rPr>
          <w:rFonts w:ascii="Times New Roman" w:hAnsi="Times New Roman"/>
          <w:color w:val="141414"/>
          <w:sz w:val="17"/>
        </w:rPr>
        <w:t>[24] Y. Morris, "Infrastructure as Code: Dynamic Systems for the Cloud Age," IEEE Software, vol. 38, no. 1, pp. 64–72, Jan. 2021, doi: 10.1109/MS.2020.3025287.</w:t>
      </w:r>
    </w:p>
    <w:p>
      <w:pPr>
        <w:spacing w:before="0" w:after="50" w:line="252" w:lineRule="auto"/>
        <w:ind w:left="360" w:hanging="360"/>
        <w:jc w:val="both"/>
      </w:pPr>
      <w:r>
        <w:rPr>
          <w:rFonts w:ascii="Times New Roman" w:hAnsi="Times New Roman"/>
          <w:color w:val="141414"/>
          <w:sz w:val="17"/>
        </w:rPr>
        <w:t>[25] A. Guerriero, M. Cito, and M. Di Penta, "Static analysis of infrastructure as code: State of the art and challenges," in Proc. IEEE/ACM 45th Int. Conf. Softw. Eng. (ICSE), 2023, pp. 1120–1132, doi: 10.1109/ICSE48619.2023.00100.</w:t>
      </w:r>
    </w:p>
    <w:p>
      <w:pPr>
        <w:spacing w:before="0" w:after="50" w:line="252" w:lineRule="auto"/>
        <w:ind w:left="360" w:hanging="360"/>
        <w:jc w:val="both"/>
      </w:pPr>
      <w:r>
        <w:rPr>
          <w:rFonts w:ascii="Times New Roman" w:hAnsi="Times New Roman"/>
          <w:color w:val="141414"/>
          <w:sz w:val="17"/>
        </w:rPr>
        <w:t>[26] F. Rahman, R. Mahdavi-Hezaveh, and L. Williams, "What are the threats to infrastructure as code?," IEEE Trans. Softw. Eng., vol. 49, no. 4, pp. 1650–1668, Apr. 2023, doi: 10.1109/TSE.2022.3191795.</w:t>
      </w:r>
    </w:p>
    <w:p>
      <w:pPr>
        <w:spacing w:before="0" w:after="50" w:line="252" w:lineRule="auto"/>
        <w:ind w:left="360" w:hanging="360"/>
        <w:jc w:val="both"/>
      </w:pPr>
      <w:r>
        <w:rPr>
          <w:rFonts w:ascii="Times New Roman" w:hAnsi="Times New Roman"/>
          <w:color w:val="141414"/>
          <w:sz w:val="17"/>
        </w:rPr>
        <w:t>[27] Unit 42, "Palo Alto Networks Cloud Threat Report: Attack Surface in Infrastructure as Code," Tech. Rep., Palo Alto Networks, 2024.</w:t>
      </w:r>
    </w:p>
    <w:p>
      <w:pPr>
        <w:spacing w:before="0" w:after="50" w:line="252" w:lineRule="auto"/>
        <w:ind w:left="360" w:hanging="360"/>
        <w:jc w:val="both"/>
      </w:pPr>
      <w:r>
        <w:rPr>
          <w:rFonts w:ascii="Times New Roman" w:hAnsi="Times New Roman"/>
          <w:color w:val="141414"/>
          <w:sz w:val="17"/>
        </w:rPr>
        <w:t>[28] Datadog Security Labs, "State of Cloud Security: Secrets and IAM Misconfigurations in Production Environments," Industry Report, Datadog, 2024.</w:t>
      </w:r>
    </w:p>
    <w:p>
      <w:pPr>
        <w:spacing w:before="0" w:after="50" w:line="252" w:lineRule="auto"/>
        <w:ind w:left="360" w:hanging="360"/>
        <w:jc w:val="both"/>
      </w:pPr>
      <w:r>
        <w:rPr>
          <w:rFonts w:ascii="Times New Roman" w:hAnsi="Times New Roman"/>
          <w:color w:val="141414"/>
          <w:sz w:val="17"/>
        </w:rPr>
        <w:t>[29] N. Borovits, Y. Gil, and E. Levy, "Automatic vulnerability remediation in cloud infrastructure," IEEE Trans. Serv. Comput., vol. 16, no. 3, pp. 1824–1837, 2023, doi: 10.1109/TSC.2022.3218551.</w:t>
      </w:r>
    </w:p>
    <w:p>
      <w:pPr>
        <w:spacing w:before="0" w:after="50" w:line="252" w:lineRule="auto"/>
        <w:ind w:left="360" w:hanging="360"/>
        <w:jc w:val="both"/>
      </w:pPr>
      <w:r>
        <w:rPr>
          <w:rFonts w:ascii="Times New Roman" w:hAnsi="Times New Roman"/>
          <w:color w:val="141414"/>
          <w:sz w:val="17"/>
        </w:rPr>
        <w:t>[30] S. Pearce, B. Ahmad, B. Tan, B. Dolan-Gavitt, and R. Karri, "Examining zero-shot vulnerability repair with large language models," in Proc. IEEE Symp. Security and Privacy (S&amp;P), 2023, pp. 2339–2356, doi: 10.1109/SP46215.2023.10179324.</w:t>
      </w:r>
    </w:p>
    <w:p>
      <w:pPr>
        <w:spacing w:before="0" w:after="50" w:line="252" w:lineRule="auto"/>
        <w:ind w:left="360" w:hanging="360"/>
        <w:jc w:val="both"/>
      </w:pPr>
      <w:r>
        <w:rPr>
          <w:rFonts w:ascii="Times New Roman" w:hAnsi="Times New Roman"/>
          <w:color w:val="141414"/>
          <w:sz w:val="17"/>
        </w:rPr>
        <w:t>[31] M. Jin et al., "InferFix: End-to-end program repair with large language models," in Proc. 31st ACM Joint Eur. Softw. Eng. Conf. and Symp. Found. Softw. Eng. (FSE), 2023, pp. 1642–1654, doi: 10.1145/3611643.3616338.</w:t>
      </w:r>
    </w:p>
    <w:p>
      <w:pPr>
        <w:spacing w:before="0" w:after="50" w:line="252" w:lineRule="auto"/>
        <w:ind w:left="360" w:hanging="360"/>
        <w:jc w:val="both"/>
      </w:pPr>
      <w:r>
        <w:rPr>
          <w:rFonts w:ascii="Times New Roman" w:hAnsi="Times New Roman"/>
          <w:color w:val="141414"/>
          <w:sz w:val="17"/>
        </w:rPr>
        <w:t>[32] C. E. Shannon, "A mathematical theory of communication," Bell Syst. Tech. J., vol. 27, no. 3, pp. 379–423, Jul. 1948, doi: 10.1002/j.1538-7305.1948.tb01338.x.</w:t>
      </w:r>
    </w:p>
    <w:p>
      <w:pPr>
        <w:spacing w:before="0" w:after="50" w:line="252" w:lineRule="auto"/>
        <w:ind w:left="360" w:hanging="360"/>
        <w:jc w:val="both"/>
      </w:pPr>
      <w:r>
        <w:rPr>
          <w:rFonts w:ascii="Times New Roman" w:hAnsi="Times New Roman"/>
          <w:color w:val="141414"/>
          <w:sz w:val="17"/>
        </w:rPr>
        <w:t>[33] D. Song, H. Zhang, and X. Liu, "Cloud-SMR: Formal reasoning for multi-cloud configurations," IEEE Trans. Cloud Comput., vol. 11, no. 2, pp. 1420–1435, 2023, doi: 10.1109/TCC.2022.3148119.</w:t>
      </w:r>
    </w:p>
    <w:p>
      <w:pPr>
        <w:spacing w:before="0" w:after="50" w:line="252" w:lineRule="auto"/>
        <w:ind w:left="360" w:hanging="360"/>
        <w:jc w:val="both"/>
      </w:pPr>
      <w:r>
        <w:rPr>
          <w:rFonts w:ascii="Times New Roman" w:hAnsi="Times New Roman"/>
          <w:color w:val="141414"/>
          <w:sz w:val="17"/>
        </w:rPr>
        <w:t>[34] L. Chen, Y. Wu, J. Zhang, and Q. Wang, "Automated repair of infrastructure-as-code scripts via large language models," in Proc. 46th Int. Conf. Softw. Eng. (ICSE), 2024, pp. 845–857, doi: 10.1145/3597503.3639145.</w:t>
      </w:r>
    </w:p>
    <w:p>
      <w:pPr>
        <w:spacing w:before="0" w:after="50" w:line="252" w:lineRule="auto"/>
        <w:ind w:left="360" w:hanging="360"/>
        <w:jc w:val="both"/>
      </w:pPr>
      <w:r>
        <w:rPr>
          <w:rFonts w:ascii="Times New Roman" w:hAnsi="Times New Roman"/>
          <w:color w:val="141414"/>
          <w:sz w:val="17"/>
        </w:rPr>
        <w:t>[35] M. Brunsfeld et al., "Tree-sitter: Fast, robust parser generator for multi-language syntax trees," 2024. [Online]. Available: https://github.com/tree-sitter/tree-sitter.</w:t>
      </w:r>
    </w:p>
    <w:sectPr w:rsidR="003A54DB" w:rsidRPr="004D31B0" w:rsidSect="00B41614">
      <w:headerReference w:type="default" r:id="rId13"/>
      <w:headerReference w:type="first" r:id="rId14"/>
      <w:headerReference w:type="even" r:id="rId15"/>
      <w:pgSz w:w="11909" w:h="16834"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3EAD" w14:textId="77777777" w:rsidR="00140D99" w:rsidRDefault="00140D99" w:rsidP="009E2D58">
      <w:pPr>
        <w:spacing w:line="240" w:lineRule="auto"/>
      </w:pPr>
      <w:r>
        <w:separator/>
      </w:r>
    </w:p>
  </w:endnote>
  <w:endnote w:type="continuationSeparator" w:id="0">
    <w:p w14:paraId="73FE9497" w14:textId="77777777" w:rsidR="00140D99" w:rsidRDefault="00140D99" w:rsidP="009E2D58">
      <w:pPr>
        <w:spacing w:line="240" w:lineRule="auto"/>
      </w:pPr>
      <w:r>
        <w:continuationSeparator/>
      </w:r>
    </w:p>
  </w:endnote>
  <w:endnote w:type="continuationNotice" w:id="1">
    <w:p w14:paraId="31D6502A" w14:textId="77777777" w:rsidR="00140D99" w:rsidRDefault="00140D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28CE" w14:textId="77777777" w:rsidR="00140D99" w:rsidRDefault="00140D99" w:rsidP="009E2D58">
      <w:pPr>
        <w:spacing w:line="240" w:lineRule="auto"/>
      </w:pPr>
      <w:r>
        <w:separator/>
      </w:r>
    </w:p>
  </w:footnote>
  <w:footnote w:type="continuationSeparator" w:id="0">
    <w:p w14:paraId="21D96220" w14:textId="77777777" w:rsidR="00140D99" w:rsidRDefault="00140D99" w:rsidP="009E2D58">
      <w:pPr>
        <w:spacing w:line="240" w:lineRule="auto"/>
      </w:pPr>
      <w:r>
        <w:continuationSeparator/>
      </w:r>
    </w:p>
  </w:footnote>
  <w:footnote w:type="continuationNotice" w:id="1">
    <w:p w14:paraId="3D0AD58B" w14:textId="77777777" w:rsidR="00140D99" w:rsidRDefault="00140D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E0D9" w14:textId="77777777" w:rsidR="00B41614" w:rsidRPr="00BA004C" w:rsidRDefault="00B41614" w:rsidP="00B41614">
    <w:pPr>
      <w:pStyle w:val="Header"/>
      <w:jc w:val="left"/>
      <w:rPr>
        <w:sz w:val="16"/>
        <w:szCs w:val="16"/>
      </w:rPr>
    </w:pPr>
    <w:bookmarkStart w:id="1" w:name="OLE_LINK7"/>
    <w:bookmarkStart w:id="2" w:name="OLE_LINK8"/>
    <w:bookmarkStart w:id="3" w:name="_Hlk454796744"/>
    <w:bookmarkEnd w:id="1"/>
    <w:bookmarkEnd w:id="2"/>
    <w:bookmarkEnd w:id="3"/>
    <w:r w:rsidRPr="00BA004C">
      <w:rPr>
        <w:sz w:val="16"/>
        <w:szCs w:val="16"/>
      </w:rPr>
      <w:t>International Conference on Multidisciplinary Perspectives in Advanced Computing and Technology (IMPACT</w:t>
    </w:r>
    <w:r>
      <w:rPr>
        <w:sz w:val="16"/>
        <w:szCs w:val="16"/>
      </w:rPr>
      <w:t>-2027</w:t>
    </w:r>
    <w:r w:rsidRPr="00BA004C">
      <w:rPr>
        <w:sz w:val="16"/>
        <w:szCs w:val="16"/>
      </w:rPr>
      <w:t>)</w:t>
    </w:r>
  </w:p>
  <w:p w14:paraId="3C03B3C6" w14:textId="604FB501" w:rsidR="009B3898" w:rsidRPr="00BE24C3" w:rsidRDefault="00B41614" w:rsidP="00B41614">
    <w:pPr>
      <w:adjustRightInd w:val="0"/>
      <w:snapToGrid w:val="0"/>
      <w:spacing w:afterLines="50" w:after="120"/>
      <w:jc w:val="left"/>
      <w:rPr>
        <w:lang w:eastAsia="zh-CN"/>
      </w:rPr>
    </w:pPr>
    <w:r w:rsidRPr="00BA004C">
      <w:rPr>
        <w:sz w:val="16"/>
        <w:szCs w:val="16"/>
      </w:rPr>
      <w:t xml:space="preserve">G. B. Pant University of Agriculture and Technology, Uttarakhand, India. Jan. </w:t>
    </w:r>
    <w:r>
      <w:rPr>
        <w:sz w:val="16"/>
        <w:szCs w:val="16"/>
      </w:rPr>
      <w:t>29-30</w:t>
    </w:r>
    <w:r w:rsidRPr="00BA004C">
      <w:rPr>
        <w:sz w:val="16"/>
        <w:szCs w:val="16"/>
      </w:rPr>
      <w:t>, 202</w:t>
    </w:r>
    <w:r>
      <w:rPr>
        <w:sz w:val="16"/>
        <w:szCs w:val="16"/>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A006" w14:textId="18E36924" w:rsidR="00BA004C" w:rsidRPr="00BA004C" w:rsidRDefault="00BA004C" w:rsidP="00BA004C">
    <w:pPr>
      <w:pStyle w:val="Header"/>
      <w:jc w:val="left"/>
      <w:rPr>
        <w:sz w:val="16"/>
        <w:szCs w:val="16"/>
      </w:rPr>
    </w:pPr>
    <w:r w:rsidRPr="00BA004C">
      <w:rPr>
        <w:sz w:val="16"/>
        <w:szCs w:val="16"/>
      </w:rPr>
      <w:t>International Conference on Multidisciplinary Perspectives in Advanced Computing and Technology (IMPACT</w:t>
    </w:r>
    <w:r w:rsidR="00B41614">
      <w:rPr>
        <w:sz w:val="16"/>
        <w:szCs w:val="16"/>
      </w:rPr>
      <w:t>-2027</w:t>
    </w:r>
    <w:r w:rsidRPr="00BA004C">
      <w:rPr>
        <w:sz w:val="16"/>
        <w:szCs w:val="16"/>
      </w:rPr>
      <w:t>)</w:t>
    </w:r>
  </w:p>
  <w:p w14:paraId="24BE87F3" w14:textId="1C3760AE" w:rsidR="00BA004C" w:rsidRDefault="00BA004C" w:rsidP="00BA004C">
    <w:pPr>
      <w:pStyle w:val="Header"/>
      <w:jc w:val="left"/>
    </w:pPr>
    <w:r w:rsidRPr="00BA004C">
      <w:rPr>
        <w:sz w:val="16"/>
        <w:szCs w:val="16"/>
      </w:rPr>
      <w:t xml:space="preserve">G. B. Pant University of Agriculture and Technology, Uttarakhand, India. Jan. </w:t>
    </w:r>
    <w:r w:rsidR="00B41614">
      <w:rPr>
        <w:sz w:val="16"/>
        <w:szCs w:val="16"/>
      </w:rPr>
      <w:t>29-30</w:t>
    </w:r>
    <w:r w:rsidRPr="00BA004C">
      <w:rPr>
        <w:sz w:val="16"/>
        <w:szCs w:val="16"/>
      </w:rPr>
      <w:t>, 202</w:t>
    </w:r>
    <w:r w:rsidR="00B41614">
      <w:rPr>
        <w:sz w:val="16"/>
        <w:szCs w:val="16"/>
      </w:rPr>
      <w:t>7</w:t>
    </w:r>
    <w:r>
      <w:b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23"/>
    <w:multiLevelType w:val="hybridMultilevel"/>
    <w:tmpl w:val="689C95F4"/>
    <w:lvl w:ilvl="0" w:tplc="4336EF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D51C9"/>
    <w:multiLevelType w:val="multilevel"/>
    <w:tmpl w:val="9F2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376"/>
    <w:multiLevelType w:val="hybridMultilevel"/>
    <w:tmpl w:val="F654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D63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762464"/>
    <w:multiLevelType w:val="multilevel"/>
    <w:tmpl w:val="90E2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A3939"/>
    <w:multiLevelType w:val="hybridMultilevel"/>
    <w:tmpl w:val="F28222D4"/>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2A7207C"/>
    <w:multiLevelType w:val="multilevel"/>
    <w:tmpl w:val="DC1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23ED0"/>
    <w:multiLevelType w:val="hybridMultilevel"/>
    <w:tmpl w:val="70FCFF06"/>
    <w:lvl w:ilvl="0" w:tplc="DAC2C7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853B4A"/>
    <w:multiLevelType w:val="hybridMultilevel"/>
    <w:tmpl w:val="CF8EF33C"/>
    <w:lvl w:ilvl="0" w:tplc="0B6CA510">
      <w:start w:val="1"/>
      <w:numFmt w:val="decimal"/>
      <w:lvlText w:val="%1."/>
      <w:lvlJc w:val="left"/>
      <w:pPr>
        <w:ind w:left="720" w:hanging="360"/>
      </w:pPr>
      <w:rPr>
        <w:rFonts w:eastAsia="PMingLiU"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A618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2A490E"/>
    <w:multiLevelType w:val="hybridMultilevel"/>
    <w:tmpl w:val="2772A1B4"/>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D93E2E"/>
    <w:multiLevelType w:val="hybridMultilevel"/>
    <w:tmpl w:val="EEEA1C86"/>
    <w:lvl w:ilvl="0" w:tplc="C1D0EF68">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A429A7"/>
    <w:multiLevelType w:val="hybridMultilevel"/>
    <w:tmpl w:val="54A6E3DA"/>
    <w:lvl w:ilvl="0" w:tplc="22F801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0C7AB1"/>
    <w:multiLevelType w:val="hybridMultilevel"/>
    <w:tmpl w:val="6AF0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30260"/>
    <w:multiLevelType w:val="hybridMultilevel"/>
    <w:tmpl w:val="B418747E"/>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4E4EF1"/>
    <w:multiLevelType w:val="hybridMultilevel"/>
    <w:tmpl w:val="05CA9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21887"/>
    <w:multiLevelType w:val="hybridMultilevel"/>
    <w:tmpl w:val="FDD47378"/>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DAD2A40"/>
    <w:multiLevelType w:val="hybridMultilevel"/>
    <w:tmpl w:val="1762707A"/>
    <w:lvl w:ilvl="0" w:tplc="571C3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681187">
    <w:abstractNumId w:val="6"/>
  </w:num>
  <w:num w:numId="2" w16cid:durableId="1346324232">
    <w:abstractNumId w:val="14"/>
  </w:num>
  <w:num w:numId="3" w16cid:durableId="2065713070">
    <w:abstractNumId w:val="2"/>
  </w:num>
  <w:num w:numId="4" w16cid:durableId="1257132571">
    <w:abstractNumId w:val="13"/>
  </w:num>
  <w:num w:numId="5" w16cid:durableId="368602971">
    <w:abstractNumId w:val="0"/>
  </w:num>
  <w:num w:numId="6" w16cid:durableId="47841654">
    <w:abstractNumId w:val="18"/>
  </w:num>
  <w:num w:numId="7" w16cid:durableId="1348210114">
    <w:abstractNumId w:val="12"/>
  </w:num>
  <w:num w:numId="8" w16cid:durableId="938870600">
    <w:abstractNumId w:val="19"/>
  </w:num>
  <w:num w:numId="9" w16cid:durableId="1623266660">
    <w:abstractNumId w:val="9"/>
  </w:num>
  <w:num w:numId="10" w16cid:durableId="1713992142">
    <w:abstractNumId w:val="7"/>
  </w:num>
  <w:num w:numId="11" w16cid:durableId="1826437816">
    <w:abstractNumId w:val="10"/>
  </w:num>
  <w:num w:numId="12" w16cid:durableId="1837527770">
    <w:abstractNumId w:val="15"/>
  </w:num>
  <w:num w:numId="13" w16cid:durableId="3751851">
    <w:abstractNumId w:val="11"/>
  </w:num>
  <w:num w:numId="14" w16cid:durableId="1715108485">
    <w:abstractNumId w:val="16"/>
  </w:num>
  <w:num w:numId="15" w16cid:durableId="986662784">
    <w:abstractNumId w:val="5"/>
  </w:num>
  <w:num w:numId="16" w16cid:durableId="1341157860">
    <w:abstractNumId w:val="17"/>
  </w:num>
  <w:num w:numId="17" w16cid:durableId="693652156">
    <w:abstractNumId w:val="20"/>
  </w:num>
  <w:num w:numId="18" w16cid:durableId="579367483">
    <w:abstractNumId w:val="11"/>
  </w:num>
  <w:num w:numId="19" w16cid:durableId="152570832">
    <w:abstractNumId w:val="11"/>
  </w:num>
  <w:num w:numId="20" w16cid:durableId="19671772">
    <w:abstractNumId w:val="3"/>
  </w:num>
  <w:num w:numId="21" w16cid:durableId="515734053">
    <w:abstractNumId w:val="8"/>
  </w:num>
  <w:num w:numId="22" w16cid:durableId="1021205105">
    <w:abstractNumId w:val="1"/>
  </w:num>
  <w:num w:numId="23" w16cid:durableId="1692293830">
    <w:abstractNumId w:val="4"/>
  </w:num>
  <w:num w:numId="24" w16cid:durableId="2038584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386AC3"/>
    <w:rsid w:val="00001560"/>
    <w:rsid w:val="00002ABE"/>
    <w:rsid w:val="00014773"/>
    <w:rsid w:val="000149C8"/>
    <w:rsid w:val="00031E81"/>
    <w:rsid w:val="0003252F"/>
    <w:rsid w:val="00040984"/>
    <w:rsid w:val="000443EA"/>
    <w:rsid w:val="000458C1"/>
    <w:rsid w:val="0005309E"/>
    <w:rsid w:val="00055773"/>
    <w:rsid w:val="0007173E"/>
    <w:rsid w:val="0007208C"/>
    <w:rsid w:val="000753DD"/>
    <w:rsid w:val="00077773"/>
    <w:rsid w:val="000841DC"/>
    <w:rsid w:val="000A06B6"/>
    <w:rsid w:val="000A39D9"/>
    <w:rsid w:val="000B09E7"/>
    <w:rsid w:val="000C1065"/>
    <w:rsid w:val="000C153A"/>
    <w:rsid w:val="000C4A30"/>
    <w:rsid w:val="000D16AE"/>
    <w:rsid w:val="000D2032"/>
    <w:rsid w:val="000D2F17"/>
    <w:rsid w:val="00101BDF"/>
    <w:rsid w:val="0011235D"/>
    <w:rsid w:val="001139C8"/>
    <w:rsid w:val="00121AFD"/>
    <w:rsid w:val="00124EAC"/>
    <w:rsid w:val="001253F6"/>
    <w:rsid w:val="00125EE3"/>
    <w:rsid w:val="00133D62"/>
    <w:rsid w:val="00140984"/>
    <w:rsid w:val="00140D99"/>
    <w:rsid w:val="00146636"/>
    <w:rsid w:val="00153401"/>
    <w:rsid w:val="001626CC"/>
    <w:rsid w:val="001662A1"/>
    <w:rsid w:val="0017502F"/>
    <w:rsid w:val="001752F1"/>
    <w:rsid w:val="00175CF9"/>
    <w:rsid w:val="0018095B"/>
    <w:rsid w:val="001815A8"/>
    <w:rsid w:val="001856FC"/>
    <w:rsid w:val="001916AC"/>
    <w:rsid w:val="00195734"/>
    <w:rsid w:val="001B4872"/>
    <w:rsid w:val="001C16DB"/>
    <w:rsid w:val="001D1CDE"/>
    <w:rsid w:val="001E5021"/>
    <w:rsid w:val="001E598B"/>
    <w:rsid w:val="001E5B86"/>
    <w:rsid w:val="001F06B7"/>
    <w:rsid w:val="001F7CFD"/>
    <w:rsid w:val="0021388F"/>
    <w:rsid w:val="00213CC3"/>
    <w:rsid w:val="00215807"/>
    <w:rsid w:val="00221BD7"/>
    <w:rsid w:val="0022349E"/>
    <w:rsid w:val="00226765"/>
    <w:rsid w:val="0023190E"/>
    <w:rsid w:val="00234690"/>
    <w:rsid w:val="00242C23"/>
    <w:rsid w:val="00242F68"/>
    <w:rsid w:val="00244B23"/>
    <w:rsid w:val="002470AC"/>
    <w:rsid w:val="00263DCB"/>
    <w:rsid w:val="00263FD8"/>
    <w:rsid w:val="00265F05"/>
    <w:rsid w:val="0027060D"/>
    <w:rsid w:val="0027080E"/>
    <w:rsid w:val="00280AF8"/>
    <w:rsid w:val="002A7EA2"/>
    <w:rsid w:val="002C011C"/>
    <w:rsid w:val="002C3314"/>
    <w:rsid w:val="002D1213"/>
    <w:rsid w:val="002F4440"/>
    <w:rsid w:val="00310B05"/>
    <w:rsid w:val="0031228B"/>
    <w:rsid w:val="003160E8"/>
    <w:rsid w:val="00322346"/>
    <w:rsid w:val="00324F24"/>
    <w:rsid w:val="00327EB0"/>
    <w:rsid w:val="003348F3"/>
    <w:rsid w:val="003367B8"/>
    <w:rsid w:val="00350AAA"/>
    <w:rsid w:val="00356D82"/>
    <w:rsid w:val="00363628"/>
    <w:rsid w:val="0037743F"/>
    <w:rsid w:val="003778ED"/>
    <w:rsid w:val="0038489F"/>
    <w:rsid w:val="00386AC3"/>
    <w:rsid w:val="00391DD5"/>
    <w:rsid w:val="00393FFF"/>
    <w:rsid w:val="003976BF"/>
    <w:rsid w:val="003A54DB"/>
    <w:rsid w:val="003B655F"/>
    <w:rsid w:val="003B688F"/>
    <w:rsid w:val="003B72B7"/>
    <w:rsid w:val="003C0CF9"/>
    <w:rsid w:val="003C2438"/>
    <w:rsid w:val="003D207A"/>
    <w:rsid w:val="003D46B1"/>
    <w:rsid w:val="003D6E16"/>
    <w:rsid w:val="003E199C"/>
    <w:rsid w:val="004068BC"/>
    <w:rsid w:val="004143F7"/>
    <w:rsid w:val="00415031"/>
    <w:rsid w:val="00415981"/>
    <w:rsid w:val="00420F7F"/>
    <w:rsid w:val="00423B7B"/>
    <w:rsid w:val="00430C0A"/>
    <w:rsid w:val="00434B9F"/>
    <w:rsid w:val="0045782A"/>
    <w:rsid w:val="004909E2"/>
    <w:rsid w:val="004B11BA"/>
    <w:rsid w:val="004B2F93"/>
    <w:rsid w:val="004B62CC"/>
    <w:rsid w:val="004C03AC"/>
    <w:rsid w:val="004C36AA"/>
    <w:rsid w:val="004C5506"/>
    <w:rsid w:val="004D2EC4"/>
    <w:rsid w:val="004D31B0"/>
    <w:rsid w:val="004E2290"/>
    <w:rsid w:val="004E6A11"/>
    <w:rsid w:val="004F213B"/>
    <w:rsid w:val="00500FE8"/>
    <w:rsid w:val="00503884"/>
    <w:rsid w:val="00503A6E"/>
    <w:rsid w:val="005043A3"/>
    <w:rsid w:val="00505135"/>
    <w:rsid w:val="00505F61"/>
    <w:rsid w:val="0051542B"/>
    <w:rsid w:val="00515CC7"/>
    <w:rsid w:val="005254FD"/>
    <w:rsid w:val="0052794D"/>
    <w:rsid w:val="00544DDE"/>
    <w:rsid w:val="005455A0"/>
    <w:rsid w:val="00546533"/>
    <w:rsid w:val="00556EC5"/>
    <w:rsid w:val="005801B4"/>
    <w:rsid w:val="00586BA9"/>
    <w:rsid w:val="005943BA"/>
    <w:rsid w:val="005A2D39"/>
    <w:rsid w:val="005B144A"/>
    <w:rsid w:val="005B6C87"/>
    <w:rsid w:val="005C2612"/>
    <w:rsid w:val="005D3D0C"/>
    <w:rsid w:val="005D5653"/>
    <w:rsid w:val="005E280D"/>
    <w:rsid w:val="005E6F91"/>
    <w:rsid w:val="005F044B"/>
    <w:rsid w:val="005F347C"/>
    <w:rsid w:val="005F404D"/>
    <w:rsid w:val="00610C86"/>
    <w:rsid w:val="006159F8"/>
    <w:rsid w:val="006238C4"/>
    <w:rsid w:val="006352B9"/>
    <w:rsid w:val="006409F5"/>
    <w:rsid w:val="00653CC1"/>
    <w:rsid w:val="00654AAE"/>
    <w:rsid w:val="00655796"/>
    <w:rsid w:val="00655A70"/>
    <w:rsid w:val="0066267F"/>
    <w:rsid w:val="00666E61"/>
    <w:rsid w:val="0067229F"/>
    <w:rsid w:val="00674933"/>
    <w:rsid w:val="00674CB8"/>
    <w:rsid w:val="00683C76"/>
    <w:rsid w:val="006A198C"/>
    <w:rsid w:val="006B0742"/>
    <w:rsid w:val="006B2FF2"/>
    <w:rsid w:val="006D5ABE"/>
    <w:rsid w:val="006D7A12"/>
    <w:rsid w:val="006F429B"/>
    <w:rsid w:val="006F5619"/>
    <w:rsid w:val="00702897"/>
    <w:rsid w:val="00702D11"/>
    <w:rsid w:val="007041D4"/>
    <w:rsid w:val="0070622B"/>
    <w:rsid w:val="00706E4D"/>
    <w:rsid w:val="00720C01"/>
    <w:rsid w:val="00720CC3"/>
    <w:rsid w:val="00722DBB"/>
    <w:rsid w:val="00731940"/>
    <w:rsid w:val="007357BA"/>
    <w:rsid w:val="0076404B"/>
    <w:rsid w:val="00764836"/>
    <w:rsid w:val="00781AA1"/>
    <w:rsid w:val="007824FC"/>
    <w:rsid w:val="00793ECA"/>
    <w:rsid w:val="007A0C50"/>
    <w:rsid w:val="007A16D8"/>
    <w:rsid w:val="007B69C5"/>
    <w:rsid w:val="007C0214"/>
    <w:rsid w:val="007C3E3E"/>
    <w:rsid w:val="007C4359"/>
    <w:rsid w:val="007C4DA1"/>
    <w:rsid w:val="007C6361"/>
    <w:rsid w:val="007E5DDB"/>
    <w:rsid w:val="00814FBF"/>
    <w:rsid w:val="00825914"/>
    <w:rsid w:val="008261E0"/>
    <w:rsid w:val="008300D8"/>
    <w:rsid w:val="00831634"/>
    <w:rsid w:val="00831CF5"/>
    <w:rsid w:val="00840DE0"/>
    <w:rsid w:val="00841082"/>
    <w:rsid w:val="008451CC"/>
    <w:rsid w:val="008470FA"/>
    <w:rsid w:val="008525B5"/>
    <w:rsid w:val="00852BD8"/>
    <w:rsid w:val="00856EBC"/>
    <w:rsid w:val="008630B0"/>
    <w:rsid w:val="00877EAB"/>
    <w:rsid w:val="00880D90"/>
    <w:rsid w:val="00895D9E"/>
    <w:rsid w:val="008A0480"/>
    <w:rsid w:val="008A66EE"/>
    <w:rsid w:val="008B1D07"/>
    <w:rsid w:val="008B5876"/>
    <w:rsid w:val="008D08EC"/>
    <w:rsid w:val="008E5748"/>
    <w:rsid w:val="008E59AA"/>
    <w:rsid w:val="008F122C"/>
    <w:rsid w:val="008F4147"/>
    <w:rsid w:val="009011EC"/>
    <w:rsid w:val="009068DC"/>
    <w:rsid w:val="00917F17"/>
    <w:rsid w:val="009241EE"/>
    <w:rsid w:val="009371CB"/>
    <w:rsid w:val="0094177A"/>
    <w:rsid w:val="00947953"/>
    <w:rsid w:val="009532F1"/>
    <w:rsid w:val="00955E32"/>
    <w:rsid w:val="00963A64"/>
    <w:rsid w:val="00967394"/>
    <w:rsid w:val="00967644"/>
    <w:rsid w:val="009708C6"/>
    <w:rsid w:val="0097187D"/>
    <w:rsid w:val="0097326F"/>
    <w:rsid w:val="00973D18"/>
    <w:rsid w:val="0098190B"/>
    <w:rsid w:val="009833BD"/>
    <w:rsid w:val="00983D93"/>
    <w:rsid w:val="00990BDF"/>
    <w:rsid w:val="009A56F5"/>
    <w:rsid w:val="009A6384"/>
    <w:rsid w:val="009B2E43"/>
    <w:rsid w:val="009B358F"/>
    <w:rsid w:val="009B3898"/>
    <w:rsid w:val="009C1C4F"/>
    <w:rsid w:val="009C1FA0"/>
    <w:rsid w:val="009C2460"/>
    <w:rsid w:val="009C5D02"/>
    <w:rsid w:val="009E2D58"/>
    <w:rsid w:val="009F2232"/>
    <w:rsid w:val="00A07992"/>
    <w:rsid w:val="00A15CA7"/>
    <w:rsid w:val="00A20BA9"/>
    <w:rsid w:val="00A2493E"/>
    <w:rsid w:val="00A2506E"/>
    <w:rsid w:val="00A34040"/>
    <w:rsid w:val="00A373B7"/>
    <w:rsid w:val="00A4134C"/>
    <w:rsid w:val="00A46B2F"/>
    <w:rsid w:val="00A717E4"/>
    <w:rsid w:val="00AD0E8D"/>
    <w:rsid w:val="00AE20BD"/>
    <w:rsid w:val="00AF175C"/>
    <w:rsid w:val="00AF42D1"/>
    <w:rsid w:val="00B01AF8"/>
    <w:rsid w:val="00B200BA"/>
    <w:rsid w:val="00B224B7"/>
    <w:rsid w:val="00B24F61"/>
    <w:rsid w:val="00B41614"/>
    <w:rsid w:val="00B42632"/>
    <w:rsid w:val="00B43718"/>
    <w:rsid w:val="00B522CC"/>
    <w:rsid w:val="00B64C0F"/>
    <w:rsid w:val="00B72E54"/>
    <w:rsid w:val="00B744A3"/>
    <w:rsid w:val="00B76098"/>
    <w:rsid w:val="00B76C5D"/>
    <w:rsid w:val="00B80305"/>
    <w:rsid w:val="00B85030"/>
    <w:rsid w:val="00B863EE"/>
    <w:rsid w:val="00B94801"/>
    <w:rsid w:val="00BA004C"/>
    <w:rsid w:val="00BA3306"/>
    <w:rsid w:val="00BB4CAE"/>
    <w:rsid w:val="00BB7CDF"/>
    <w:rsid w:val="00BE3D1F"/>
    <w:rsid w:val="00BE4DC6"/>
    <w:rsid w:val="00BE53E3"/>
    <w:rsid w:val="00BE6473"/>
    <w:rsid w:val="00BE664E"/>
    <w:rsid w:val="00C013DA"/>
    <w:rsid w:val="00C132AD"/>
    <w:rsid w:val="00C244B7"/>
    <w:rsid w:val="00C26D3B"/>
    <w:rsid w:val="00C40567"/>
    <w:rsid w:val="00C47673"/>
    <w:rsid w:val="00C47BB6"/>
    <w:rsid w:val="00C64670"/>
    <w:rsid w:val="00C75287"/>
    <w:rsid w:val="00C7529B"/>
    <w:rsid w:val="00C75340"/>
    <w:rsid w:val="00C777E5"/>
    <w:rsid w:val="00C80453"/>
    <w:rsid w:val="00C90FA0"/>
    <w:rsid w:val="00C95E4F"/>
    <w:rsid w:val="00CA226A"/>
    <w:rsid w:val="00CB2603"/>
    <w:rsid w:val="00CB603E"/>
    <w:rsid w:val="00CC434E"/>
    <w:rsid w:val="00CC51E1"/>
    <w:rsid w:val="00CD1472"/>
    <w:rsid w:val="00CD17D5"/>
    <w:rsid w:val="00D0037A"/>
    <w:rsid w:val="00D07888"/>
    <w:rsid w:val="00D16197"/>
    <w:rsid w:val="00D257C0"/>
    <w:rsid w:val="00D32492"/>
    <w:rsid w:val="00D37DCA"/>
    <w:rsid w:val="00D4120E"/>
    <w:rsid w:val="00D44314"/>
    <w:rsid w:val="00D51DD6"/>
    <w:rsid w:val="00D54F1D"/>
    <w:rsid w:val="00D64742"/>
    <w:rsid w:val="00D74439"/>
    <w:rsid w:val="00D75C41"/>
    <w:rsid w:val="00D77B3F"/>
    <w:rsid w:val="00D949CD"/>
    <w:rsid w:val="00D974F0"/>
    <w:rsid w:val="00DA34DB"/>
    <w:rsid w:val="00DA3C07"/>
    <w:rsid w:val="00DB1A42"/>
    <w:rsid w:val="00DB31E2"/>
    <w:rsid w:val="00DB430A"/>
    <w:rsid w:val="00DC2648"/>
    <w:rsid w:val="00DD43A0"/>
    <w:rsid w:val="00DE0C68"/>
    <w:rsid w:val="00DF03C3"/>
    <w:rsid w:val="00DF373B"/>
    <w:rsid w:val="00DF6E98"/>
    <w:rsid w:val="00E10FB3"/>
    <w:rsid w:val="00E1525D"/>
    <w:rsid w:val="00E16ADE"/>
    <w:rsid w:val="00E3365D"/>
    <w:rsid w:val="00E41036"/>
    <w:rsid w:val="00E639CB"/>
    <w:rsid w:val="00E8669E"/>
    <w:rsid w:val="00EA66DC"/>
    <w:rsid w:val="00EB0484"/>
    <w:rsid w:val="00EB4A15"/>
    <w:rsid w:val="00EB6E4C"/>
    <w:rsid w:val="00EC1125"/>
    <w:rsid w:val="00EC5D03"/>
    <w:rsid w:val="00ED1C1A"/>
    <w:rsid w:val="00ED667F"/>
    <w:rsid w:val="00ED69D2"/>
    <w:rsid w:val="00ED7059"/>
    <w:rsid w:val="00EE1A0F"/>
    <w:rsid w:val="00EE4F7B"/>
    <w:rsid w:val="00EF2350"/>
    <w:rsid w:val="00EF3C6F"/>
    <w:rsid w:val="00EF499C"/>
    <w:rsid w:val="00F15027"/>
    <w:rsid w:val="00F21636"/>
    <w:rsid w:val="00F26D0C"/>
    <w:rsid w:val="00F373BD"/>
    <w:rsid w:val="00F45421"/>
    <w:rsid w:val="00F50656"/>
    <w:rsid w:val="00F5221E"/>
    <w:rsid w:val="00F60C88"/>
    <w:rsid w:val="00F66978"/>
    <w:rsid w:val="00F745B8"/>
    <w:rsid w:val="00F7612C"/>
    <w:rsid w:val="00F81511"/>
    <w:rsid w:val="00F90E76"/>
    <w:rsid w:val="00FA4FA5"/>
    <w:rsid w:val="00FB0206"/>
    <w:rsid w:val="00FB2185"/>
    <w:rsid w:val="00FB3C73"/>
    <w:rsid w:val="00FC5DF4"/>
    <w:rsid w:val="00FD0053"/>
    <w:rsid w:val="00FD2CE9"/>
    <w:rsid w:val="00FE0B99"/>
    <w:rsid w:val="00FE79C4"/>
    <w:rsid w:val="00FF265F"/>
    <w:rsid w:val="00FF4CA8"/>
    <w:rsid w:val="00FF5A0D"/>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A0476"/>
  <w15:chartTrackingRefBased/>
  <w15:docId w15:val="{2C3422ED-F404-4D8B-912B-587B5CC2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453"/>
    <w:pPr>
      <w:spacing w:line="276" w:lineRule="auto"/>
      <w:jc w:val="both"/>
    </w:pPr>
    <w:rPr>
      <w:rFonts w:ascii="Garamond" w:hAnsi="Garamond"/>
      <w:sz w:val="22"/>
      <w:szCs w:val="22"/>
      <w:lang w:eastAsia="en-US"/>
    </w:rPr>
  </w:style>
  <w:style w:type="paragraph" w:styleId="Heading1">
    <w:name w:val="heading 1"/>
    <w:basedOn w:val="Normal"/>
    <w:next w:val="Normal"/>
    <w:link w:val="Heading1Char"/>
    <w:autoRedefine/>
    <w:uiPriority w:val="9"/>
    <w:qFormat/>
    <w:rsid w:val="00386AC3"/>
    <w:pPr>
      <w:keepNext/>
      <w:keepLines/>
      <w:spacing w:before="120" w:after="120"/>
      <w:jc w:val="left"/>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C80453"/>
    <w:pPr>
      <w:keepNext/>
      <w:keepLines/>
      <w:spacing w:before="120" w:after="120"/>
      <w:jc w:val="left"/>
      <w:outlineLvl w:val="1"/>
    </w:pPr>
    <w:rPr>
      <w:rFonts w:ascii="Times New Roman" w:hAnsi="Times New Roman"/>
      <w:b/>
      <w:szCs w:val="26"/>
    </w:rPr>
  </w:style>
  <w:style w:type="paragraph" w:styleId="Heading3">
    <w:name w:val="heading 3"/>
    <w:basedOn w:val="Normal"/>
    <w:next w:val="Normal"/>
    <w:link w:val="Heading3Char"/>
    <w:autoRedefine/>
    <w:uiPriority w:val="9"/>
    <w:unhideWhenUsed/>
    <w:qFormat/>
    <w:rsid w:val="00CD17D5"/>
    <w:pPr>
      <w:keepNext/>
      <w:keepLines/>
      <w:spacing w:before="120" w:after="120" w:line="240" w:lineRule="auto"/>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3A54DB"/>
    <w:pPr>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3A54DB"/>
    <w:rPr>
      <w:rFonts w:ascii="Times New Roman" w:eastAsia="Times New Roman" w:hAnsi="Times New Roman" w:cs="Times New Roman"/>
      <w:b/>
      <w:spacing w:val="-10"/>
      <w:kern w:val="28"/>
      <w:sz w:val="32"/>
      <w:lang w:bidi="ar-SA"/>
    </w:rPr>
  </w:style>
  <w:style w:type="paragraph" w:customStyle="1" w:styleId="Affiliation">
    <w:name w:val="Affiliation"/>
    <w:autoRedefine/>
    <w:rsid w:val="00B41614"/>
    <w:pPr>
      <w:tabs>
        <w:tab w:val="center" w:pos="5220"/>
        <w:tab w:val="right" w:pos="10441"/>
      </w:tabs>
      <w:spacing w:before="120" w:after="120" w:line="276" w:lineRule="auto"/>
    </w:pPr>
    <w:rPr>
      <w:rFonts w:ascii="Times New Roman" w:eastAsia="SimSun" w:hAnsi="Times New Roman" w:cs="Times New Roman"/>
      <w:bCs/>
      <w:szCs w:val="24"/>
      <w:lang w:val="en-US" w:eastAsia="en-US"/>
    </w:rPr>
  </w:style>
  <w:style w:type="paragraph" w:customStyle="1" w:styleId="Author">
    <w:name w:val="Author"/>
    <w:autoRedefine/>
    <w:rsid w:val="00654AAE"/>
    <w:pPr>
      <w:spacing w:before="120" w:after="120" w:line="300" w:lineRule="auto"/>
      <w:jc w:val="center"/>
    </w:pPr>
    <w:rPr>
      <w:rFonts w:ascii="Times New Roman" w:eastAsia="SimSun" w:hAnsi="Times New Roman" w:cs="Times New Roman"/>
      <w:noProof/>
      <w:sz w:val="22"/>
      <w:szCs w:val="22"/>
      <w:lang w:val="en-US" w:eastAsia="en-US"/>
    </w:rPr>
  </w:style>
  <w:style w:type="paragraph" w:customStyle="1" w:styleId="Abstract">
    <w:name w:val="Abstract"/>
    <w:basedOn w:val="Normal"/>
    <w:next w:val="Normal"/>
    <w:autoRedefine/>
    <w:rsid w:val="00386AC3"/>
    <w:pPr>
      <w:ind w:right="-4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505135"/>
    <w:pPr>
      <w:widowControl w:val="0"/>
    </w:pPr>
    <w:rPr>
      <w:rFonts w:ascii="Times New Roman" w:eastAsia="Times New Roman" w:hAnsi="Times New Roman" w:cs="Times New Roman"/>
      <w:b/>
      <w:bCs/>
      <w:sz w:val="20"/>
      <w:szCs w:val="20"/>
      <w:lang w:val="en-US"/>
    </w:rPr>
  </w:style>
  <w:style w:type="paragraph" w:customStyle="1" w:styleId="References">
    <w:name w:val="References"/>
    <w:basedOn w:val="ListNumber"/>
    <w:autoRedefine/>
    <w:qFormat/>
    <w:rsid w:val="009532F1"/>
    <w:pPr>
      <w:numPr>
        <w:numId w:val="0"/>
      </w:numPr>
      <w:spacing w:before="120" w:after="120"/>
      <w:contextualSpacing w:val="0"/>
    </w:pPr>
    <w:rPr>
      <w:rFonts w:ascii="Times New Roman" w:hAnsi="Times New Roman" w:cs="Times New Roman"/>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C80453"/>
    <w:rPr>
      <w:rFonts w:ascii="Times New Roman" w:eastAsia="PMingLiU" w:hAnsi="Times New Roman" w:cs="Mangal"/>
      <w:b/>
      <w:szCs w:val="26"/>
      <w:lang w:val="en-IN" w:bidi="ar-SA"/>
    </w:rPr>
  </w:style>
  <w:style w:type="character" w:customStyle="1" w:styleId="Heading1Char">
    <w:name w:val="Heading 1 Char"/>
    <w:link w:val="Heading1"/>
    <w:uiPriority w:val="9"/>
    <w:rsid w:val="00386AC3"/>
    <w:rPr>
      <w:rFonts w:ascii="Times New Roman" w:hAnsi="Times New Roman" w:cs="Times New Roman"/>
      <w:b/>
      <w:sz w:val="22"/>
      <w:szCs w:val="24"/>
      <w:lang w:val="en-US" w:eastAsia="en-US"/>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styleId="UnresolvedMention">
    <w:name w:val="Unresolved Mention"/>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PlaceholderText">
    <w:name w:val="Placeholder Text"/>
    <w:basedOn w:val="DefaultParagraphFont"/>
    <w:uiPriority w:val="99"/>
    <w:semiHidden/>
    <w:rsid w:val="00DB31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90099">
      <w:bodyDiv w:val="1"/>
      <w:marLeft w:val="0"/>
      <w:marRight w:val="0"/>
      <w:marTop w:val="0"/>
      <w:marBottom w:val="0"/>
      <w:divBdr>
        <w:top w:val="none" w:sz="0" w:space="0" w:color="auto"/>
        <w:left w:val="none" w:sz="0" w:space="0" w:color="auto"/>
        <w:bottom w:val="none" w:sz="0" w:space="0" w:color="auto"/>
        <w:right w:val="none" w:sz="0" w:space="0" w:color="auto"/>
      </w:divBdr>
      <w:divsChild>
        <w:div w:id="936209315">
          <w:marLeft w:val="0"/>
          <w:marRight w:val="0"/>
          <w:marTop w:val="0"/>
          <w:marBottom w:val="0"/>
          <w:divBdr>
            <w:top w:val="none" w:sz="0" w:space="0" w:color="auto"/>
            <w:left w:val="none" w:sz="0" w:space="0" w:color="auto"/>
            <w:bottom w:val="none" w:sz="0" w:space="0" w:color="auto"/>
            <w:right w:val="none" w:sz="0" w:space="0" w:color="auto"/>
          </w:divBdr>
          <w:divsChild>
            <w:div w:id="1827016570">
              <w:marLeft w:val="0"/>
              <w:marRight w:val="0"/>
              <w:marTop w:val="0"/>
              <w:marBottom w:val="0"/>
              <w:divBdr>
                <w:top w:val="none" w:sz="0" w:space="0" w:color="auto"/>
                <w:left w:val="none" w:sz="0" w:space="0" w:color="auto"/>
                <w:bottom w:val="none" w:sz="0" w:space="0" w:color="auto"/>
                <w:right w:val="none" w:sz="0" w:space="0" w:color="auto"/>
              </w:divBdr>
              <w:divsChild>
                <w:div w:id="639651368">
                  <w:marLeft w:val="0"/>
                  <w:marRight w:val="0"/>
                  <w:marTop w:val="0"/>
                  <w:marBottom w:val="0"/>
                  <w:divBdr>
                    <w:top w:val="none" w:sz="0" w:space="0" w:color="auto"/>
                    <w:left w:val="none" w:sz="0" w:space="0" w:color="auto"/>
                    <w:bottom w:val="none" w:sz="0" w:space="0" w:color="auto"/>
                    <w:right w:val="none" w:sz="0" w:space="0" w:color="auto"/>
                  </w:divBdr>
                  <w:divsChild>
                    <w:div w:id="15456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7745">
          <w:marLeft w:val="0"/>
          <w:marRight w:val="0"/>
          <w:marTop w:val="0"/>
          <w:marBottom w:val="0"/>
          <w:divBdr>
            <w:top w:val="none" w:sz="0" w:space="0" w:color="auto"/>
            <w:left w:val="none" w:sz="0" w:space="0" w:color="auto"/>
            <w:bottom w:val="none" w:sz="0" w:space="0" w:color="auto"/>
            <w:right w:val="none" w:sz="0" w:space="0" w:color="auto"/>
          </w:divBdr>
          <w:divsChild>
            <w:div w:id="353776022">
              <w:marLeft w:val="0"/>
              <w:marRight w:val="0"/>
              <w:marTop w:val="0"/>
              <w:marBottom w:val="0"/>
              <w:divBdr>
                <w:top w:val="none" w:sz="0" w:space="0" w:color="auto"/>
                <w:left w:val="none" w:sz="0" w:space="0" w:color="auto"/>
                <w:bottom w:val="none" w:sz="0" w:space="0" w:color="auto"/>
                <w:right w:val="none" w:sz="0" w:space="0" w:color="auto"/>
              </w:divBdr>
              <w:divsChild>
                <w:div w:id="1563130689">
                  <w:marLeft w:val="0"/>
                  <w:marRight w:val="0"/>
                  <w:marTop w:val="0"/>
                  <w:marBottom w:val="0"/>
                  <w:divBdr>
                    <w:top w:val="none" w:sz="0" w:space="0" w:color="auto"/>
                    <w:left w:val="none" w:sz="0" w:space="0" w:color="auto"/>
                    <w:bottom w:val="none" w:sz="0" w:space="0" w:color="auto"/>
                    <w:right w:val="none" w:sz="0" w:space="0" w:color="auto"/>
                  </w:divBdr>
                  <w:divsChild>
                    <w:div w:id="20171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51518">
      <w:bodyDiv w:val="1"/>
      <w:marLeft w:val="0"/>
      <w:marRight w:val="0"/>
      <w:marTop w:val="0"/>
      <w:marBottom w:val="0"/>
      <w:divBdr>
        <w:top w:val="none" w:sz="0" w:space="0" w:color="auto"/>
        <w:left w:val="none" w:sz="0" w:space="0" w:color="auto"/>
        <w:bottom w:val="none" w:sz="0" w:space="0" w:color="auto"/>
        <w:right w:val="none" w:sz="0" w:space="0" w:color="auto"/>
      </w:divBdr>
    </w:div>
    <w:div w:id="942763419">
      <w:bodyDiv w:val="1"/>
      <w:marLeft w:val="0"/>
      <w:marRight w:val="0"/>
      <w:marTop w:val="0"/>
      <w:marBottom w:val="0"/>
      <w:divBdr>
        <w:top w:val="none" w:sz="0" w:space="0" w:color="auto"/>
        <w:left w:val="none" w:sz="0" w:space="0" w:color="auto"/>
        <w:bottom w:val="none" w:sz="0" w:space="0" w:color="auto"/>
        <w:right w:val="none" w:sz="0" w:space="0" w:color="auto"/>
      </w:divBdr>
    </w:div>
    <w:div w:id="1178157387">
      <w:bodyDiv w:val="1"/>
      <w:marLeft w:val="0"/>
      <w:marRight w:val="0"/>
      <w:marTop w:val="0"/>
      <w:marBottom w:val="0"/>
      <w:divBdr>
        <w:top w:val="none" w:sz="0" w:space="0" w:color="auto"/>
        <w:left w:val="none" w:sz="0" w:space="0" w:color="auto"/>
        <w:bottom w:val="none" w:sz="0" w:space="0" w:color="auto"/>
        <w:right w:val="none" w:sz="0" w:space="0" w:color="auto"/>
      </w:divBdr>
      <w:divsChild>
        <w:div w:id="448858218">
          <w:marLeft w:val="0"/>
          <w:marRight w:val="0"/>
          <w:marTop w:val="0"/>
          <w:marBottom w:val="0"/>
          <w:divBdr>
            <w:top w:val="none" w:sz="0" w:space="0" w:color="auto"/>
            <w:left w:val="none" w:sz="0" w:space="0" w:color="auto"/>
            <w:bottom w:val="none" w:sz="0" w:space="0" w:color="auto"/>
            <w:right w:val="none" w:sz="0" w:space="0" w:color="auto"/>
          </w:divBdr>
          <w:divsChild>
            <w:div w:id="772556469">
              <w:marLeft w:val="0"/>
              <w:marRight w:val="0"/>
              <w:marTop w:val="0"/>
              <w:marBottom w:val="300"/>
              <w:divBdr>
                <w:top w:val="none" w:sz="0" w:space="0" w:color="auto"/>
                <w:left w:val="none" w:sz="0" w:space="0" w:color="auto"/>
                <w:bottom w:val="none" w:sz="0" w:space="0" w:color="auto"/>
                <w:right w:val="none" w:sz="0" w:space="0" w:color="auto"/>
              </w:divBdr>
            </w:div>
          </w:divsChild>
        </w:div>
        <w:div w:id="191112267">
          <w:marLeft w:val="0"/>
          <w:marRight w:val="0"/>
          <w:marTop w:val="0"/>
          <w:marBottom w:val="0"/>
          <w:divBdr>
            <w:top w:val="none" w:sz="0" w:space="0" w:color="auto"/>
            <w:left w:val="none" w:sz="0" w:space="0" w:color="auto"/>
            <w:bottom w:val="none" w:sz="0" w:space="0" w:color="auto"/>
            <w:right w:val="none" w:sz="0" w:space="0" w:color="auto"/>
          </w:divBdr>
          <w:divsChild>
            <w:div w:id="1595632818">
              <w:marLeft w:val="0"/>
              <w:marRight w:val="0"/>
              <w:marTop w:val="150"/>
              <w:marBottom w:val="300"/>
              <w:divBdr>
                <w:top w:val="none" w:sz="0" w:space="0" w:color="auto"/>
                <w:left w:val="none" w:sz="0" w:space="0" w:color="auto"/>
                <w:bottom w:val="none" w:sz="0" w:space="0" w:color="auto"/>
                <w:right w:val="none" w:sz="0" w:space="0" w:color="auto"/>
              </w:divBdr>
            </w:div>
          </w:divsChild>
        </w:div>
        <w:div w:id="561058204">
          <w:marLeft w:val="0"/>
          <w:marRight w:val="0"/>
          <w:marTop w:val="0"/>
          <w:marBottom w:val="0"/>
          <w:divBdr>
            <w:top w:val="none" w:sz="0" w:space="0" w:color="auto"/>
            <w:left w:val="none" w:sz="0" w:space="0" w:color="auto"/>
            <w:bottom w:val="none" w:sz="0" w:space="0" w:color="auto"/>
            <w:right w:val="none" w:sz="0" w:space="0" w:color="auto"/>
          </w:divBdr>
          <w:divsChild>
            <w:div w:id="1434860682">
              <w:marLeft w:val="0"/>
              <w:marRight w:val="0"/>
              <w:marTop w:val="300"/>
              <w:marBottom w:val="150"/>
              <w:divBdr>
                <w:top w:val="none" w:sz="0" w:space="0" w:color="auto"/>
                <w:left w:val="none" w:sz="0" w:space="0" w:color="auto"/>
                <w:bottom w:val="none" w:sz="0" w:space="0" w:color="auto"/>
                <w:right w:val="none" w:sz="0" w:space="0" w:color="auto"/>
              </w:divBdr>
            </w:div>
          </w:divsChild>
        </w:div>
        <w:div w:id="495534082">
          <w:marLeft w:val="0"/>
          <w:marRight w:val="0"/>
          <w:marTop w:val="0"/>
          <w:marBottom w:val="0"/>
          <w:divBdr>
            <w:top w:val="none" w:sz="0" w:space="0" w:color="auto"/>
            <w:left w:val="none" w:sz="0" w:space="0" w:color="auto"/>
            <w:bottom w:val="none" w:sz="0" w:space="0" w:color="auto"/>
            <w:right w:val="none" w:sz="0" w:space="0" w:color="auto"/>
          </w:divBdr>
        </w:div>
        <w:div w:id="281425467">
          <w:marLeft w:val="0"/>
          <w:marRight w:val="0"/>
          <w:marTop w:val="0"/>
          <w:marBottom w:val="0"/>
          <w:divBdr>
            <w:top w:val="none" w:sz="0" w:space="0" w:color="auto"/>
            <w:left w:val="none" w:sz="0" w:space="0" w:color="auto"/>
            <w:bottom w:val="none" w:sz="0" w:space="0" w:color="auto"/>
            <w:right w:val="none" w:sz="0" w:space="0" w:color="auto"/>
          </w:divBdr>
          <w:divsChild>
            <w:div w:id="636640613">
              <w:marLeft w:val="0"/>
              <w:marRight w:val="0"/>
              <w:marTop w:val="0"/>
              <w:marBottom w:val="0"/>
              <w:divBdr>
                <w:top w:val="none" w:sz="0" w:space="0" w:color="auto"/>
                <w:left w:val="none" w:sz="0" w:space="0" w:color="auto"/>
                <w:bottom w:val="none" w:sz="0" w:space="0" w:color="auto"/>
                <w:right w:val="none" w:sz="0" w:space="0" w:color="auto"/>
              </w:divBdr>
              <w:divsChild>
                <w:div w:id="8984438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3936980">
          <w:marLeft w:val="0"/>
          <w:marRight w:val="0"/>
          <w:marTop w:val="0"/>
          <w:marBottom w:val="0"/>
          <w:divBdr>
            <w:top w:val="none" w:sz="0" w:space="0" w:color="auto"/>
            <w:left w:val="none" w:sz="0" w:space="0" w:color="auto"/>
            <w:bottom w:val="none" w:sz="0" w:space="0" w:color="auto"/>
            <w:right w:val="none" w:sz="0" w:space="0" w:color="auto"/>
          </w:divBdr>
          <w:divsChild>
            <w:div w:id="1937132846">
              <w:marLeft w:val="0"/>
              <w:marRight w:val="0"/>
              <w:marTop w:val="0"/>
              <w:marBottom w:val="0"/>
              <w:divBdr>
                <w:top w:val="none" w:sz="0" w:space="0" w:color="auto"/>
                <w:left w:val="none" w:sz="0" w:space="0" w:color="auto"/>
                <w:bottom w:val="none" w:sz="0" w:space="0" w:color="auto"/>
                <w:right w:val="none" w:sz="0" w:space="0" w:color="auto"/>
              </w:divBdr>
              <w:divsChild>
                <w:div w:id="1731997030">
                  <w:marLeft w:val="0"/>
                  <w:marRight w:val="0"/>
                  <w:marTop w:val="0"/>
                  <w:marBottom w:val="0"/>
                  <w:divBdr>
                    <w:top w:val="none" w:sz="0" w:space="0" w:color="auto"/>
                    <w:left w:val="none" w:sz="0" w:space="0" w:color="auto"/>
                    <w:bottom w:val="none" w:sz="0" w:space="0" w:color="auto"/>
                    <w:right w:val="none" w:sz="0" w:space="0" w:color="auto"/>
                  </w:divBdr>
                </w:div>
                <w:div w:id="969164366">
                  <w:marLeft w:val="0"/>
                  <w:marRight w:val="0"/>
                  <w:marTop w:val="0"/>
                  <w:marBottom w:val="0"/>
                  <w:divBdr>
                    <w:top w:val="none" w:sz="0" w:space="0" w:color="auto"/>
                    <w:left w:val="none" w:sz="0" w:space="0" w:color="auto"/>
                    <w:bottom w:val="none" w:sz="0" w:space="0" w:color="auto"/>
                    <w:right w:val="none" w:sz="0" w:space="0" w:color="auto"/>
                  </w:divBdr>
                </w:div>
                <w:div w:id="1076516020">
                  <w:marLeft w:val="0"/>
                  <w:marRight w:val="0"/>
                  <w:marTop w:val="0"/>
                  <w:marBottom w:val="0"/>
                  <w:divBdr>
                    <w:top w:val="none" w:sz="0" w:space="0" w:color="auto"/>
                    <w:left w:val="none" w:sz="0" w:space="0" w:color="auto"/>
                    <w:bottom w:val="none" w:sz="0" w:space="0" w:color="auto"/>
                    <w:right w:val="none" w:sz="0" w:space="0" w:color="auto"/>
                  </w:divBdr>
                </w:div>
                <w:div w:id="763111072">
                  <w:marLeft w:val="0"/>
                  <w:marRight w:val="0"/>
                  <w:marTop w:val="0"/>
                  <w:marBottom w:val="0"/>
                  <w:divBdr>
                    <w:top w:val="none" w:sz="0" w:space="0" w:color="auto"/>
                    <w:left w:val="none" w:sz="0" w:space="0" w:color="auto"/>
                    <w:bottom w:val="none" w:sz="0" w:space="0" w:color="auto"/>
                    <w:right w:val="none" w:sz="0" w:space="0" w:color="auto"/>
                  </w:divBdr>
                </w:div>
                <w:div w:id="14853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7349">
          <w:marLeft w:val="0"/>
          <w:marRight w:val="0"/>
          <w:marTop w:val="0"/>
          <w:marBottom w:val="0"/>
          <w:divBdr>
            <w:top w:val="none" w:sz="0" w:space="0" w:color="auto"/>
            <w:left w:val="none" w:sz="0" w:space="0" w:color="auto"/>
            <w:bottom w:val="none" w:sz="0" w:space="0" w:color="auto"/>
            <w:right w:val="none" w:sz="0" w:space="0" w:color="auto"/>
          </w:divBdr>
          <w:divsChild>
            <w:div w:id="1289778496">
              <w:marLeft w:val="0"/>
              <w:marRight w:val="0"/>
              <w:marTop w:val="0"/>
              <w:marBottom w:val="0"/>
              <w:divBdr>
                <w:top w:val="none" w:sz="0" w:space="0" w:color="auto"/>
                <w:left w:val="none" w:sz="0" w:space="0" w:color="auto"/>
                <w:bottom w:val="none" w:sz="0" w:space="0" w:color="auto"/>
                <w:right w:val="none" w:sz="0" w:space="0" w:color="auto"/>
              </w:divBdr>
              <w:divsChild>
                <w:div w:id="17074107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2925462">
          <w:marLeft w:val="0"/>
          <w:marRight w:val="0"/>
          <w:marTop w:val="0"/>
          <w:marBottom w:val="0"/>
          <w:divBdr>
            <w:top w:val="none" w:sz="0" w:space="0" w:color="auto"/>
            <w:left w:val="none" w:sz="0" w:space="0" w:color="auto"/>
            <w:bottom w:val="none" w:sz="0" w:space="0" w:color="auto"/>
            <w:right w:val="none" w:sz="0" w:space="0" w:color="auto"/>
          </w:divBdr>
          <w:divsChild>
            <w:div w:id="979579935">
              <w:marLeft w:val="0"/>
              <w:marRight w:val="0"/>
              <w:marTop w:val="0"/>
              <w:marBottom w:val="0"/>
              <w:divBdr>
                <w:top w:val="none" w:sz="0" w:space="0" w:color="auto"/>
                <w:left w:val="none" w:sz="0" w:space="0" w:color="auto"/>
                <w:bottom w:val="none" w:sz="0" w:space="0" w:color="auto"/>
                <w:right w:val="none" w:sz="0" w:space="0" w:color="auto"/>
              </w:divBdr>
              <w:divsChild>
                <w:div w:id="436826082">
                  <w:marLeft w:val="0"/>
                  <w:marRight w:val="0"/>
                  <w:marTop w:val="0"/>
                  <w:marBottom w:val="0"/>
                  <w:divBdr>
                    <w:top w:val="none" w:sz="0" w:space="0" w:color="auto"/>
                    <w:left w:val="none" w:sz="0" w:space="0" w:color="auto"/>
                    <w:bottom w:val="none" w:sz="0" w:space="0" w:color="auto"/>
                    <w:right w:val="none" w:sz="0" w:space="0" w:color="auto"/>
                  </w:divBdr>
                  <w:divsChild>
                    <w:div w:id="708384110">
                      <w:marLeft w:val="-420"/>
                      <w:marRight w:val="0"/>
                      <w:marTop w:val="0"/>
                      <w:marBottom w:val="0"/>
                      <w:divBdr>
                        <w:top w:val="none" w:sz="0" w:space="0" w:color="auto"/>
                        <w:left w:val="none" w:sz="0" w:space="0" w:color="auto"/>
                        <w:bottom w:val="none" w:sz="0" w:space="0" w:color="auto"/>
                        <w:right w:val="none" w:sz="0" w:space="0" w:color="auto"/>
                      </w:divBdr>
                      <w:divsChild>
                        <w:div w:id="2042436190">
                          <w:marLeft w:val="0"/>
                          <w:marRight w:val="0"/>
                          <w:marTop w:val="0"/>
                          <w:marBottom w:val="0"/>
                          <w:divBdr>
                            <w:top w:val="none" w:sz="0" w:space="0" w:color="auto"/>
                            <w:left w:val="none" w:sz="0" w:space="0" w:color="auto"/>
                            <w:bottom w:val="none" w:sz="0" w:space="0" w:color="auto"/>
                            <w:right w:val="none" w:sz="0" w:space="0" w:color="auto"/>
                          </w:divBdr>
                          <w:divsChild>
                            <w:div w:id="807092215">
                              <w:marLeft w:val="0"/>
                              <w:marRight w:val="0"/>
                              <w:marTop w:val="0"/>
                              <w:marBottom w:val="0"/>
                              <w:divBdr>
                                <w:top w:val="none" w:sz="0" w:space="0" w:color="auto"/>
                                <w:left w:val="none" w:sz="0" w:space="0" w:color="auto"/>
                                <w:bottom w:val="none" w:sz="0" w:space="0" w:color="auto"/>
                                <w:right w:val="none" w:sz="0" w:space="0" w:color="auto"/>
                              </w:divBdr>
                              <w:divsChild>
                                <w:div w:id="2090886782">
                                  <w:marLeft w:val="0"/>
                                  <w:marRight w:val="0"/>
                                  <w:marTop w:val="0"/>
                                  <w:marBottom w:val="0"/>
                                  <w:divBdr>
                                    <w:top w:val="none" w:sz="0" w:space="0" w:color="auto"/>
                                    <w:left w:val="none" w:sz="0" w:space="0" w:color="auto"/>
                                    <w:bottom w:val="none" w:sz="0" w:space="0" w:color="auto"/>
                                    <w:right w:val="none" w:sz="0" w:space="0" w:color="auto"/>
                                  </w:divBdr>
                                </w:div>
                                <w:div w:id="389426530">
                                  <w:marLeft w:val="0"/>
                                  <w:marRight w:val="0"/>
                                  <w:marTop w:val="0"/>
                                  <w:marBottom w:val="0"/>
                                  <w:divBdr>
                                    <w:top w:val="none" w:sz="0" w:space="0" w:color="auto"/>
                                    <w:left w:val="none" w:sz="0" w:space="0" w:color="auto"/>
                                    <w:bottom w:val="none" w:sz="0" w:space="0" w:color="auto"/>
                                    <w:right w:val="none" w:sz="0" w:space="0" w:color="auto"/>
                                  </w:divBdr>
                                  <w:divsChild>
                                    <w:div w:id="240911868">
                                      <w:marLeft w:val="0"/>
                                      <w:marRight w:val="0"/>
                                      <w:marTop w:val="0"/>
                                      <w:marBottom w:val="0"/>
                                      <w:divBdr>
                                        <w:top w:val="none" w:sz="0" w:space="0" w:color="auto"/>
                                        <w:left w:val="none" w:sz="0" w:space="0" w:color="auto"/>
                                        <w:bottom w:val="none" w:sz="0" w:space="0" w:color="auto"/>
                                        <w:right w:val="none" w:sz="0" w:space="0" w:color="auto"/>
                                      </w:divBdr>
                                      <w:divsChild>
                                        <w:div w:id="1389765098">
                                          <w:marLeft w:val="0"/>
                                          <w:marRight w:val="0"/>
                                          <w:marTop w:val="0"/>
                                          <w:marBottom w:val="0"/>
                                          <w:divBdr>
                                            <w:top w:val="none" w:sz="0" w:space="0" w:color="auto"/>
                                            <w:left w:val="none" w:sz="0" w:space="0" w:color="auto"/>
                                            <w:bottom w:val="none" w:sz="0" w:space="0" w:color="auto"/>
                                            <w:right w:val="none" w:sz="0" w:space="0" w:color="auto"/>
                                          </w:divBdr>
                                        </w:div>
                                        <w:div w:id="3735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48">
                  <w:marLeft w:val="0"/>
                  <w:marRight w:val="0"/>
                  <w:marTop w:val="0"/>
                  <w:marBottom w:val="0"/>
                  <w:divBdr>
                    <w:top w:val="none" w:sz="0" w:space="0" w:color="auto"/>
                    <w:left w:val="none" w:sz="0" w:space="0" w:color="auto"/>
                    <w:bottom w:val="none" w:sz="0" w:space="0" w:color="auto"/>
                    <w:right w:val="none" w:sz="0" w:space="0" w:color="auto"/>
                  </w:divBdr>
                  <w:divsChild>
                    <w:div w:id="327094755">
                      <w:marLeft w:val="-420"/>
                      <w:marRight w:val="0"/>
                      <w:marTop w:val="0"/>
                      <w:marBottom w:val="0"/>
                      <w:divBdr>
                        <w:top w:val="none" w:sz="0" w:space="0" w:color="auto"/>
                        <w:left w:val="none" w:sz="0" w:space="0" w:color="auto"/>
                        <w:bottom w:val="none" w:sz="0" w:space="0" w:color="auto"/>
                        <w:right w:val="none" w:sz="0" w:space="0" w:color="auto"/>
                      </w:divBdr>
                      <w:divsChild>
                        <w:div w:id="2112122725">
                          <w:marLeft w:val="0"/>
                          <w:marRight w:val="0"/>
                          <w:marTop w:val="0"/>
                          <w:marBottom w:val="0"/>
                          <w:divBdr>
                            <w:top w:val="none" w:sz="0" w:space="0" w:color="auto"/>
                            <w:left w:val="none" w:sz="0" w:space="0" w:color="auto"/>
                            <w:bottom w:val="none" w:sz="0" w:space="0" w:color="auto"/>
                            <w:right w:val="none" w:sz="0" w:space="0" w:color="auto"/>
                          </w:divBdr>
                          <w:divsChild>
                            <w:div w:id="1713647396">
                              <w:marLeft w:val="0"/>
                              <w:marRight w:val="0"/>
                              <w:marTop w:val="0"/>
                              <w:marBottom w:val="0"/>
                              <w:divBdr>
                                <w:top w:val="none" w:sz="0" w:space="0" w:color="auto"/>
                                <w:left w:val="none" w:sz="0" w:space="0" w:color="auto"/>
                                <w:bottom w:val="none" w:sz="0" w:space="0" w:color="auto"/>
                                <w:right w:val="none" w:sz="0" w:space="0" w:color="auto"/>
                              </w:divBdr>
                              <w:divsChild>
                                <w:div w:id="1419598505">
                                  <w:marLeft w:val="0"/>
                                  <w:marRight w:val="0"/>
                                  <w:marTop w:val="0"/>
                                  <w:marBottom w:val="0"/>
                                  <w:divBdr>
                                    <w:top w:val="none" w:sz="0" w:space="0" w:color="auto"/>
                                    <w:left w:val="none" w:sz="0" w:space="0" w:color="auto"/>
                                    <w:bottom w:val="none" w:sz="0" w:space="0" w:color="auto"/>
                                    <w:right w:val="none" w:sz="0" w:space="0" w:color="auto"/>
                                  </w:divBdr>
                                </w:div>
                                <w:div w:id="838890593">
                                  <w:marLeft w:val="0"/>
                                  <w:marRight w:val="0"/>
                                  <w:marTop w:val="0"/>
                                  <w:marBottom w:val="0"/>
                                  <w:divBdr>
                                    <w:top w:val="none" w:sz="0" w:space="0" w:color="auto"/>
                                    <w:left w:val="none" w:sz="0" w:space="0" w:color="auto"/>
                                    <w:bottom w:val="none" w:sz="0" w:space="0" w:color="auto"/>
                                    <w:right w:val="none" w:sz="0" w:space="0" w:color="auto"/>
                                  </w:divBdr>
                                  <w:divsChild>
                                    <w:div w:id="697000708">
                                      <w:marLeft w:val="0"/>
                                      <w:marRight w:val="0"/>
                                      <w:marTop w:val="0"/>
                                      <w:marBottom w:val="0"/>
                                      <w:divBdr>
                                        <w:top w:val="none" w:sz="0" w:space="0" w:color="auto"/>
                                        <w:left w:val="none" w:sz="0" w:space="0" w:color="auto"/>
                                        <w:bottom w:val="none" w:sz="0" w:space="0" w:color="auto"/>
                                        <w:right w:val="none" w:sz="0" w:space="0" w:color="auto"/>
                                      </w:divBdr>
                                      <w:divsChild>
                                        <w:div w:id="700014734">
                                          <w:marLeft w:val="0"/>
                                          <w:marRight w:val="0"/>
                                          <w:marTop w:val="0"/>
                                          <w:marBottom w:val="0"/>
                                          <w:divBdr>
                                            <w:top w:val="none" w:sz="0" w:space="0" w:color="auto"/>
                                            <w:left w:val="none" w:sz="0" w:space="0" w:color="auto"/>
                                            <w:bottom w:val="none" w:sz="0" w:space="0" w:color="auto"/>
                                            <w:right w:val="none" w:sz="0" w:space="0" w:color="auto"/>
                                          </w:divBdr>
                                        </w:div>
                                        <w:div w:id="12665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23794">
                  <w:marLeft w:val="0"/>
                  <w:marRight w:val="0"/>
                  <w:marTop w:val="0"/>
                  <w:marBottom w:val="0"/>
                  <w:divBdr>
                    <w:top w:val="none" w:sz="0" w:space="0" w:color="auto"/>
                    <w:left w:val="none" w:sz="0" w:space="0" w:color="auto"/>
                    <w:bottom w:val="none" w:sz="0" w:space="0" w:color="auto"/>
                    <w:right w:val="none" w:sz="0" w:space="0" w:color="auto"/>
                  </w:divBdr>
                  <w:divsChild>
                    <w:div w:id="1607620967">
                      <w:marLeft w:val="-420"/>
                      <w:marRight w:val="0"/>
                      <w:marTop w:val="0"/>
                      <w:marBottom w:val="0"/>
                      <w:divBdr>
                        <w:top w:val="none" w:sz="0" w:space="0" w:color="auto"/>
                        <w:left w:val="none" w:sz="0" w:space="0" w:color="auto"/>
                        <w:bottom w:val="none" w:sz="0" w:space="0" w:color="auto"/>
                        <w:right w:val="none" w:sz="0" w:space="0" w:color="auto"/>
                      </w:divBdr>
                      <w:divsChild>
                        <w:div w:id="1570533283">
                          <w:marLeft w:val="0"/>
                          <w:marRight w:val="0"/>
                          <w:marTop w:val="0"/>
                          <w:marBottom w:val="0"/>
                          <w:divBdr>
                            <w:top w:val="none" w:sz="0" w:space="0" w:color="auto"/>
                            <w:left w:val="none" w:sz="0" w:space="0" w:color="auto"/>
                            <w:bottom w:val="none" w:sz="0" w:space="0" w:color="auto"/>
                            <w:right w:val="none" w:sz="0" w:space="0" w:color="auto"/>
                          </w:divBdr>
                          <w:divsChild>
                            <w:div w:id="822741802">
                              <w:marLeft w:val="0"/>
                              <w:marRight w:val="0"/>
                              <w:marTop w:val="0"/>
                              <w:marBottom w:val="0"/>
                              <w:divBdr>
                                <w:top w:val="none" w:sz="0" w:space="0" w:color="auto"/>
                                <w:left w:val="none" w:sz="0" w:space="0" w:color="auto"/>
                                <w:bottom w:val="none" w:sz="0" w:space="0" w:color="auto"/>
                                <w:right w:val="none" w:sz="0" w:space="0" w:color="auto"/>
                              </w:divBdr>
                              <w:divsChild>
                                <w:div w:id="1970742498">
                                  <w:marLeft w:val="0"/>
                                  <w:marRight w:val="0"/>
                                  <w:marTop w:val="0"/>
                                  <w:marBottom w:val="0"/>
                                  <w:divBdr>
                                    <w:top w:val="none" w:sz="0" w:space="0" w:color="auto"/>
                                    <w:left w:val="none" w:sz="0" w:space="0" w:color="auto"/>
                                    <w:bottom w:val="none" w:sz="0" w:space="0" w:color="auto"/>
                                    <w:right w:val="none" w:sz="0" w:space="0" w:color="auto"/>
                                  </w:divBdr>
                                </w:div>
                                <w:div w:id="2109885273">
                                  <w:marLeft w:val="0"/>
                                  <w:marRight w:val="0"/>
                                  <w:marTop w:val="0"/>
                                  <w:marBottom w:val="0"/>
                                  <w:divBdr>
                                    <w:top w:val="none" w:sz="0" w:space="0" w:color="auto"/>
                                    <w:left w:val="none" w:sz="0" w:space="0" w:color="auto"/>
                                    <w:bottom w:val="none" w:sz="0" w:space="0" w:color="auto"/>
                                    <w:right w:val="none" w:sz="0" w:space="0" w:color="auto"/>
                                  </w:divBdr>
                                  <w:divsChild>
                                    <w:div w:id="859590898">
                                      <w:marLeft w:val="0"/>
                                      <w:marRight w:val="0"/>
                                      <w:marTop w:val="0"/>
                                      <w:marBottom w:val="0"/>
                                      <w:divBdr>
                                        <w:top w:val="none" w:sz="0" w:space="0" w:color="auto"/>
                                        <w:left w:val="none" w:sz="0" w:space="0" w:color="auto"/>
                                        <w:bottom w:val="none" w:sz="0" w:space="0" w:color="auto"/>
                                        <w:right w:val="none" w:sz="0" w:space="0" w:color="auto"/>
                                      </w:divBdr>
                                      <w:divsChild>
                                        <w:div w:id="296378122">
                                          <w:marLeft w:val="0"/>
                                          <w:marRight w:val="0"/>
                                          <w:marTop w:val="0"/>
                                          <w:marBottom w:val="0"/>
                                          <w:divBdr>
                                            <w:top w:val="none" w:sz="0" w:space="0" w:color="auto"/>
                                            <w:left w:val="none" w:sz="0" w:space="0" w:color="auto"/>
                                            <w:bottom w:val="none" w:sz="0" w:space="0" w:color="auto"/>
                                            <w:right w:val="none" w:sz="0" w:space="0" w:color="auto"/>
                                          </w:divBdr>
                                        </w:div>
                                        <w:div w:id="5128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0021">
                  <w:marLeft w:val="0"/>
                  <w:marRight w:val="0"/>
                  <w:marTop w:val="0"/>
                  <w:marBottom w:val="0"/>
                  <w:divBdr>
                    <w:top w:val="none" w:sz="0" w:space="0" w:color="auto"/>
                    <w:left w:val="none" w:sz="0" w:space="0" w:color="auto"/>
                    <w:bottom w:val="none" w:sz="0" w:space="0" w:color="auto"/>
                    <w:right w:val="none" w:sz="0" w:space="0" w:color="auto"/>
                  </w:divBdr>
                  <w:divsChild>
                    <w:div w:id="134838861">
                      <w:marLeft w:val="-420"/>
                      <w:marRight w:val="0"/>
                      <w:marTop w:val="0"/>
                      <w:marBottom w:val="0"/>
                      <w:divBdr>
                        <w:top w:val="none" w:sz="0" w:space="0" w:color="auto"/>
                        <w:left w:val="none" w:sz="0" w:space="0" w:color="auto"/>
                        <w:bottom w:val="none" w:sz="0" w:space="0" w:color="auto"/>
                        <w:right w:val="none" w:sz="0" w:space="0" w:color="auto"/>
                      </w:divBdr>
                      <w:divsChild>
                        <w:div w:id="1255895525">
                          <w:marLeft w:val="0"/>
                          <w:marRight w:val="0"/>
                          <w:marTop w:val="0"/>
                          <w:marBottom w:val="0"/>
                          <w:divBdr>
                            <w:top w:val="none" w:sz="0" w:space="0" w:color="auto"/>
                            <w:left w:val="none" w:sz="0" w:space="0" w:color="auto"/>
                            <w:bottom w:val="none" w:sz="0" w:space="0" w:color="auto"/>
                            <w:right w:val="none" w:sz="0" w:space="0" w:color="auto"/>
                          </w:divBdr>
                          <w:divsChild>
                            <w:div w:id="62460160">
                              <w:marLeft w:val="0"/>
                              <w:marRight w:val="0"/>
                              <w:marTop w:val="0"/>
                              <w:marBottom w:val="0"/>
                              <w:divBdr>
                                <w:top w:val="none" w:sz="0" w:space="0" w:color="auto"/>
                                <w:left w:val="none" w:sz="0" w:space="0" w:color="auto"/>
                                <w:bottom w:val="none" w:sz="0" w:space="0" w:color="auto"/>
                                <w:right w:val="none" w:sz="0" w:space="0" w:color="auto"/>
                              </w:divBdr>
                              <w:divsChild>
                                <w:div w:id="2026445582">
                                  <w:marLeft w:val="0"/>
                                  <w:marRight w:val="0"/>
                                  <w:marTop w:val="0"/>
                                  <w:marBottom w:val="0"/>
                                  <w:divBdr>
                                    <w:top w:val="none" w:sz="0" w:space="0" w:color="auto"/>
                                    <w:left w:val="none" w:sz="0" w:space="0" w:color="auto"/>
                                    <w:bottom w:val="none" w:sz="0" w:space="0" w:color="auto"/>
                                    <w:right w:val="none" w:sz="0" w:space="0" w:color="auto"/>
                                  </w:divBdr>
                                </w:div>
                                <w:div w:id="1720743544">
                                  <w:marLeft w:val="0"/>
                                  <w:marRight w:val="0"/>
                                  <w:marTop w:val="0"/>
                                  <w:marBottom w:val="0"/>
                                  <w:divBdr>
                                    <w:top w:val="none" w:sz="0" w:space="0" w:color="auto"/>
                                    <w:left w:val="none" w:sz="0" w:space="0" w:color="auto"/>
                                    <w:bottom w:val="none" w:sz="0" w:space="0" w:color="auto"/>
                                    <w:right w:val="none" w:sz="0" w:space="0" w:color="auto"/>
                                  </w:divBdr>
                                  <w:divsChild>
                                    <w:div w:id="395399643">
                                      <w:marLeft w:val="0"/>
                                      <w:marRight w:val="0"/>
                                      <w:marTop w:val="0"/>
                                      <w:marBottom w:val="0"/>
                                      <w:divBdr>
                                        <w:top w:val="none" w:sz="0" w:space="0" w:color="auto"/>
                                        <w:left w:val="none" w:sz="0" w:space="0" w:color="auto"/>
                                        <w:bottom w:val="none" w:sz="0" w:space="0" w:color="auto"/>
                                        <w:right w:val="none" w:sz="0" w:space="0" w:color="auto"/>
                                      </w:divBdr>
                                      <w:divsChild>
                                        <w:div w:id="79107397">
                                          <w:marLeft w:val="0"/>
                                          <w:marRight w:val="0"/>
                                          <w:marTop w:val="0"/>
                                          <w:marBottom w:val="0"/>
                                          <w:divBdr>
                                            <w:top w:val="none" w:sz="0" w:space="0" w:color="auto"/>
                                            <w:left w:val="none" w:sz="0" w:space="0" w:color="auto"/>
                                            <w:bottom w:val="none" w:sz="0" w:space="0" w:color="auto"/>
                                            <w:right w:val="none" w:sz="0" w:space="0" w:color="auto"/>
                                          </w:divBdr>
                                        </w:div>
                                        <w:div w:id="972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969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0696">
          <w:marLeft w:val="0"/>
          <w:marRight w:val="0"/>
          <w:marTop w:val="0"/>
          <w:marBottom w:val="0"/>
          <w:divBdr>
            <w:top w:val="none" w:sz="0" w:space="0" w:color="auto"/>
            <w:left w:val="none" w:sz="0" w:space="0" w:color="auto"/>
            <w:bottom w:val="none" w:sz="0" w:space="0" w:color="auto"/>
            <w:right w:val="none" w:sz="0" w:space="0" w:color="auto"/>
          </w:divBdr>
          <w:divsChild>
            <w:div w:id="621889314">
              <w:marLeft w:val="0"/>
              <w:marRight w:val="0"/>
              <w:marTop w:val="0"/>
              <w:marBottom w:val="300"/>
              <w:divBdr>
                <w:top w:val="none" w:sz="0" w:space="0" w:color="auto"/>
                <w:left w:val="none" w:sz="0" w:space="0" w:color="auto"/>
                <w:bottom w:val="none" w:sz="0" w:space="0" w:color="auto"/>
                <w:right w:val="none" w:sz="0" w:space="0" w:color="auto"/>
              </w:divBdr>
            </w:div>
          </w:divsChild>
        </w:div>
        <w:div w:id="1333487532">
          <w:marLeft w:val="0"/>
          <w:marRight w:val="0"/>
          <w:marTop w:val="0"/>
          <w:marBottom w:val="0"/>
          <w:divBdr>
            <w:top w:val="none" w:sz="0" w:space="0" w:color="auto"/>
            <w:left w:val="none" w:sz="0" w:space="0" w:color="auto"/>
            <w:bottom w:val="none" w:sz="0" w:space="0" w:color="auto"/>
            <w:right w:val="none" w:sz="0" w:space="0" w:color="auto"/>
          </w:divBdr>
          <w:divsChild>
            <w:div w:id="793452004">
              <w:marLeft w:val="0"/>
              <w:marRight w:val="0"/>
              <w:marTop w:val="150"/>
              <w:marBottom w:val="300"/>
              <w:divBdr>
                <w:top w:val="none" w:sz="0" w:space="0" w:color="auto"/>
                <w:left w:val="none" w:sz="0" w:space="0" w:color="auto"/>
                <w:bottom w:val="none" w:sz="0" w:space="0" w:color="auto"/>
                <w:right w:val="none" w:sz="0" w:space="0" w:color="auto"/>
              </w:divBdr>
            </w:div>
          </w:divsChild>
        </w:div>
        <w:div w:id="461389651">
          <w:marLeft w:val="0"/>
          <w:marRight w:val="0"/>
          <w:marTop w:val="0"/>
          <w:marBottom w:val="0"/>
          <w:divBdr>
            <w:top w:val="none" w:sz="0" w:space="0" w:color="auto"/>
            <w:left w:val="none" w:sz="0" w:space="0" w:color="auto"/>
            <w:bottom w:val="none" w:sz="0" w:space="0" w:color="auto"/>
            <w:right w:val="none" w:sz="0" w:space="0" w:color="auto"/>
          </w:divBdr>
          <w:divsChild>
            <w:div w:id="1687950181">
              <w:marLeft w:val="0"/>
              <w:marRight w:val="0"/>
              <w:marTop w:val="300"/>
              <w:marBottom w:val="150"/>
              <w:divBdr>
                <w:top w:val="none" w:sz="0" w:space="0" w:color="auto"/>
                <w:left w:val="none" w:sz="0" w:space="0" w:color="auto"/>
                <w:bottom w:val="none" w:sz="0" w:space="0" w:color="auto"/>
                <w:right w:val="none" w:sz="0" w:space="0" w:color="auto"/>
              </w:divBdr>
            </w:div>
          </w:divsChild>
        </w:div>
        <w:div w:id="895043309">
          <w:marLeft w:val="0"/>
          <w:marRight w:val="0"/>
          <w:marTop w:val="0"/>
          <w:marBottom w:val="0"/>
          <w:divBdr>
            <w:top w:val="none" w:sz="0" w:space="0" w:color="auto"/>
            <w:left w:val="none" w:sz="0" w:space="0" w:color="auto"/>
            <w:bottom w:val="none" w:sz="0" w:space="0" w:color="auto"/>
            <w:right w:val="none" w:sz="0" w:space="0" w:color="auto"/>
          </w:divBdr>
        </w:div>
        <w:div w:id="1307977581">
          <w:marLeft w:val="0"/>
          <w:marRight w:val="0"/>
          <w:marTop w:val="0"/>
          <w:marBottom w:val="0"/>
          <w:divBdr>
            <w:top w:val="none" w:sz="0" w:space="0" w:color="auto"/>
            <w:left w:val="none" w:sz="0" w:space="0" w:color="auto"/>
            <w:bottom w:val="none" w:sz="0" w:space="0" w:color="auto"/>
            <w:right w:val="none" w:sz="0" w:space="0" w:color="auto"/>
          </w:divBdr>
          <w:divsChild>
            <w:div w:id="185801401">
              <w:marLeft w:val="0"/>
              <w:marRight w:val="0"/>
              <w:marTop w:val="0"/>
              <w:marBottom w:val="0"/>
              <w:divBdr>
                <w:top w:val="none" w:sz="0" w:space="0" w:color="auto"/>
                <w:left w:val="none" w:sz="0" w:space="0" w:color="auto"/>
                <w:bottom w:val="none" w:sz="0" w:space="0" w:color="auto"/>
                <w:right w:val="none" w:sz="0" w:space="0" w:color="auto"/>
              </w:divBdr>
              <w:divsChild>
                <w:div w:id="36027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4165616">
          <w:marLeft w:val="0"/>
          <w:marRight w:val="0"/>
          <w:marTop w:val="0"/>
          <w:marBottom w:val="0"/>
          <w:divBdr>
            <w:top w:val="none" w:sz="0" w:space="0" w:color="auto"/>
            <w:left w:val="none" w:sz="0" w:space="0" w:color="auto"/>
            <w:bottom w:val="none" w:sz="0" w:space="0" w:color="auto"/>
            <w:right w:val="none" w:sz="0" w:space="0" w:color="auto"/>
          </w:divBdr>
          <w:divsChild>
            <w:div w:id="1484465569">
              <w:marLeft w:val="0"/>
              <w:marRight w:val="0"/>
              <w:marTop w:val="0"/>
              <w:marBottom w:val="0"/>
              <w:divBdr>
                <w:top w:val="none" w:sz="0" w:space="0" w:color="auto"/>
                <w:left w:val="none" w:sz="0" w:space="0" w:color="auto"/>
                <w:bottom w:val="none" w:sz="0" w:space="0" w:color="auto"/>
                <w:right w:val="none" w:sz="0" w:space="0" w:color="auto"/>
              </w:divBdr>
              <w:divsChild>
                <w:div w:id="585695966">
                  <w:marLeft w:val="0"/>
                  <w:marRight w:val="0"/>
                  <w:marTop w:val="0"/>
                  <w:marBottom w:val="0"/>
                  <w:divBdr>
                    <w:top w:val="none" w:sz="0" w:space="0" w:color="auto"/>
                    <w:left w:val="none" w:sz="0" w:space="0" w:color="auto"/>
                    <w:bottom w:val="none" w:sz="0" w:space="0" w:color="auto"/>
                    <w:right w:val="none" w:sz="0" w:space="0" w:color="auto"/>
                  </w:divBdr>
                </w:div>
                <w:div w:id="366947766">
                  <w:marLeft w:val="0"/>
                  <w:marRight w:val="0"/>
                  <w:marTop w:val="0"/>
                  <w:marBottom w:val="0"/>
                  <w:divBdr>
                    <w:top w:val="none" w:sz="0" w:space="0" w:color="auto"/>
                    <w:left w:val="none" w:sz="0" w:space="0" w:color="auto"/>
                    <w:bottom w:val="none" w:sz="0" w:space="0" w:color="auto"/>
                    <w:right w:val="none" w:sz="0" w:space="0" w:color="auto"/>
                  </w:divBdr>
                </w:div>
                <w:div w:id="759790862">
                  <w:marLeft w:val="0"/>
                  <w:marRight w:val="0"/>
                  <w:marTop w:val="0"/>
                  <w:marBottom w:val="0"/>
                  <w:divBdr>
                    <w:top w:val="none" w:sz="0" w:space="0" w:color="auto"/>
                    <w:left w:val="none" w:sz="0" w:space="0" w:color="auto"/>
                    <w:bottom w:val="none" w:sz="0" w:space="0" w:color="auto"/>
                    <w:right w:val="none" w:sz="0" w:space="0" w:color="auto"/>
                  </w:divBdr>
                </w:div>
                <w:div w:id="549193101">
                  <w:marLeft w:val="0"/>
                  <w:marRight w:val="0"/>
                  <w:marTop w:val="0"/>
                  <w:marBottom w:val="0"/>
                  <w:divBdr>
                    <w:top w:val="none" w:sz="0" w:space="0" w:color="auto"/>
                    <w:left w:val="none" w:sz="0" w:space="0" w:color="auto"/>
                    <w:bottom w:val="none" w:sz="0" w:space="0" w:color="auto"/>
                    <w:right w:val="none" w:sz="0" w:space="0" w:color="auto"/>
                  </w:divBdr>
                </w:div>
                <w:div w:id="21208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4988">
          <w:marLeft w:val="0"/>
          <w:marRight w:val="0"/>
          <w:marTop w:val="0"/>
          <w:marBottom w:val="0"/>
          <w:divBdr>
            <w:top w:val="none" w:sz="0" w:space="0" w:color="auto"/>
            <w:left w:val="none" w:sz="0" w:space="0" w:color="auto"/>
            <w:bottom w:val="none" w:sz="0" w:space="0" w:color="auto"/>
            <w:right w:val="none" w:sz="0" w:space="0" w:color="auto"/>
          </w:divBdr>
          <w:divsChild>
            <w:div w:id="1056900346">
              <w:marLeft w:val="0"/>
              <w:marRight w:val="0"/>
              <w:marTop w:val="0"/>
              <w:marBottom w:val="0"/>
              <w:divBdr>
                <w:top w:val="none" w:sz="0" w:space="0" w:color="auto"/>
                <w:left w:val="none" w:sz="0" w:space="0" w:color="auto"/>
                <w:bottom w:val="none" w:sz="0" w:space="0" w:color="auto"/>
                <w:right w:val="none" w:sz="0" w:space="0" w:color="auto"/>
              </w:divBdr>
              <w:divsChild>
                <w:div w:id="9911749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9646314">
          <w:marLeft w:val="0"/>
          <w:marRight w:val="0"/>
          <w:marTop w:val="0"/>
          <w:marBottom w:val="0"/>
          <w:divBdr>
            <w:top w:val="none" w:sz="0" w:space="0" w:color="auto"/>
            <w:left w:val="none" w:sz="0" w:space="0" w:color="auto"/>
            <w:bottom w:val="none" w:sz="0" w:space="0" w:color="auto"/>
            <w:right w:val="none" w:sz="0" w:space="0" w:color="auto"/>
          </w:divBdr>
          <w:divsChild>
            <w:div w:id="692801952">
              <w:marLeft w:val="0"/>
              <w:marRight w:val="0"/>
              <w:marTop w:val="0"/>
              <w:marBottom w:val="0"/>
              <w:divBdr>
                <w:top w:val="none" w:sz="0" w:space="0" w:color="auto"/>
                <w:left w:val="none" w:sz="0" w:space="0" w:color="auto"/>
                <w:bottom w:val="none" w:sz="0" w:space="0" w:color="auto"/>
                <w:right w:val="none" w:sz="0" w:space="0" w:color="auto"/>
              </w:divBdr>
              <w:divsChild>
                <w:div w:id="1704596575">
                  <w:marLeft w:val="0"/>
                  <w:marRight w:val="0"/>
                  <w:marTop w:val="0"/>
                  <w:marBottom w:val="0"/>
                  <w:divBdr>
                    <w:top w:val="none" w:sz="0" w:space="0" w:color="auto"/>
                    <w:left w:val="none" w:sz="0" w:space="0" w:color="auto"/>
                    <w:bottom w:val="none" w:sz="0" w:space="0" w:color="auto"/>
                    <w:right w:val="none" w:sz="0" w:space="0" w:color="auto"/>
                  </w:divBdr>
                  <w:divsChild>
                    <w:div w:id="1711808597">
                      <w:marLeft w:val="-420"/>
                      <w:marRight w:val="0"/>
                      <w:marTop w:val="0"/>
                      <w:marBottom w:val="0"/>
                      <w:divBdr>
                        <w:top w:val="none" w:sz="0" w:space="0" w:color="auto"/>
                        <w:left w:val="none" w:sz="0" w:space="0" w:color="auto"/>
                        <w:bottom w:val="none" w:sz="0" w:space="0" w:color="auto"/>
                        <w:right w:val="none" w:sz="0" w:space="0" w:color="auto"/>
                      </w:divBdr>
                      <w:divsChild>
                        <w:div w:id="1271551892">
                          <w:marLeft w:val="0"/>
                          <w:marRight w:val="0"/>
                          <w:marTop w:val="0"/>
                          <w:marBottom w:val="0"/>
                          <w:divBdr>
                            <w:top w:val="none" w:sz="0" w:space="0" w:color="auto"/>
                            <w:left w:val="none" w:sz="0" w:space="0" w:color="auto"/>
                            <w:bottom w:val="none" w:sz="0" w:space="0" w:color="auto"/>
                            <w:right w:val="none" w:sz="0" w:space="0" w:color="auto"/>
                          </w:divBdr>
                          <w:divsChild>
                            <w:div w:id="898903832">
                              <w:marLeft w:val="0"/>
                              <w:marRight w:val="0"/>
                              <w:marTop w:val="0"/>
                              <w:marBottom w:val="0"/>
                              <w:divBdr>
                                <w:top w:val="none" w:sz="0" w:space="0" w:color="auto"/>
                                <w:left w:val="none" w:sz="0" w:space="0" w:color="auto"/>
                                <w:bottom w:val="none" w:sz="0" w:space="0" w:color="auto"/>
                                <w:right w:val="none" w:sz="0" w:space="0" w:color="auto"/>
                              </w:divBdr>
                              <w:divsChild>
                                <w:div w:id="1370035985">
                                  <w:marLeft w:val="0"/>
                                  <w:marRight w:val="0"/>
                                  <w:marTop w:val="0"/>
                                  <w:marBottom w:val="0"/>
                                  <w:divBdr>
                                    <w:top w:val="none" w:sz="0" w:space="0" w:color="auto"/>
                                    <w:left w:val="none" w:sz="0" w:space="0" w:color="auto"/>
                                    <w:bottom w:val="none" w:sz="0" w:space="0" w:color="auto"/>
                                    <w:right w:val="none" w:sz="0" w:space="0" w:color="auto"/>
                                  </w:divBdr>
                                </w:div>
                                <w:div w:id="877350722">
                                  <w:marLeft w:val="0"/>
                                  <w:marRight w:val="0"/>
                                  <w:marTop w:val="0"/>
                                  <w:marBottom w:val="0"/>
                                  <w:divBdr>
                                    <w:top w:val="none" w:sz="0" w:space="0" w:color="auto"/>
                                    <w:left w:val="none" w:sz="0" w:space="0" w:color="auto"/>
                                    <w:bottom w:val="none" w:sz="0" w:space="0" w:color="auto"/>
                                    <w:right w:val="none" w:sz="0" w:space="0" w:color="auto"/>
                                  </w:divBdr>
                                  <w:divsChild>
                                    <w:div w:id="1224609204">
                                      <w:marLeft w:val="0"/>
                                      <w:marRight w:val="0"/>
                                      <w:marTop w:val="0"/>
                                      <w:marBottom w:val="0"/>
                                      <w:divBdr>
                                        <w:top w:val="none" w:sz="0" w:space="0" w:color="auto"/>
                                        <w:left w:val="none" w:sz="0" w:space="0" w:color="auto"/>
                                        <w:bottom w:val="none" w:sz="0" w:space="0" w:color="auto"/>
                                        <w:right w:val="none" w:sz="0" w:space="0" w:color="auto"/>
                                      </w:divBdr>
                                      <w:divsChild>
                                        <w:div w:id="425540441">
                                          <w:marLeft w:val="0"/>
                                          <w:marRight w:val="0"/>
                                          <w:marTop w:val="0"/>
                                          <w:marBottom w:val="0"/>
                                          <w:divBdr>
                                            <w:top w:val="none" w:sz="0" w:space="0" w:color="auto"/>
                                            <w:left w:val="none" w:sz="0" w:space="0" w:color="auto"/>
                                            <w:bottom w:val="none" w:sz="0" w:space="0" w:color="auto"/>
                                            <w:right w:val="none" w:sz="0" w:space="0" w:color="auto"/>
                                          </w:divBdr>
                                        </w:div>
                                        <w:div w:id="16778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2600">
                  <w:marLeft w:val="0"/>
                  <w:marRight w:val="0"/>
                  <w:marTop w:val="0"/>
                  <w:marBottom w:val="0"/>
                  <w:divBdr>
                    <w:top w:val="none" w:sz="0" w:space="0" w:color="auto"/>
                    <w:left w:val="none" w:sz="0" w:space="0" w:color="auto"/>
                    <w:bottom w:val="none" w:sz="0" w:space="0" w:color="auto"/>
                    <w:right w:val="none" w:sz="0" w:space="0" w:color="auto"/>
                  </w:divBdr>
                  <w:divsChild>
                    <w:div w:id="778374718">
                      <w:marLeft w:val="-420"/>
                      <w:marRight w:val="0"/>
                      <w:marTop w:val="0"/>
                      <w:marBottom w:val="0"/>
                      <w:divBdr>
                        <w:top w:val="none" w:sz="0" w:space="0" w:color="auto"/>
                        <w:left w:val="none" w:sz="0" w:space="0" w:color="auto"/>
                        <w:bottom w:val="none" w:sz="0" w:space="0" w:color="auto"/>
                        <w:right w:val="none" w:sz="0" w:space="0" w:color="auto"/>
                      </w:divBdr>
                      <w:divsChild>
                        <w:div w:id="814833218">
                          <w:marLeft w:val="0"/>
                          <w:marRight w:val="0"/>
                          <w:marTop w:val="0"/>
                          <w:marBottom w:val="0"/>
                          <w:divBdr>
                            <w:top w:val="none" w:sz="0" w:space="0" w:color="auto"/>
                            <w:left w:val="none" w:sz="0" w:space="0" w:color="auto"/>
                            <w:bottom w:val="none" w:sz="0" w:space="0" w:color="auto"/>
                            <w:right w:val="none" w:sz="0" w:space="0" w:color="auto"/>
                          </w:divBdr>
                          <w:divsChild>
                            <w:div w:id="363406797">
                              <w:marLeft w:val="0"/>
                              <w:marRight w:val="0"/>
                              <w:marTop w:val="0"/>
                              <w:marBottom w:val="0"/>
                              <w:divBdr>
                                <w:top w:val="none" w:sz="0" w:space="0" w:color="auto"/>
                                <w:left w:val="none" w:sz="0" w:space="0" w:color="auto"/>
                                <w:bottom w:val="none" w:sz="0" w:space="0" w:color="auto"/>
                                <w:right w:val="none" w:sz="0" w:space="0" w:color="auto"/>
                              </w:divBdr>
                              <w:divsChild>
                                <w:div w:id="463355001">
                                  <w:marLeft w:val="0"/>
                                  <w:marRight w:val="0"/>
                                  <w:marTop w:val="0"/>
                                  <w:marBottom w:val="0"/>
                                  <w:divBdr>
                                    <w:top w:val="none" w:sz="0" w:space="0" w:color="auto"/>
                                    <w:left w:val="none" w:sz="0" w:space="0" w:color="auto"/>
                                    <w:bottom w:val="none" w:sz="0" w:space="0" w:color="auto"/>
                                    <w:right w:val="none" w:sz="0" w:space="0" w:color="auto"/>
                                  </w:divBdr>
                                </w:div>
                                <w:div w:id="1122262747">
                                  <w:marLeft w:val="0"/>
                                  <w:marRight w:val="0"/>
                                  <w:marTop w:val="0"/>
                                  <w:marBottom w:val="0"/>
                                  <w:divBdr>
                                    <w:top w:val="none" w:sz="0" w:space="0" w:color="auto"/>
                                    <w:left w:val="none" w:sz="0" w:space="0" w:color="auto"/>
                                    <w:bottom w:val="none" w:sz="0" w:space="0" w:color="auto"/>
                                    <w:right w:val="none" w:sz="0" w:space="0" w:color="auto"/>
                                  </w:divBdr>
                                  <w:divsChild>
                                    <w:div w:id="88429168">
                                      <w:marLeft w:val="0"/>
                                      <w:marRight w:val="0"/>
                                      <w:marTop w:val="0"/>
                                      <w:marBottom w:val="0"/>
                                      <w:divBdr>
                                        <w:top w:val="none" w:sz="0" w:space="0" w:color="auto"/>
                                        <w:left w:val="none" w:sz="0" w:space="0" w:color="auto"/>
                                        <w:bottom w:val="none" w:sz="0" w:space="0" w:color="auto"/>
                                        <w:right w:val="none" w:sz="0" w:space="0" w:color="auto"/>
                                      </w:divBdr>
                                      <w:divsChild>
                                        <w:div w:id="92023016">
                                          <w:marLeft w:val="0"/>
                                          <w:marRight w:val="0"/>
                                          <w:marTop w:val="0"/>
                                          <w:marBottom w:val="0"/>
                                          <w:divBdr>
                                            <w:top w:val="none" w:sz="0" w:space="0" w:color="auto"/>
                                            <w:left w:val="none" w:sz="0" w:space="0" w:color="auto"/>
                                            <w:bottom w:val="none" w:sz="0" w:space="0" w:color="auto"/>
                                            <w:right w:val="none" w:sz="0" w:space="0" w:color="auto"/>
                                          </w:divBdr>
                                        </w:div>
                                        <w:div w:id="14405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35851">
                  <w:marLeft w:val="0"/>
                  <w:marRight w:val="0"/>
                  <w:marTop w:val="0"/>
                  <w:marBottom w:val="0"/>
                  <w:divBdr>
                    <w:top w:val="none" w:sz="0" w:space="0" w:color="auto"/>
                    <w:left w:val="none" w:sz="0" w:space="0" w:color="auto"/>
                    <w:bottom w:val="none" w:sz="0" w:space="0" w:color="auto"/>
                    <w:right w:val="none" w:sz="0" w:space="0" w:color="auto"/>
                  </w:divBdr>
                  <w:divsChild>
                    <w:div w:id="2022931273">
                      <w:marLeft w:val="-420"/>
                      <w:marRight w:val="0"/>
                      <w:marTop w:val="0"/>
                      <w:marBottom w:val="0"/>
                      <w:divBdr>
                        <w:top w:val="none" w:sz="0" w:space="0" w:color="auto"/>
                        <w:left w:val="none" w:sz="0" w:space="0" w:color="auto"/>
                        <w:bottom w:val="none" w:sz="0" w:space="0" w:color="auto"/>
                        <w:right w:val="none" w:sz="0" w:space="0" w:color="auto"/>
                      </w:divBdr>
                      <w:divsChild>
                        <w:div w:id="1004432375">
                          <w:marLeft w:val="0"/>
                          <w:marRight w:val="0"/>
                          <w:marTop w:val="0"/>
                          <w:marBottom w:val="0"/>
                          <w:divBdr>
                            <w:top w:val="none" w:sz="0" w:space="0" w:color="auto"/>
                            <w:left w:val="none" w:sz="0" w:space="0" w:color="auto"/>
                            <w:bottom w:val="none" w:sz="0" w:space="0" w:color="auto"/>
                            <w:right w:val="none" w:sz="0" w:space="0" w:color="auto"/>
                          </w:divBdr>
                          <w:divsChild>
                            <w:div w:id="765688672">
                              <w:marLeft w:val="0"/>
                              <w:marRight w:val="0"/>
                              <w:marTop w:val="0"/>
                              <w:marBottom w:val="0"/>
                              <w:divBdr>
                                <w:top w:val="none" w:sz="0" w:space="0" w:color="auto"/>
                                <w:left w:val="none" w:sz="0" w:space="0" w:color="auto"/>
                                <w:bottom w:val="none" w:sz="0" w:space="0" w:color="auto"/>
                                <w:right w:val="none" w:sz="0" w:space="0" w:color="auto"/>
                              </w:divBdr>
                              <w:divsChild>
                                <w:div w:id="1978561491">
                                  <w:marLeft w:val="0"/>
                                  <w:marRight w:val="0"/>
                                  <w:marTop w:val="0"/>
                                  <w:marBottom w:val="0"/>
                                  <w:divBdr>
                                    <w:top w:val="none" w:sz="0" w:space="0" w:color="auto"/>
                                    <w:left w:val="none" w:sz="0" w:space="0" w:color="auto"/>
                                    <w:bottom w:val="none" w:sz="0" w:space="0" w:color="auto"/>
                                    <w:right w:val="none" w:sz="0" w:space="0" w:color="auto"/>
                                  </w:divBdr>
                                </w:div>
                                <w:div w:id="370620307">
                                  <w:marLeft w:val="0"/>
                                  <w:marRight w:val="0"/>
                                  <w:marTop w:val="0"/>
                                  <w:marBottom w:val="0"/>
                                  <w:divBdr>
                                    <w:top w:val="none" w:sz="0" w:space="0" w:color="auto"/>
                                    <w:left w:val="none" w:sz="0" w:space="0" w:color="auto"/>
                                    <w:bottom w:val="none" w:sz="0" w:space="0" w:color="auto"/>
                                    <w:right w:val="none" w:sz="0" w:space="0" w:color="auto"/>
                                  </w:divBdr>
                                  <w:divsChild>
                                    <w:div w:id="917060970">
                                      <w:marLeft w:val="0"/>
                                      <w:marRight w:val="0"/>
                                      <w:marTop w:val="0"/>
                                      <w:marBottom w:val="0"/>
                                      <w:divBdr>
                                        <w:top w:val="none" w:sz="0" w:space="0" w:color="auto"/>
                                        <w:left w:val="none" w:sz="0" w:space="0" w:color="auto"/>
                                        <w:bottom w:val="none" w:sz="0" w:space="0" w:color="auto"/>
                                        <w:right w:val="none" w:sz="0" w:space="0" w:color="auto"/>
                                      </w:divBdr>
                                      <w:divsChild>
                                        <w:div w:id="503714383">
                                          <w:marLeft w:val="0"/>
                                          <w:marRight w:val="0"/>
                                          <w:marTop w:val="0"/>
                                          <w:marBottom w:val="0"/>
                                          <w:divBdr>
                                            <w:top w:val="none" w:sz="0" w:space="0" w:color="auto"/>
                                            <w:left w:val="none" w:sz="0" w:space="0" w:color="auto"/>
                                            <w:bottom w:val="none" w:sz="0" w:space="0" w:color="auto"/>
                                            <w:right w:val="none" w:sz="0" w:space="0" w:color="auto"/>
                                          </w:divBdr>
                                        </w:div>
                                        <w:div w:id="19822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02976">
                  <w:marLeft w:val="0"/>
                  <w:marRight w:val="0"/>
                  <w:marTop w:val="0"/>
                  <w:marBottom w:val="0"/>
                  <w:divBdr>
                    <w:top w:val="none" w:sz="0" w:space="0" w:color="auto"/>
                    <w:left w:val="none" w:sz="0" w:space="0" w:color="auto"/>
                    <w:bottom w:val="none" w:sz="0" w:space="0" w:color="auto"/>
                    <w:right w:val="none" w:sz="0" w:space="0" w:color="auto"/>
                  </w:divBdr>
                  <w:divsChild>
                    <w:div w:id="1079209672">
                      <w:marLeft w:val="-420"/>
                      <w:marRight w:val="0"/>
                      <w:marTop w:val="0"/>
                      <w:marBottom w:val="0"/>
                      <w:divBdr>
                        <w:top w:val="none" w:sz="0" w:space="0" w:color="auto"/>
                        <w:left w:val="none" w:sz="0" w:space="0" w:color="auto"/>
                        <w:bottom w:val="none" w:sz="0" w:space="0" w:color="auto"/>
                        <w:right w:val="none" w:sz="0" w:space="0" w:color="auto"/>
                      </w:divBdr>
                      <w:divsChild>
                        <w:div w:id="218519019">
                          <w:marLeft w:val="0"/>
                          <w:marRight w:val="0"/>
                          <w:marTop w:val="0"/>
                          <w:marBottom w:val="0"/>
                          <w:divBdr>
                            <w:top w:val="none" w:sz="0" w:space="0" w:color="auto"/>
                            <w:left w:val="none" w:sz="0" w:space="0" w:color="auto"/>
                            <w:bottom w:val="none" w:sz="0" w:space="0" w:color="auto"/>
                            <w:right w:val="none" w:sz="0" w:space="0" w:color="auto"/>
                          </w:divBdr>
                          <w:divsChild>
                            <w:div w:id="589704395">
                              <w:marLeft w:val="0"/>
                              <w:marRight w:val="0"/>
                              <w:marTop w:val="0"/>
                              <w:marBottom w:val="0"/>
                              <w:divBdr>
                                <w:top w:val="none" w:sz="0" w:space="0" w:color="auto"/>
                                <w:left w:val="none" w:sz="0" w:space="0" w:color="auto"/>
                                <w:bottom w:val="none" w:sz="0" w:space="0" w:color="auto"/>
                                <w:right w:val="none" w:sz="0" w:space="0" w:color="auto"/>
                              </w:divBdr>
                              <w:divsChild>
                                <w:div w:id="740908668">
                                  <w:marLeft w:val="0"/>
                                  <w:marRight w:val="0"/>
                                  <w:marTop w:val="0"/>
                                  <w:marBottom w:val="0"/>
                                  <w:divBdr>
                                    <w:top w:val="none" w:sz="0" w:space="0" w:color="auto"/>
                                    <w:left w:val="none" w:sz="0" w:space="0" w:color="auto"/>
                                    <w:bottom w:val="none" w:sz="0" w:space="0" w:color="auto"/>
                                    <w:right w:val="none" w:sz="0" w:space="0" w:color="auto"/>
                                  </w:divBdr>
                                </w:div>
                                <w:div w:id="1083725354">
                                  <w:marLeft w:val="0"/>
                                  <w:marRight w:val="0"/>
                                  <w:marTop w:val="0"/>
                                  <w:marBottom w:val="0"/>
                                  <w:divBdr>
                                    <w:top w:val="none" w:sz="0" w:space="0" w:color="auto"/>
                                    <w:left w:val="none" w:sz="0" w:space="0" w:color="auto"/>
                                    <w:bottom w:val="none" w:sz="0" w:space="0" w:color="auto"/>
                                    <w:right w:val="none" w:sz="0" w:space="0" w:color="auto"/>
                                  </w:divBdr>
                                  <w:divsChild>
                                    <w:div w:id="931544674">
                                      <w:marLeft w:val="0"/>
                                      <w:marRight w:val="0"/>
                                      <w:marTop w:val="0"/>
                                      <w:marBottom w:val="0"/>
                                      <w:divBdr>
                                        <w:top w:val="none" w:sz="0" w:space="0" w:color="auto"/>
                                        <w:left w:val="none" w:sz="0" w:space="0" w:color="auto"/>
                                        <w:bottom w:val="none" w:sz="0" w:space="0" w:color="auto"/>
                                        <w:right w:val="none" w:sz="0" w:space="0" w:color="auto"/>
                                      </w:divBdr>
                                      <w:divsChild>
                                        <w:div w:id="1722552519">
                                          <w:marLeft w:val="0"/>
                                          <w:marRight w:val="0"/>
                                          <w:marTop w:val="0"/>
                                          <w:marBottom w:val="0"/>
                                          <w:divBdr>
                                            <w:top w:val="none" w:sz="0" w:space="0" w:color="auto"/>
                                            <w:left w:val="none" w:sz="0" w:space="0" w:color="auto"/>
                                            <w:bottom w:val="none" w:sz="0" w:space="0" w:color="auto"/>
                                            <w:right w:val="none" w:sz="0" w:space="0" w:color="auto"/>
                                          </w:divBdr>
                                        </w:div>
                                        <w:div w:id="767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443069">
      <w:bodyDiv w:val="1"/>
      <w:marLeft w:val="0"/>
      <w:marRight w:val="0"/>
      <w:marTop w:val="0"/>
      <w:marBottom w:val="0"/>
      <w:divBdr>
        <w:top w:val="none" w:sz="0" w:space="0" w:color="auto"/>
        <w:left w:val="none" w:sz="0" w:space="0" w:color="auto"/>
        <w:bottom w:val="none" w:sz="0" w:space="0" w:color="auto"/>
        <w:right w:val="none" w:sz="0" w:space="0" w:color="auto"/>
      </w:divBdr>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206852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Shivhare\Downloads\Word_Template_AIJ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136B4-8E25-4110-853A-83137D94C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Word_Template_AIJR</Template>
  <TotalTime>344</TotalTime>
  <Pages>6</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lastModifiedBy>Gulshan Shrivastava</cp:lastModifiedBy>
  <cp:revision>2</cp:revision>
  <cp:lastPrinted>2016-06-17T10:15:00Z</cp:lastPrinted>
  <dcterms:created xsi:type="dcterms:W3CDTF">2025-02-18T06:49:00Z</dcterms:created>
  <dcterms:modified xsi:type="dcterms:W3CDTF">2026-01-15T05:11:00Z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d98572e9863016be85c149e7113bb6bc5d4791a9a6992630033f98d169e74a62</vt:lpwstr>
  </property>
</Properties>
</file>