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AgentShield AI: An Autonomous Multi-Agent Framework for Syntactic Verification, Secret Interception, and Sandbox-Validated Remediation in Multi-Cloud Infrastructure-as-Code</w:t>
      </w:r>
    </w:p>
    <w:tbl>
      <w:tblPr>
        <w:tblW w:type="auto" w:w="0"/>
        <w:jc w:val="center"/>
        <w:tblLook w:firstColumn="1" w:firstRow="1" w:lastColumn="0" w:lastRow="0" w:noHBand="0" w:noVBand="1" w:val="04A0"/>
      </w:tblPr>
      <w:tblGrid>
        <w:gridCol w:w="2700"/>
        <w:gridCol w:w="2700"/>
        <w:gridCol w:w="2700"/>
        <w:gridCol w:w="2700"/>
      </w:tblGrid>
      <w:tr>
        <w:tc>
          <w:tcPr>
            <w:tcW w:type="dxa" w:w="2664"/>
          </w:tcPr>
          <w:p>
            <w:pPr>
              <w:spacing w:before="0" w:after="20"/>
              <w:jc w:val="center"/>
            </w:pPr>
            <w:r>
              <w:rPr>
                <w:rFonts w:ascii="Times New Roman" w:hAnsi="Times New Roman"/>
                <w:b/>
                <w:sz w:val="17"/>
              </w:rPr>
              <w:t>1st Anisha Paturi</w:t>
            </w:r>
          </w:p>
          <w:p>
            <w:pPr>
              <w:spacing w:before="0" w:after="20"/>
              <w:jc w:val="center"/>
            </w:pPr>
            <w:r>
              <w:rPr>
                <w:rFonts w:ascii="Times New Roman" w:hAnsi="Times New Roman"/>
                <w:i/>
                <w:sz w:val="14"/>
              </w:rPr>
              <w:t>Dept. of Computer Science &amp; Engg.</w:t>
              <w:br/>
              <w:t>Keshav Memorial Inst. of Tech.</w:t>
              <w:br/>
              <w:t>Hyderabad, Telangana, India</w:t>
            </w:r>
          </w:p>
          <w:p>
            <w:pPr>
              <w:spacing w:before="0" w:after="40"/>
              <w:jc w:val="center"/>
            </w:pPr>
            <w:r>
              <w:rPr>
                <w:rFonts w:ascii="Times New Roman" w:hAnsi="Times New Roman"/>
                <w:sz w:val="14"/>
              </w:rPr>
              <w:t>paturi.anisha@gmail.com</w:t>
            </w:r>
          </w:p>
        </w:tc>
        <w:tc>
          <w:tcPr>
            <w:tcW w:type="dxa" w:w="2664"/>
          </w:tcPr>
          <w:p>
            <w:pPr>
              <w:spacing w:before="0" w:after="20"/>
              <w:jc w:val="center"/>
            </w:pPr>
            <w:r>
              <w:rPr>
                <w:rFonts w:ascii="Times New Roman" w:hAnsi="Times New Roman"/>
                <w:b/>
                <w:sz w:val="17"/>
              </w:rPr>
              <w:t>2nd Ch Venkata Vahini</w:t>
            </w:r>
          </w:p>
          <w:p>
            <w:pPr>
              <w:spacing w:before="0" w:after="20"/>
              <w:jc w:val="center"/>
            </w:pPr>
            <w:r>
              <w:rPr>
                <w:rFonts w:ascii="Times New Roman" w:hAnsi="Times New Roman"/>
                <w:i/>
                <w:sz w:val="14"/>
              </w:rPr>
              <w:t>Dept. of Computer Science &amp; Engg.</w:t>
              <w:br/>
              <w:t>Keshav Memorial Inst. of Tech.</w:t>
              <w:br/>
              <w:t>Hyderabad, Telangana, India</w:t>
            </w:r>
          </w:p>
          <w:p>
            <w:pPr>
              <w:spacing w:before="0" w:after="40"/>
              <w:jc w:val="center"/>
            </w:pPr>
            <w:r>
              <w:rPr>
                <w:rFonts w:ascii="Times New Roman" w:hAnsi="Times New Roman"/>
                <w:sz w:val="14"/>
              </w:rPr>
              <w:t>vahinivenkatac@gmail.com</w:t>
            </w:r>
          </w:p>
        </w:tc>
        <w:tc>
          <w:tcPr>
            <w:tcW w:type="dxa" w:w="2664"/>
          </w:tcPr>
          <w:p>
            <w:pPr>
              <w:spacing w:before="0" w:after="20"/>
              <w:jc w:val="center"/>
            </w:pPr>
            <w:r>
              <w:rPr>
                <w:rFonts w:ascii="Times New Roman" w:hAnsi="Times New Roman"/>
                <w:b/>
                <w:sz w:val="17"/>
              </w:rPr>
              <w:t>3rd Ch Parinamika Bhanu</w:t>
            </w:r>
          </w:p>
          <w:p>
            <w:pPr>
              <w:spacing w:before="0" w:after="20"/>
              <w:jc w:val="center"/>
            </w:pPr>
            <w:r>
              <w:rPr>
                <w:rFonts w:ascii="Times New Roman" w:hAnsi="Times New Roman"/>
                <w:i/>
                <w:sz w:val="14"/>
              </w:rPr>
              <w:t>Dept. of Computer Science &amp; Engg.</w:t>
              <w:br/>
              <w:t>Keshav Memorial Inst. of Tech.</w:t>
              <w:br/>
              <w:t>Hyderabad, Telangana, India</w:t>
            </w:r>
          </w:p>
          <w:p>
            <w:pPr>
              <w:spacing w:before="0" w:after="40"/>
              <w:jc w:val="center"/>
            </w:pPr>
            <w:r>
              <w:rPr>
                <w:rFonts w:ascii="Times New Roman" w:hAnsi="Times New Roman"/>
                <w:sz w:val="14"/>
              </w:rPr>
              <w:t>chparinamikabhanu@gmail.com</w:t>
            </w:r>
          </w:p>
        </w:tc>
        <w:tc>
          <w:tcPr>
            <w:tcW w:type="dxa" w:w="2664"/>
          </w:tcPr>
          <w:p>
            <w:pPr>
              <w:spacing w:before="0" w:after="20"/>
              <w:jc w:val="center"/>
            </w:pPr>
            <w:r>
              <w:rPr>
                <w:rFonts w:ascii="Times New Roman" w:hAnsi="Times New Roman"/>
                <w:b/>
                <w:sz w:val="17"/>
              </w:rPr>
              <w:t>4th Sravani Janak</w:t>
            </w:r>
          </w:p>
          <w:p>
            <w:pPr>
              <w:spacing w:before="0" w:after="20"/>
              <w:jc w:val="center"/>
            </w:pPr>
            <w:r>
              <w:rPr>
                <w:rFonts w:ascii="Times New Roman" w:hAnsi="Times New Roman"/>
                <w:i/>
                <w:sz w:val="14"/>
              </w:rPr>
              <w:t>Dept. of Computer Science &amp; Engg.</w:t>
              <w:br/>
              <w:t>Keshav Memorial Inst. of Tech.</w:t>
              <w:br/>
              <w:t>Hyderabad, Telangana, India</w:t>
            </w:r>
          </w:p>
          <w:p>
            <w:pPr>
              <w:spacing w:before="0" w:after="40"/>
              <w:jc w:val="center"/>
            </w:pPr>
            <w:r>
              <w:rPr>
                <w:rFonts w:ascii="Times New Roman" w:hAnsi="Times New Roman"/>
                <w:sz w:val="14"/>
              </w:rPr>
              <w:t>sravanijanak@gmail.com</w:t>
            </w:r>
          </w:p>
        </w:tc>
      </w:tr>
    </w:tbl>
    <w:p>
      <w:pPr>
        <w:jc w:val="both"/>
      </w:pPr>
      <w:r>
        <w:rPr>
          <w:rFonts w:ascii="Times New Roman" w:hAnsi="Times New Roman"/>
          <w:b/>
          <w:i/>
          <w:sz w:val="16"/>
        </w:rPr>
        <w:t>Abstract—</w:t>
      </w:r>
      <w:r>
        <w:rPr>
          <w:rFonts w:ascii="Times New Roman" w:hAnsi="Times New Roman"/>
          <w:i/>
          <w:sz w:val="16"/>
        </w:rPr>
        <w:t>Infrastructure-as-Code (IaC) has emerged as the foundational paradigm for declarative, automated, and scalable cloud resource provisioning across modern enterprise architectures. However, declarative configuration scripts—such as HashiCorp Terraform (HCL), AWS CloudFormation, Kubernetes Manifests, and Ansible Playbooks—introduce critical security vulnerabilities into continuous deployment pipelines. Common defects include over-privileged IAM policies, unencrypted data stores, unrestricted ingress security groups, and hardcoded cryptographic credentials. Existing static analysis security testing (SAST) tools rely on rigid regular expressions and superficial AST matching, yielding catastrophic false-positive rates (32%–48%) and demonstrating an inability to resolve cross-module variable interpolations or dynamic environment maps. Furthermore, conventional scanners are purely diagnostic, forcing human security engineers to manually author remediation patches, causing critical vulnerabilities to remain unresolved for an average Mean Time to Remediate (MTTR) of 24.6 days. In this paper, we present AgentShield AI, a fully autonomous, closed-loop multi-agent framework for zero-shot IaC security auditing, secret interception, and deterministic, sandbox-validated remediation. AgentShield AI deploys an ensemble of eight specialized autonomous agents coordinated by an event-driven Orchestration Router. The framework integrates Tree-sitter concrete syntax tree (CST) parsing, an entropy-aware dual secret interception engine combining Shannon entropy analysis (threshold H &gt;= 4.5) with 140+ heuristic regex patterns, and a hybrid Retrieval-Augmented Generation (RAG) architecture fusing Qdrant HNSW vector search over Center for Internet Security (CIS) Benchmarks with BM25 lexical ranking. Remediation patches are synthesized via dual-LLM consensus (Claude 3.5 Sonnet and GPT-4o) and strictly validated inside an isolated two-tier LocalStack Docker execution sandbox. Evaluated across 2,450 real-world IaC templates and the standardized Toprani-Madisetti benchmark, AgentShield AI achieves an unprecedented 99.1% detection precision, 98.4% recall, a 0.05% false-positive rate, a 97.8% sandbox-validated first-pass patch success rate, and an average execution latency of 1.84 seconds per module, significantly outperforming industry-standard baselines (Checkov, tfsec, KICS, Trivy).</w:t>
      </w:r>
    </w:p>
    <w:p>
      <w:pPr>
        <w:jc w:val="both"/>
      </w:pPr>
      <w:r>
        <w:rPr>
          <w:rFonts w:ascii="Times New Roman" w:hAnsi="Times New Roman"/>
          <w:b/>
          <w:i/>
          <w:sz w:val="16"/>
        </w:rPr>
        <w:t>Index Terms—</w:t>
      </w:r>
      <w:r>
        <w:rPr>
          <w:rFonts w:ascii="Times New Roman" w:hAnsi="Times New Roman"/>
          <w:i/>
          <w:sz w:val="16"/>
        </w:rPr>
        <w:t>Infrastructure-as-Code (IaC) Security, Multi-Agent Systems, Tree-sitter AST, Secret Detection, Shannon Entropy, Retrieval-Augmented Generation (RAG), LocalStack Sandbox, Automated Vulnerability Remediation, Cloud Compliance.</w:t>
      </w:r>
    </w:p>
    <w:p>
      <w:pPr>
        <w:jc w:val="center"/>
      </w:pPr>
      <w:r>
        <w:rPr>
          <w:rFonts w:ascii="Times New Roman" w:hAnsi="Times New Roman"/>
          <w:b/>
          <w:sz w:val="24"/>
        </w:rPr>
        <w:t>I. Introduction</w:t>
      </w:r>
    </w:p>
    <w:p>
      <w:pPr>
        <w:jc w:val="both"/>
      </w:pPr>
      <w:r>
        <w:rPr>
          <w:rFonts w:ascii="Times New Roman" w:hAnsi="Times New Roman"/>
          <w:sz w:val="16"/>
        </w:rPr>
        <w:t>Infrastructure-as-Code (IaC) has fundamentally transformed enterprise software engineering by enabling software-defined lifecycle management for distributed cloud architectures [1]. Through declarative domain-specific languages (DSLs) such as HashiCorp Terraform (HCL), AWS CloudFormation (JSON/YAML), Kubernetes Object Manifests, and Ansible Playbooks, engineering teams codify virtual networks, distributed databases, serverless execution fabrics, and identity access boundaries directly into version-controlled repositories [2], [3]. This programmatic representation allows continuous integration and continuous deployment (CI/CD) pipelines to provision, mutate, and tear down thousands of interconnected cloud assets in minutes, drastically reducing operational overhead, eliminating manual configuration drift, and standardizing infrastructure governance across heterogeneous cloud service providers [4].</w:t>
      </w:r>
    </w:p>
    <w:p>
      <w:pPr>
        <w:jc w:val="both"/>
      </w:pPr>
      <w:r>
        <w:rPr>
          <w:rFonts w:ascii="Times New Roman" w:hAnsi="Times New Roman"/>
          <w:sz w:val="16"/>
        </w:rPr>
        <w:t>However, this unprecedented provisioning velocity introduces profound security risks into enterprise software supply chains. Because IaC templates serve as executable blueprints for cloud perimeters, any configuration flaw—such as an Amazon S3 bucket missing public access blockades, an ingress firewall rule exposing port 22 (SSH) or 3389 (RDP) to the global Internet (0.0.0.0/0), an unencrypted elastic block store (EBS) volume, or an over-privileged IAM policy granting wildcard administrative capabilities—is immediately instantiated into live production infrastructure upon pipeline execution [5]. Empirical cloud threat intelligence reports indicate that over 73% of enterprise cloud security breaches originate from preventable IaC misconfigurations, while 65% of publicly accessible codebases contain hardcoded cryptographic credentials, secret tokens, or private RSA keys embedded directly within configuration variables [4].</w:t>
      </w:r>
    </w:p>
    <w:p>
      <w:pPr>
        <w:jc w:val="both"/>
      </w:pPr>
      <w:r>
        <w:rPr>
          <w:rFonts w:ascii="Times New Roman" w:hAnsi="Times New Roman"/>
          <w:sz w:val="16"/>
        </w:rPr>
        <w:t>Securing enterprise IaC pipelines presents four fundamental challenges that render existing commercial and academic tools inadequate: 1) High False Positive Rates in Static Scanners: Existing Static Application Security Testing (SAST) tools—such as Checkov [6], tfsec [7], KICS [8], and Trivy [9]—evaluate templates using rigid regular expressions or shallow Abstract Syntax Tree (AST) pattern matching. These scanners operate without semantic awareness of cross-file variable bindings, ternary conditional expressions, or hierarchical module inheritance, producing prohibitive false-alarm rates between 32% and 48% [10]. In enterprise environments managing millions of lines of IaC, security engineers are overwhelmed by alert fatigue, frequently disabling automated guardrails to maintain release schedules.2) Absence of Automated, Validated Remediation: Conventional SAST analyzers are strictly diagnostic; they output verbose violation logs without generating verified fix implementations [11]. Remediating these defects requires human cloud architects to inspect documentation, draft code patches, and test syntax manually, causing vulnerabilities to linger unpatched for an average Mean Time to Remediate (MTTR) of 24.6 days.3) Unreliable and Hallucinatory LLM Generation: While recent generative AI models (such as GPT-4o and Claude 3.5 Sonnet) exhibit strong general coding abilities, direct zero-shot prompting for IaC repair suffers from severe hallucinations. Unconstrained LLMs frequently invent non-existent cloud resource attributes, violate strict provider schemas, deprecate valid tags, and introduce fatal syntax errors that break CI/CD execution [12], [13].4) Cryptographic Secret Leakage: Hardcoded secrets require composite detection. Standard regex scanners miss novel token formats or obfuscated strings, while uncalibrated Shannon entropy analyzers generate massive false positives on benign UUIDs, commit hashes, and base64 assets [14].</w:t>
      </w:r>
    </w:p>
    <w:p>
      <w:pPr>
        <w:jc w:val="both"/>
      </w:pPr>
      <w:r>
        <w:rPr>
          <w:rFonts w:ascii="Times New Roman" w:hAnsi="Times New Roman"/>
          <w:sz w:val="16"/>
        </w:rPr>
        <w:t>To overcome these fundamental limitations, this paper presents AgentShield AI, an autonomous, closed-loop, multi-agent framework engineered for zero-shot IaC security verification, cryptographic secret interception, and deterministic, sandbox-validated remediation. AgentShield AI deploys eight specialized autonomous agents coordinated by an event-driven Orchestration Router. The framework couples Tree-sitter concrete syntax tree parsing with an entropy-aware dual secret interception engine, a hybrid dense-sparse Retrieval-Augmented Generation (RAG) system grounded in Center for Internet Security (CIS) Benchmarks [15], and an automated two-tier LocalStack Docker execution sandbox [16] that verifies operational semantics before emitting cryptographically signed Git Pull Requests.</w:t>
      </w:r>
    </w:p>
    <w:p>
      <w:pPr>
        <w:jc w:val="center"/>
      </w:pPr>
      <w:r>
        <w:rPr>
          <w:rFonts w:ascii="Times New Roman" w:hAnsi="Times New Roman"/>
          <w:b/>
          <w:sz w:val="24"/>
        </w:rPr>
        <w:t>II. Related Work</w:t>
      </w:r>
    </w:p>
    <w:p>
      <w:pPr>
        <w:jc w:val="both"/>
      </w:pPr>
      <w:r>
        <w:rPr>
          <w:rFonts w:ascii="Times New Roman" w:hAnsi="Times New Roman"/>
          <w:sz w:val="16"/>
        </w:rPr>
        <w:t>Securing Infrastructure-as-Code has evolved through several distinct paradigms, progressing from manual checklist audits to static rule engines, graph-theoretic dependency analyzers, formal SMT-based reasoning, and recent explorations in generative artificial intelligence.</w:t>
      </w:r>
    </w:p>
    <w:p>
      <w:pPr>
        <w:jc w:val="both"/>
      </w:pPr>
      <w:r>
        <w:rPr>
          <w:rFonts w:ascii="Times New Roman" w:hAnsi="Times New Roman"/>
          <w:sz w:val="16"/>
        </w:rPr>
        <w:t>A. Static Analysis and AST-Based Scanners: Checkov [6] builds intermediate Python AST representations to check Terraform and CloudFormation templates against CIS Benchmarks. tfsec [7] compiles HCL files into Go structures, evaluating static rules prior to plan generation. KICS [8] standardizes diverse IaC formats into a unified JSON model, evaluating rules via Open Policy Agent (OPA) Rego queries. Trivy [9] provides unified misconfiguration scanning across container images, Kubernetes manifests, and Terraform files. Despite their high throughput, these tools lack dynamic evaluation capabilities: they cannot resolve cross-module variable interpolation, module outputs, or ternary logical expressions, resulting in baseline false-positive rates between 32.4% and 47.9% [10]. Moreover, these tools provide no automated remediation mechanism.</w:t>
      </w:r>
    </w:p>
    <w:p>
      <w:pPr>
        <w:jc w:val="both"/>
      </w:pPr>
      <w:r>
        <w:rPr>
          <w:rFonts w:ascii="Times New Roman" w:hAnsi="Times New Roman"/>
          <w:sz w:val="16"/>
        </w:rPr>
        <w:t>B. Policy-as-Code and Formal SMT Verification: Policy-as-Code (PaC) frameworks, such as Open Policy Agent (OPA) and HashiCorp Sentinel, allow enterprise security teams to define declarative guardrails. However, authoring and maintaining complex Rego policies across evolving cloud APIs requires immense manual effort and domain expertise [10]. Formal verification approaches, including AWS Zelkova [17] and Cloud-SMR [18], translate access control policies into Satisfiability Modulo Theories (SMT) to mathematically prove the non-reachability of insecure states. While formal methods offer absolute theoretical soundness, they suffer from state explosion when applied to complex enterprise architectures containing thousands of interdependent resources, and they lack the generative capability to author corrective code.</w:t>
      </w:r>
    </w:p>
    <w:p>
      <w:pPr>
        <w:jc w:val="both"/>
      </w:pPr>
      <w:r>
        <w:rPr>
          <w:rFonts w:ascii="Times New Roman" w:hAnsi="Times New Roman"/>
          <w:sz w:val="16"/>
        </w:rPr>
        <w:t>C. Secret Interception and LLM Program Repair: Detecting exposed cryptographic keys in source code has traditionally relied on signature-based scanners such as TruffleHog [20] and Gitleaks [19]. Signature scanners match regular expressions for known key patterns (e.g., AWS AKIA prefixes, RSA private key headers). However, signature methods fail against custom tokens, base64-encoded secrets, or randomized strings. Shannon entropy analysis [14] measures the informational randomness of character strings, flagging tokens exhibiting high entropy. In the automated program repair domain, Toprani and Madisetti (2025) [21] introduced a graph-theoretic framework that leverages LLMs for Terraform security auditing. However, their architecture operates in an open-loop manner without closed-loop execution validation, leading to a 28.8% patch failure rate due to hallucinated attributes and broken provider dependencies.</w:t>
      </w:r>
    </w:p>
    <w:p>
      <w:pPr>
        <w:jc w:val="center"/>
      </w:pPr>
      <w:r>
        <w:rPr>
          <w:rFonts w:ascii="Times New Roman" w:hAnsi="Times New Roman"/>
          <w:b/>
          <w:sz w:val="24"/>
        </w:rPr>
        <w:t>III. System Architecture &amp; Agent Methodology</w:t>
      </w:r>
    </w:p>
    <w:p>
      <w:pPr>
        <w:jc w:val="center"/>
      </w:pPr>
    </w:p>
    <w:p>
      <w:r>
        <w:drawing>
          <wp:inline xmlns:a="http://schemas.openxmlformats.org/drawingml/2006/main" xmlns:pic="http://schemas.openxmlformats.org/drawingml/2006/picture">
            <wp:extent cx="2926080" cy="140783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1407831"/>
                    </a:xfrm>
                    <a:prstGeom prst="rect"/>
                  </pic:spPr>
                </pic:pic>
              </a:graphicData>
            </a:graphic>
          </wp:inline>
        </w:drawing>
      </w:r>
    </w:p>
    <w:p>
      <w:pPr>
        <w:jc w:val="center"/>
      </w:pPr>
      <w:r>
        <w:rPr>
          <w:rFonts w:ascii="Times New Roman" w:hAnsi="Times New Roman"/>
          <w:i/>
          <w:sz w:val="15"/>
        </w:rPr>
        <w:t>Fig. 1. End-to-End System Architecture of AgentShield AI.</w:t>
      </w:r>
    </w:p>
    <w:p>
      <w:pPr>
        <w:jc w:val="both"/>
      </w:pPr>
      <w:r>
        <w:rPr>
          <w:rFonts w:ascii="Times New Roman" w:hAnsi="Times New Roman"/>
          <w:sz w:val="16"/>
        </w:rPr>
        <w:t>AgentShield AI is architected as an event-driven, autonomous multi-agent ecosystem comprising eight specialized agents coordinated by a centralized Orchestration Router. All agents execute asynchronously, exchanging strongly typed Pydantic V2 state objects across a shared execution bus:</w:t>
      </w:r>
    </w:p>
    <w:p>
      <w:pPr>
        <w:jc w:val="both"/>
      </w:pPr>
      <w:r>
        <w:rPr>
          <w:rFonts w:ascii="Times New Roman" w:hAnsi="Times New Roman"/>
          <w:sz w:val="16"/>
        </w:rPr>
        <w:t>• Agent 1 (Orchestration &amp; Ingestion Router): Upon receiving an IaC repository or template snippet, Agent 1 identifies the source format (Terraform HCL, CloudFormation JSON/YAML, Kubernetes Manifest, Ansible Playbook), extracts file hierarchy metadata, computes a SHA-256 integrity checksum, and initializes the shared execution context graph Gamma. The Router dynamically schedules parallel dispatch to Agent 2 and Agent 3 to minimize pipeline latency.</w:t>
      </w:r>
    </w:p>
    <w:p>
      <w:pPr>
        <w:jc w:val="both"/>
      </w:pPr>
      <w:r>
        <w:rPr>
          <w:rFonts w:ascii="Times New Roman" w:hAnsi="Times New Roman"/>
          <w:sz w:val="16"/>
        </w:rPr>
        <w:t>• Agent 2 (AST &amp; Graph-Theoretic Parser): Converts raw declarative code into rich concrete syntax trees (CST) using high-performance C-bindings from Tree-sitter [22]. Agent 2 constructs an attributed directed graph G = (V, E_dep, E_ref, A), resolving cross-block variable references, evaluating ternary conditional expressions, and identifying active resource nodes to eliminate false positives on disabled blocks.</w:t>
      </w:r>
    </w:p>
    <w:p>
      <w:pPr>
        <w:jc w:val="both"/>
      </w:pPr>
      <w:r>
        <w:rPr>
          <w:rFonts w:ascii="Times New Roman" w:hAnsi="Times New Roman"/>
          <w:sz w:val="16"/>
        </w:rPr>
        <w:t>• Agent 3 (Dual-Engine Secret Interceptor): Intercepts hardcoded API credentials, private certificates, and authentication tokens via a dual-stage analytical filter combining 140+ Gitleaks regex patterns with sliding-window Shannon entropy analysis [14] (threshold H &gt;= 4.5) and AST dictionary suppression.</w:t>
      </w:r>
    </w:p>
    <w:p>
      <w:pPr>
        <w:jc w:val="both"/>
      </w:pPr>
      <w:r>
        <w:rPr>
          <w:rFonts w:ascii="Times New Roman" w:hAnsi="Times New Roman"/>
          <w:sz w:val="16"/>
        </w:rPr>
        <w:t>• Agent 4 (Hybrid RAG Knowledge Retrieval Engine): Retrieves authoritative remediation guidelines from 12,400 chunked passages of CIS Cloud Benchmarks, NIST SP 800-53 Rev 5, and PCI-DSS v4.0 [15]. It fuses 384-dimensional dense semantic vectors (sentence-transformers/all-MiniLM-L6-v2) indexed in Qdrant HNSW graphs with sparse BM25 lexical ranking via Reciprocal Rank Fusion (RRF).</w:t>
      </w:r>
    </w:p>
    <w:p>
      <w:pPr>
        <w:jc w:val="both"/>
      </w:pPr>
      <w:r>
        <w:rPr>
          <w:rFonts w:ascii="Times New Roman" w:hAnsi="Times New Roman"/>
          <w:sz w:val="16"/>
        </w:rPr>
        <w:t>• Agent 5 (Dual-LLM Consensus Remediation Generator): Synthesizes candidate patches formatted as RFC 6902 JSON Patch arrays and Unified Git Diffs by dispatching structured prompts concurrently to Anthropic Claude 3.5 Sonnet (syntactic reasoning) and OpenAI GPT-4o (semantic synthesis). Patches are promoted only when token-level AST Dice consensus satisfies S_dice &gt;= 0.92.</w:t>
      </w:r>
    </w:p>
    <w:p>
      <w:pPr>
        <w:jc w:val="both"/>
      </w:pPr>
      <w:r>
        <w:rPr>
          <w:rFonts w:ascii="Times New Roman" w:hAnsi="Times New Roman"/>
          <w:sz w:val="16"/>
        </w:rPr>
        <w:t>• Agent 6 (Two-Tier LocalStack Docker Sandbox Validator): Validates patches inside an ephemeral, isolated Docker container running LocalStack (simulating 45+ AWS APIs) and local Terraform runtimes [16]. Tier 1 verifies AST syntax invariants (terraform validate); Tier 2 executes mock cloud provisioning (terraform plan/apply).</w:t>
      </w:r>
    </w:p>
    <w:p>
      <w:pPr>
        <w:jc w:val="both"/>
      </w:pPr>
      <w:r>
        <w:rPr>
          <w:rFonts w:ascii="Times New Roman" w:hAnsi="Times New Roman"/>
          <w:sz w:val="16"/>
        </w:rPr>
        <w:t>• Agent 7 (Compliance Mapping &amp; Threat Model Analyzer): Enriches findings with Common Weakness Enumeration (CWE), CVSS v3.1 vector strings, CIS sub-controls, and MITRE ATT&amp;CK for Cloud matrix techniques (e.g., T1078 Valid Accounts, T1530 Data from Cloud Storage Object).</w:t>
      </w:r>
    </w:p>
    <w:p>
      <w:pPr>
        <w:jc w:val="both"/>
      </w:pPr>
      <w:r>
        <w:rPr>
          <w:rFonts w:ascii="Times New Roman" w:hAnsi="Times New Roman"/>
          <w:sz w:val="16"/>
        </w:rPr>
        <w:t>• Agent 8 (Cryptographic Report &amp; Git Pull Request Generator): Aggregates execution artifacts into executive summaries, SARIF JSON files for GitHub/GitLab Security tab integration, and cryptographically signs Git Pull Requests using ephemeral Ed25519 keys.</w:t>
      </w:r>
    </w:p>
    <w:p>
      <w:pPr>
        <w:jc w:val="center"/>
      </w:pPr>
      <w:r>
        <w:rPr>
          <w:rFonts w:ascii="Times New Roman" w:hAnsi="Times New Roman"/>
          <w:b/>
          <w:sz w:val="24"/>
        </w:rPr>
        <w:t>IV. Mathematical Formulation &amp; Algorithmic Workflow</w:t>
      </w:r>
    </w:p>
    <w:p>
      <w:pPr>
        <w:jc w:val="both"/>
      </w:pPr>
      <w:r>
        <w:rPr>
          <w:rFonts w:ascii="Times New Roman" w:hAnsi="Times New Roman"/>
          <w:sz w:val="16"/>
        </w:rPr>
        <w:t>To formalize the mathematical foundation of AgentShield AI, we define the core formulations for entropy detection, context fusion, consensus, and validation:</w:t>
      </w:r>
    </w:p>
    <w:p>
      <w:pPr>
        <w:jc w:val="both"/>
      </w:pPr>
      <w:r>
        <w:rPr>
          <w:rFonts w:ascii="Times New Roman" w:hAnsi="Times New Roman"/>
          <w:sz w:val="16"/>
        </w:rPr>
        <w:t>Shannon Entropy of candidate token string S of length L with character frequencies f(c):</w:t>
      </w:r>
    </w:p>
    <w:p>
      <w:pPr>
        <w:spacing w:before="80" w:after="80"/>
        <w:jc w:val="center"/>
      </w:pPr>
      <w:r>
        <w:rPr>
          <w:rFonts w:ascii="Cambria Math" w:hAnsi="Cambria Math"/>
          <w:i/>
          <w:sz w:val="17"/>
        </w:rPr>
        <w:t>H(S) = -\sum_{i=1}^{n} P(c_i) \log_2 P(c_i) = -\sum_{i=1}^{n} \frac{f(c_i)}{L} \log_2 \left(\frac{f(c_i)}{L}\right) \qquad (1)</w:t>
      </w:r>
    </w:p>
    <w:p>
      <w:pPr>
        <w:jc w:val="both"/>
      </w:pPr>
      <w:r>
        <w:rPr>
          <w:rFonts w:ascii="Times New Roman" w:hAnsi="Times New Roman"/>
          <w:sz w:val="16"/>
        </w:rPr>
        <w:t>Reciprocal Rank Fusion (RRF) score for document d across dense (Qdrant HNSW) and sparse (BM25) retrieval models (constant k = 60):</w:t>
      </w:r>
    </w:p>
    <w:p>
      <w:pPr>
        <w:spacing w:before="80" w:after="80"/>
        <w:jc w:val="center"/>
      </w:pPr>
      <w:r>
        <w:rPr>
          <w:rFonts w:ascii="Cambria Math" w:hAnsi="Cambria Math"/>
          <w:i/>
          <w:sz w:val="17"/>
        </w:rPr>
        <w:t>\mathrm{RRF\_Score}(d) = \sum_{m \in \{\mathrm{Dense}, \mathrm{Sparse}\}} \frac{1}{k + r_m(d)} \qquad (2)</w:t>
      </w:r>
    </w:p>
    <w:p>
      <w:pPr>
        <w:jc w:val="both"/>
      </w:pPr>
      <w:r>
        <w:rPr>
          <w:rFonts w:ascii="Times New Roman" w:hAnsi="Times New Roman"/>
          <w:sz w:val="16"/>
        </w:rPr>
        <w:t>Token-level AST Dice similarity coefficient between candidate patches delta_1 (Claude 3.5) and delta_2 (GPT-4o):</w:t>
      </w:r>
    </w:p>
    <w:p>
      <w:pPr>
        <w:spacing w:before="80" w:after="80"/>
        <w:jc w:val="center"/>
      </w:pPr>
      <w:r>
        <w:rPr>
          <w:rFonts w:ascii="Cambria Math" w:hAnsi="Cambria Math"/>
          <w:i/>
          <w:sz w:val="17"/>
        </w:rPr>
        <w:t>S_{\mathrm{dice}}(\delta_1, \delta_2) = \frac{2 |\mathrm{AST}(\delta_1) \cap \mathrm{AST}(\delta_2)|}{|\mathrm{AST}(\delta_1)| + |\mathrm{AST}(\delta_2)|} \qquad (3)</w:t>
      </w:r>
    </w:p>
    <w:p>
      <w:pPr>
        <w:jc w:val="both"/>
      </w:pPr>
      <w:r>
        <w:rPr>
          <w:rFonts w:ascii="Times New Roman" w:hAnsi="Times New Roman"/>
          <w:sz w:val="16"/>
        </w:rPr>
        <w:t>Two-tier LocalStack sandbox validation scoring function:</w:t>
      </w:r>
    </w:p>
    <w:p>
      <w:pPr>
        <w:spacing w:before="80" w:after="80"/>
        <w:jc w:val="center"/>
      </w:pPr>
      <w:r>
        <w:rPr>
          <w:rFonts w:ascii="Cambria Math" w:hAnsi="Cambria Math"/>
          <w:i/>
          <w:sz w:val="17"/>
        </w:rPr>
        <w:t>V_{\mathrm{score}}(\delta) = 0.2 \cdot \mathcal{S}_{\mathrm{syntax}}(\delta) + 0.3 \cdot \mathcal{S}_{\mathrm{plan}}(\delta) + 0.5 \cdot \mathcal{S}_{\mathrm{apply}}(\delta) \qquad (4)</w:t>
      </w:r>
    </w:p>
    <w:p>
      <w:pPr>
        <w:jc w:val="both"/>
      </w:pPr>
      <w:r>
        <w:rPr>
          <w:rFonts w:ascii="Times New Roman" w:hAnsi="Times New Roman"/>
          <w:sz w:val="16"/>
        </w:rPr>
        <w:t>where S_syntax, S_plan, and S_apply in {0, 1} represent boolean execution success flags. Algorithm 1 formalizes the end-to-end multi-agent execution pipeline.</w:t>
      </w:r>
    </w:p>
    <w:p>
      <w:pPr>
        <w:jc w:val="center"/>
      </w:pPr>
      <w:r>
        <w:rPr>
          <w:rFonts w:ascii="Times New Roman" w:hAnsi="Times New Roman"/>
          <w:b/>
          <w:sz w:val="24"/>
        </w:rPr>
        <w:t>V. Experimental Setup &amp; Benchmark Methodology</w:t>
      </w:r>
    </w:p>
    <w:p>
      <w:pPr>
        <w:jc w:val="both"/>
      </w:pPr>
      <w:r>
        <w:rPr>
          <w:rFonts w:ascii="Times New Roman" w:hAnsi="Times New Roman"/>
          <w:sz w:val="16"/>
        </w:rPr>
        <w:t>A. Benchmark Datasets: Evaluated across three suites totaling 2,450 IaC templates: 1) PEC-1500: 1,500 real-world production templates harvested from top open-source enterprise repositories; 2) SSB-650: 650 synthetic templates containing 3,250 injected flaws across OWASP Cloud Top 10; 3) TMB-300: 300 multi-resource templates from Toprani &amp; Madisetti [21] testing complex variable dependencies.B. Baseline Configurations: Benchmarked against Checkov v3.2 [6], tfsec v1.28 [7], KICS v2.1 [8], Trivy v0.51 [9], Zero-Shot GPT-4o, and Zero-Shot Claude 3.5 Sonnet. C. Testbed: AMD EPYC 7763 (64 cores, 2.45 GHz), 256 GB RAM, dual NVIDIA RTX 4090 GPUs (24 GB VRAM), Ubuntu 22.04 LTS, Docker Engine 26.1, LocalStack v3.4.</w:t>
      </w:r>
    </w:p>
    <w:p>
      <w:pPr>
        <w:jc w:val="center"/>
      </w:pPr>
      <w:r>
        <w:rPr>
          <w:rFonts w:ascii="Times New Roman" w:hAnsi="Times New Roman"/>
          <w:b/>
          <w:sz w:val="24"/>
        </w:rPr>
        <w:t>VI. Empirical Results &amp; Discussion</w:t>
      </w:r>
    </w:p>
    <w:p>
      <w:pPr>
        <w:jc w:val="both"/>
      </w:pPr>
      <w:r>
        <w:rPr>
          <w:rFonts w:ascii="Times New Roman" w:hAnsi="Times New Roman"/>
          <w:sz w:val="16"/>
        </w:rPr>
        <w:t>A. Vulnerability Detection Accuracy: As detailed in Table I, AgentShield AI achieves 99.1% Precision, 98.4% Recall, and an F1-Score of 98.7%, significantly outperforming Checkov (Precision: 62.4%), tfsec (67.8%), KICS (65.1%), and Trivy (68.9%). The dramatic gain stems from Agent 2's Tree-sitter AST parser, which eliminates false positives on conditional or disabled blocks.</w:t>
      </w:r>
    </w:p>
    <w:p>
      <w:pPr>
        <w:jc w:val="both"/>
      </w:pPr>
      <w:r>
        <w:rPr>
          <w:rFonts w:ascii="Times New Roman" w:hAnsi="Times New Roman"/>
          <w:sz w:val="16"/>
        </w:rPr>
        <w:t>B. Secret Interception Performance: Table II demonstrates that Agent 3's composite entropy engine achieves 99.4% Precision and 99.1% Recall, reducing false positives from 618 (pure entropy) and 342 (pure regex) down to only 7 cases through AST dictionary suppression.</w:t>
      </w:r>
    </w:p>
    <w:p>
      <w:pPr>
        <w:jc w:val="both"/>
      </w:pPr>
      <w:r>
        <w:rPr>
          <w:rFonts w:ascii="Times New Roman" w:hAnsi="Times New Roman"/>
          <w:sz w:val="16"/>
        </w:rPr>
        <w:t>C. Automated Remediation Success: Table III shows that AgentShield AI delivers a 97.8% First-Pass Validation Success Rate inside the LocalStack sandbox, compared to 54.2% for zero-shot GPT-4o and 71.2% for Toprani &amp; Madisetti [21]. With closed-loop multi-pass retry (99.4%.</w:t>
      </w:r>
    </w:p>
    <w:p>
      <w:pPr>
        <w:jc w:val="both"/>
      </w:pPr>
      <w:r>
        <w:rPr>
          <w:rFonts w:ascii="Times New Roman" w:hAnsi="Times New Roman"/>
          <w:sz w:val="16"/>
        </w:rPr>
        <w:t>D. Execution Latency: Table IV provides the runtime breakdown: AST parsing (12.6 ms), Secret scan (18.4 ms), RAG (65.2 ms), Dual-LLM (940.5 ms), and LocalStack sandbox (760.8 ms), yielding an average end-to-end latency of 1.84 seconds per module.</w:t>
      </w:r>
    </w:p>
    <w:p>
      <w:pPr>
        <w:jc w:val="center"/>
      </w:pPr>
      <w:r>
        <w:rPr>
          <w:rFonts w:ascii="Times New Roman" w:hAnsi="Times New Roman"/>
          <w:b/>
          <w:sz w:val="24"/>
        </w:rPr>
        <w:t>VII. Case Studies &amp; Vulnerability Remediation</w:t>
      </w:r>
    </w:p>
    <w:p>
      <w:pPr>
        <w:jc w:val="both"/>
      </w:pPr>
      <w:r>
        <w:rPr>
          <w:rFonts w:ascii="Times New Roman" w:hAnsi="Times New Roman"/>
          <w:sz w:val="16"/>
        </w:rPr>
        <w:t>Case Study 1 (S3 Hardening): Listing 1 illustrates the remediation of an Amazon S3 bucket with public ACLs and missing KMS encryption. AgentShield AI injects a public access block resource and configures server-side SSE-KMS encryption. Case Study 2 (IAM Least-Privilege): Listing 2 demonstrates scoping an over-privileged wildcard IAM policy (Action: *, Resource: *) down to exact DynamoDB read actions.</w:t>
      </w:r>
    </w:p>
    <w:p>
      <w:pPr>
        <w:jc w:val="center"/>
      </w:pPr>
      <w:r>
        <w:rPr>
          <w:rFonts w:ascii="Times New Roman" w:hAnsi="Times New Roman"/>
          <w:b/>
          <w:sz w:val="24"/>
        </w:rPr>
        <w:t>VIII. Ablation Study &amp; Cost Analysis</w:t>
      </w:r>
    </w:p>
    <w:p>
      <w:pPr>
        <w:jc w:val="both"/>
      </w:pPr>
      <w:r>
        <w:rPr>
          <w:rFonts w:ascii="Times New Roman" w:hAnsi="Times New Roman"/>
          <w:sz w:val="16"/>
        </w:rPr>
        <w:t>Table V confirms that removing Tree-sitter drops precision to 71.2%, omitting entropy reduces secret recall to 88.2%, and removing the LocalStack sandbox allows 18.4% broken patches. Table VI demonstrates a 99.99% MTTR reduction (24.6 days down to 1.84s) and a 98.7% reduction in false-alarm triage costs.</w:t>
      </w:r>
    </w:p>
    <w:p>
      <w:pPr>
        <w:jc w:val="center"/>
      </w:pPr>
      <w:r>
        <w:rPr>
          <w:rFonts w:ascii="Times New Roman" w:hAnsi="Times New Roman"/>
          <w:b/>
          <w:sz w:val="24"/>
        </w:rPr>
        <w:t>IX. Conclusion &amp; Future Scope</w:t>
      </w:r>
    </w:p>
    <w:p>
      <w:pPr>
        <w:jc w:val="both"/>
      </w:pPr>
      <w:r>
        <w:rPr>
          <w:rFonts w:ascii="Times New Roman" w:hAnsi="Times New Roman"/>
          <w:sz w:val="16"/>
        </w:rPr>
        <w:t>AgentShield AI provides an autonomous, closed-loop multi-agent framework for zero-shot IaC security auditing, secret interception, and sandbox-validated remediation. By uniting Tree-sitter CST parsing, Shannon entropy filtering, hybrid dense-sparse RAG, dual-LLM consensus, and LocalStack Docker validation, it delivers 99.1% precision and 97.8% first-pass fix success in 1.84s. Future work includes live runtime drift remediation via eBPF kernel telemetry and self-hosted SLM deployment.</w:t>
      </w:r>
    </w:p>
    <w:p>
      <w:pPr>
        <w:jc w:val="center"/>
      </w:pPr>
      <w:r>
        <w:rPr>
          <w:rFonts w:ascii="Times New Roman" w:hAnsi="Times New Roman"/>
          <w:b/>
          <w:sz w:val="16"/>
        </w:rPr>
        <w:t>Table I. Vulnerability Detection Benchmark Across 2,450 IaC Templates</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Framework / Tool</w:t>
            </w:r>
          </w:p>
        </w:tc>
        <w:tc>
          <w:tcPr>
            <w:tcW w:type="dxa" w:w="1350"/>
          </w:tcPr>
          <w:p>
            <w:r>
              <w:rPr>
                <w:rFonts w:ascii="Times New Roman" w:hAnsi="Times New Roman"/>
                <w:b/>
                <w:sz w:val="14"/>
              </w:rPr>
              <w:t>Total Scanned</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Checkov v3.2 [6]</w:t>
            </w:r>
          </w:p>
        </w:tc>
        <w:tc>
          <w:tcPr>
            <w:tcW w:type="dxa" w:w="1350"/>
          </w:tcPr>
          <w:p>
            <w:r>
              <w:rPr>
                <w:rFonts w:ascii="Times New Roman" w:hAnsi="Times New Roman"/>
                <w:sz w:val="14"/>
              </w:rPr>
              <w:t>2,450</w:t>
            </w:r>
          </w:p>
        </w:tc>
        <w:tc>
          <w:tcPr>
            <w:tcW w:type="dxa" w:w="1350"/>
          </w:tcPr>
          <w:p>
            <w:r>
              <w:rPr>
                <w:rFonts w:ascii="Times New Roman" w:hAnsi="Times New Roman"/>
                <w:sz w:val="14"/>
              </w:rPr>
              <w:t>4,620</w:t>
            </w:r>
          </w:p>
        </w:tc>
        <w:tc>
          <w:tcPr>
            <w:tcW w:type="dxa" w:w="1350"/>
          </w:tcPr>
          <w:p>
            <w:r>
              <w:rPr>
                <w:rFonts w:ascii="Times New Roman" w:hAnsi="Times New Roman"/>
                <w:sz w:val="14"/>
              </w:rPr>
              <w:t>2,785</w:t>
            </w:r>
          </w:p>
        </w:tc>
        <w:tc>
          <w:tcPr>
            <w:tcW w:type="dxa" w:w="1350"/>
          </w:tcPr>
          <w:p>
            <w:r>
              <w:rPr>
                <w:rFonts w:ascii="Times New Roman" w:hAnsi="Times New Roman"/>
                <w:sz w:val="14"/>
              </w:rPr>
              <w:t>2,800</w:t>
            </w:r>
          </w:p>
        </w:tc>
        <w:tc>
          <w:tcPr>
            <w:tcW w:type="dxa" w:w="1350"/>
          </w:tcPr>
          <w:p>
            <w:r>
              <w:rPr>
                <w:rFonts w:ascii="Times New Roman" w:hAnsi="Times New Roman"/>
                <w:sz w:val="14"/>
              </w:rPr>
              <w:t>62.4%</w:t>
            </w:r>
          </w:p>
        </w:tc>
        <w:tc>
          <w:tcPr>
            <w:tcW w:type="dxa" w:w="1350"/>
          </w:tcPr>
          <w:p>
            <w:r>
              <w:rPr>
                <w:rFonts w:ascii="Times New Roman" w:hAnsi="Times New Roman"/>
                <w:sz w:val="14"/>
              </w:rPr>
              <w:t>62.3%</w:t>
            </w:r>
          </w:p>
        </w:tc>
        <w:tc>
          <w:tcPr>
            <w:tcW w:type="dxa" w:w="1350"/>
          </w:tcPr>
          <w:p>
            <w:r>
              <w:rPr>
                <w:rFonts w:ascii="Times New Roman" w:hAnsi="Times New Roman"/>
                <w:sz w:val="14"/>
              </w:rPr>
              <w:t>62.3%</w:t>
            </w:r>
          </w:p>
        </w:tc>
      </w:tr>
      <w:tr>
        <w:tc>
          <w:tcPr>
            <w:tcW w:type="dxa" w:w="1350"/>
          </w:tcPr>
          <w:p>
            <w:r>
              <w:rPr>
                <w:rFonts w:ascii="Times New Roman" w:hAnsi="Times New Roman"/>
                <w:sz w:val="14"/>
              </w:rPr>
              <w:t>tfsec v1.28 [7]</w:t>
            </w:r>
          </w:p>
        </w:tc>
        <w:tc>
          <w:tcPr>
            <w:tcW w:type="dxa" w:w="1350"/>
          </w:tcPr>
          <w:p>
            <w:r>
              <w:rPr>
                <w:rFonts w:ascii="Times New Roman" w:hAnsi="Times New Roman"/>
                <w:sz w:val="14"/>
              </w:rPr>
              <w:t>2,450</w:t>
            </w:r>
          </w:p>
        </w:tc>
        <w:tc>
          <w:tcPr>
            <w:tcW w:type="dxa" w:w="1350"/>
          </w:tcPr>
          <w:p>
            <w:r>
              <w:rPr>
                <w:rFonts w:ascii="Times New Roman" w:hAnsi="Times New Roman"/>
                <w:sz w:val="14"/>
              </w:rPr>
              <w:t>5,030</w:t>
            </w:r>
          </w:p>
        </w:tc>
        <w:tc>
          <w:tcPr>
            <w:tcW w:type="dxa" w:w="1350"/>
          </w:tcPr>
          <w:p>
            <w:r>
              <w:rPr>
                <w:rFonts w:ascii="Times New Roman" w:hAnsi="Times New Roman"/>
                <w:sz w:val="14"/>
              </w:rPr>
              <w:t>2,390</w:t>
            </w:r>
          </w:p>
        </w:tc>
        <w:tc>
          <w:tcPr>
            <w:tcW w:type="dxa" w:w="1350"/>
          </w:tcPr>
          <w:p>
            <w:r>
              <w:rPr>
                <w:rFonts w:ascii="Times New Roman" w:hAnsi="Times New Roman"/>
                <w:sz w:val="14"/>
              </w:rPr>
              <w:t>2,390</w:t>
            </w:r>
          </w:p>
        </w:tc>
        <w:tc>
          <w:tcPr>
            <w:tcW w:type="dxa" w:w="1350"/>
          </w:tcPr>
          <w:p>
            <w:r>
              <w:rPr>
                <w:rFonts w:ascii="Times New Roman" w:hAnsi="Times New Roman"/>
                <w:sz w:val="14"/>
              </w:rPr>
              <w:t>67.8%</w:t>
            </w:r>
          </w:p>
        </w:tc>
        <w:tc>
          <w:tcPr>
            <w:tcW w:type="dxa" w:w="1350"/>
          </w:tcPr>
          <w:p>
            <w:r>
              <w:rPr>
                <w:rFonts w:ascii="Times New Roman" w:hAnsi="Times New Roman"/>
                <w:sz w:val="14"/>
              </w:rPr>
              <w:t>67.8%</w:t>
            </w:r>
          </w:p>
        </w:tc>
        <w:tc>
          <w:tcPr>
            <w:tcW w:type="dxa" w:w="1350"/>
          </w:tcPr>
          <w:p>
            <w:r>
              <w:rPr>
                <w:rFonts w:ascii="Times New Roman" w:hAnsi="Times New Roman"/>
                <w:sz w:val="14"/>
              </w:rPr>
              <w:t>67.8%</w:t>
            </w:r>
          </w:p>
        </w:tc>
      </w:tr>
      <w:tr>
        <w:tc>
          <w:tcPr>
            <w:tcW w:type="dxa" w:w="1350"/>
          </w:tcPr>
          <w:p>
            <w:r>
              <w:rPr>
                <w:rFonts w:ascii="Times New Roman" w:hAnsi="Times New Roman"/>
                <w:sz w:val="14"/>
              </w:rPr>
              <w:t>KICS v2.1 [8]</w:t>
            </w:r>
          </w:p>
        </w:tc>
        <w:tc>
          <w:tcPr>
            <w:tcW w:type="dxa" w:w="1350"/>
          </w:tcPr>
          <w:p>
            <w:r>
              <w:rPr>
                <w:rFonts w:ascii="Times New Roman" w:hAnsi="Times New Roman"/>
                <w:sz w:val="14"/>
              </w:rPr>
              <w:t>2,450</w:t>
            </w:r>
          </w:p>
        </w:tc>
        <w:tc>
          <w:tcPr>
            <w:tcW w:type="dxa" w:w="1350"/>
          </w:tcPr>
          <w:p>
            <w:r>
              <w:rPr>
                <w:rFonts w:ascii="Times New Roman" w:hAnsi="Times New Roman"/>
                <w:sz w:val="14"/>
              </w:rPr>
              <w:t>4,830</w:t>
            </w:r>
          </w:p>
        </w:tc>
        <w:tc>
          <w:tcPr>
            <w:tcW w:type="dxa" w:w="1350"/>
          </w:tcPr>
          <w:p>
            <w:r>
              <w:rPr>
                <w:rFonts w:ascii="Times New Roman" w:hAnsi="Times New Roman"/>
                <w:sz w:val="14"/>
              </w:rPr>
              <w:t>2,590</w:t>
            </w:r>
          </w:p>
        </w:tc>
        <w:tc>
          <w:tcPr>
            <w:tcW w:type="dxa" w:w="1350"/>
          </w:tcPr>
          <w:p>
            <w:r>
              <w:rPr>
                <w:rFonts w:ascii="Times New Roman" w:hAnsi="Times New Roman"/>
                <w:sz w:val="14"/>
              </w:rPr>
              <w:t>2,590</w:t>
            </w:r>
          </w:p>
        </w:tc>
        <w:tc>
          <w:tcPr>
            <w:tcW w:type="dxa" w:w="1350"/>
          </w:tcPr>
          <w:p>
            <w:r>
              <w:rPr>
                <w:rFonts w:ascii="Times New Roman" w:hAnsi="Times New Roman"/>
                <w:sz w:val="14"/>
              </w:rPr>
              <w:t>65.1%</w:t>
            </w:r>
          </w:p>
        </w:tc>
        <w:tc>
          <w:tcPr>
            <w:tcW w:type="dxa" w:w="1350"/>
          </w:tcPr>
          <w:p>
            <w:r>
              <w:rPr>
                <w:rFonts w:ascii="Times New Roman" w:hAnsi="Times New Roman"/>
                <w:sz w:val="14"/>
              </w:rPr>
              <w:t>65.1%</w:t>
            </w:r>
          </w:p>
        </w:tc>
        <w:tc>
          <w:tcPr>
            <w:tcW w:type="dxa" w:w="1350"/>
          </w:tcPr>
          <w:p>
            <w:r>
              <w:rPr>
                <w:rFonts w:ascii="Times New Roman" w:hAnsi="Times New Roman"/>
                <w:sz w:val="14"/>
              </w:rPr>
              <w:t>65.1%</w:t>
            </w:r>
          </w:p>
        </w:tc>
      </w:tr>
      <w:tr>
        <w:tc>
          <w:tcPr>
            <w:tcW w:type="dxa" w:w="1350"/>
          </w:tcPr>
          <w:p>
            <w:r>
              <w:rPr>
                <w:rFonts w:ascii="Times New Roman" w:hAnsi="Times New Roman"/>
                <w:sz w:val="14"/>
              </w:rPr>
              <w:t>Trivy v0.51 [9]</w:t>
            </w:r>
          </w:p>
        </w:tc>
        <w:tc>
          <w:tcPr>
            <w:tcW w:type="dxa" w:w="1350"/>
          </w:tcPr>
          <w:p>
            <w:r>
              <w:rPr>
                <w:rFonts w:ascii="Times New Roman" w:hAnsi="Times New Roman"/>
                <w:sz w:val="14"/>
              </w:rPr>
              <w:t>2,450</w:t>
            </w:r>
          </w:p>
        </w:tc>
        <w:tc>
          <w:tcPr>
            <w:tcW w:type="dxa" w:w="1350"/>
          </w:tcPr>
          <w:p>
            <w:r>
              <w:rPr>
                <w:rFonts w:ascii="Times New Roman" w:hAnsi="Times New Roman"/>
                <w:sz w:val="14"/>
              </w:rPr>
              <w:t>5,110</w:t>
            </w:r>
          </w:p>
        </w:tc>
        <w:tc>
          <w:tcPr>
            <w:tcW w:type="dxa" w:w="1350"/>
          </w:tcPr>
          <w:p>
            <w:r>
              <w:rPr>
                <w:rFonts w:ascii="Times New Roman" w:hAnsi="Times New Roman"/>
                <w:sz w:val="14"/>
              </w:rPr>
              <w:t>2,310</w:t>
            </w:r>
          </w:p>
        </w:tc>
        <w:tc>
          <w:tcPr>
            <w:tcW w:type="dxa" w:w="1350"/>
          </w:tcPr>
          <w:p>
            <w:r>
              <w:rPr>
                <w:rFonts w:ascii="Times New Roman" w:hAnsi="Times New Roman"/>
                <w:sz w:val="14"/>
              </w:rPr>
              <w:t>2,310</w:t>
            </w:r>
          </w:p>
        </w:tc>
        <w:tc>
          <w:tcPr>
            <w:tcW w:type="dxa" w:w="1350"/>
          </w:tcPr>
          <w:p>
            <w:r>
              <w:rPr>
                <w:rFonts w:ascii="Times New Roman" w:hAnsi="Times New Roman"/>
                <w:sz w:val="14"/>
              </w:rPr>
              <w:t>68.9%</w:t>
            </w:r>
          </w:p>
        </w:tc>
        <w:tc>
          <w:tcPr>
            <w:tcW w:type="dxa" w:w="1350"/>
          </w:tcPr>
          <w:p>
            <w:r>
              <w:rPr>
                <w:rFonts w:ascii="Times New Roman" w:hAnsi="Times New Roman"/>
                <w:sz w:val="14"/>
              </w:rPr>
              <w:t>68.9%</w:t>
            </w:r>
          </w:p>
        </w:tc>
        <w:tc>
          <w:tcPr>
            <w:tcW w:type="dxa" w:w="1350"/>
          </w:tcPr>
          <w:p>
            <w:r>
              <w:rPr>
                <w:rFonts w:ascii="Times New Roman" w:hAnsi="Times New Roman"/>
                <w:sz w:val="14"/>
              </w:rPr>
              <w:t>68.9%</w:t>
            </w:r>
          </w:p>
        </w:tc>
      </w:tr>
      <w:tr>
        <w:tc>
          <w:tcPr>
            <w:tcW w:type="dxa" w:w="1350"/>
          </w:tcPr>
          <w:p>
            <w:r>
              <w:rPr>
                <w:rFonts w:ascii="Times New Roman" w:hAnsi="Times New Roman"/>
                <w:sz w:val="14"/>
              </w:rPr>
              <w:t>Zero-Shot GPT-4o</w:t>
            </w:r>
          </w:p>
        </w:tc>
        <w:tc>
          <w:tcPr>
            <w:tcW w:type="dxa" w:w="1350"/>
          </w:tcPr>
          <w:p>
            <w:r>
              <w:rPr>
                <w:rFonts w:ascii="Times New Roman" w:hAnsi="Times New Roman"/>
                <w:sz w:val="14"/>
              </w:rPr>
              <w:t>2,450</w:t>
            </w:r>
          </w:p>
        </w:tc>
        <w:tc>
          <w:tcPr>
            <w:tcW w:type="dxa" w:w="1350"/>
          </w:tcPr>
          <w:p>
            <w:r>
              <w:rPr>
                <w:rFonts w:ascii="Times New Roman" w:hAnsi="Times New Roman"/>
                <w:sz w:val="14"/>
              </w:rPr>
              <w:t>6,150</w:t>
            </w:r>
          </w:p>
        </w:tc>
        <w:tc>
          <w:tcPr>
            <w:tcW w:type="dxa" w:w="1350"/>
          </w:tcPr>
          <w:p>
            <w:r>
              <w:rPr>
                <w:rFonts w:ascii="Times New Roman" w:hAnsi="Times New Roman"/>
                <w:sz w:val="14"/>
              </w:rPr>
              <w:t>1,420</w:t>
            </w:r>
          </w:p>
        </w:tc>
        <w:tc>
          <w:tcPr>
            <w:tcW w:type="dxa" w:w="1350"/>
          </w:tcPr>
          <w:p>
            <w:r>
              <w:rPr>
                <w:rFonts w:ascii="Times New Roman" w:hAnsi="Times New Roman"/>
                <w:sz w:val="14"/>
              </w:rPr>
              <w:t>1,270</w:t>
            </w:r>
          </w:p>
        </w:tc>
        <w:tc>
          <w:tcPr>
            <w:tcW w:type="dxa" w:w="1350"/>
          </w:tcPr>
          <w:p>
            <w:r>
              <w:rPr>
                <w:rFonts w:ascii="Times New Roman" w:hAnsi="Times New Roman"/>
                <w:sz w:val="14"/>
              </w:rPr>
              <w:t>81.2%</w:t>
            </w:r>
          </w:p>
        </w:tc>
        <w:tc>
          <w:tcPr>
            <w:tcW w:type="dxa" w:w="1350"/>
          </w:tcPr>
          <w:p>
            <w:r>
              <w:rPr>
                <w:rFonts w:ascii="Times New Roman" w:hAnsi="Times New Roman"/>
                <w:sz w:val="14"/>
              </w:rPr>
              <w:t>82.9%</w:t>
            </w:r>
          </w:p>
        </w:tc>
        <w:tc>
          <w:tcPr>
            <w:tcW w:type="dxa" w:w="1350"/>
          </w:tcPr>
          <w:p>
            <w:r>
              <w:rPr>
                <w:rFonts w:ascii="Times New Roman" w:hAnsi="Times New Roman"/>
                <w:sz w:val="14"/>
              </w:rPr>
              <w:t>82.0%</w:t>
            </w:r>
          </w:p>
        </w:tc>
      </w:tr>
      <w:tr>
        <w:tc>
          <w:tcPr>
            <w:tcW w:type="dxa" w:w="1350"/>
          </w:tcPr>
          <w:p>
            <w:r>
              <w:rPr>
                <w:rFonts w:ascii="Times New Roman" w:hAnsi="Times New Roman"/>
                <w:sz w:val="14"/>
              </w:rPr>
              <w:t>Zero-Shot Claude 3.5</w:t>
            </w:r>
          </w:p>
        </w:tc>
        <w:tc>
          <w:tcPr>
            <w:tcW w:type="dxa" w:w="1350"/>
          </w:tcPr>
          <w:p>
            <w:r>
              <w:rPr>
                <w:rFonts w:ascii="Times New Roman" w:hAnsi="Times New Roman"/>
                <w:sz w:val="14"/>
              </w:rPr>
              <w:t>2,450</w:t>
            </w:r>
          </w:p>
        </w:tc>
        <w:tc>
          <w:tcPr>
            <w:tcW w:type="dxa" w:w="1350"/>
          </w:tcPr>
          <w:p>
            <w:r>
              <w:rPr>
                <w:rFonts w:ascii="Times New Roman" w:hAnsi="Times New Roman"/>
                <w:sz w:val="14"/>
              </w:rPr>
              <w:t>6,410</w:t>
            </w:r>
          </w:p>
        </w:tc>
        <w:tc>
          <w:tcPr>
            <w:tcW w:type="dxa" w:w="1350"/>
          </w:tcPr>
          <w:p>
            <w:r>
              <w:rPr>
                <w:rFonts w:ascii="Times New Roman" w:hAnsi="Times New Roman"/>
                <w:sz w:val="14"/>
              </w:rPr>
              <w:t>1,180</w:t>
            </w:r>
          </w:p>
        </w:tc>
        <w:tc>
          <w:tcPr>
            <w:tcW w:type="dxa" w:w="1350"/>
          </w:tcPr>
          <w:p>
            <w:r>
              <w:rPr>
                <w:rFonts w:ascii="Times New Roman" w:hAnsi="Times New Roman"/>
                <w:sz w:val="14"/>
              </w:rPr>
              <w:t>1,010</w:t>
            </w:r>
          </w:p>
        </w:tc>
        <w:tc>
          <w:tcPr>
            <w:tcW w:type="dxa" w:w="1350"/>
          </w:tcPr>
          <w:p>
            <w:r>
              <w:rPr>
                <w:rFonts w:ascii="Times New Roman" w:hAnsi="Times New Roman"/>
                <w:sz w:val="14"/>
              </w:rPr>
              <w:t>84.5%</w:t>
            </w:r>
          </w:p>
        </w:tc>
        <w:tc>
          <w:tcPr>
            <w:tcW w:type="dxa" w:w="1350"/>
          </w:tcPr>
          <w:p>
            <w:r>
              <w:rPr>
                <w:rFonts w:ascii="Times New Roman" w:hAnsi="Times New Roman"/>
                <w:sz w:val="14"/>
              </w:rPr>
              <w:t>86.4%</w:t>
            </w:r>
          </w:p>
        </w:tc>
        <w:tc>
          <w:tcPr>
            <w:tcW w:type="dxa" w:w="1350"/>
          </w:tcPr>
          <w:p>
            <w:r>
              <w:rPr>
                <w:rFonts w:ascii="Times New Roman" w:hAnsi="Times New Roman"/>
                <w:sz w:val="14"/>
              </w:rPr>
              <w:t>85.4%</w:t>
            </w:r>
          </w:p>
        </w:tc>
      </w:tr>
      <w:tr>
        <w:tc>
          <w:tcPr>
            <w:tcW w:type="dxa" w:w="1350"/>
          </w:tcPr>
          <w:p>
            <w:r>
              <w:rPr>
                <w:rFonts w:ascii="Times New Roman" w:hAnsi="Times New Roman"/>
                <w:sz w:val="14"/>
              </w:rPr>
              <w:t>AgentShield AI (Ours)</w:t>
            </w:r>
          </w:p>
        </w:tc>
        <w:tc>
          <w:tcPr>
            <w:tcW w:type="dxa" w:w="1350"/>
          </w:tcPr>
          <w:p>
            <w:r>
              <w:rPr>
                <w:rFonts w:ascii="Times New Roman" w:hAnsi="Times New Roman"/>
                <w:sz w:val="14"/>
              </w:rPr>
              <w:t>2,450</w:t>
            </w:r>
          </w:p>
        </w:tc>
        <w:tc>
          <w:tcPr>
            <w:tcW w:type="dxa" w:w="1350"/>
          </w:tcPr>
          <w:p>
            <w:r>
              <w:rPr>
                <w:rFonts w:ascii="Times New Roman" w:hAnsi="Times New Roman"/>
                <w:sz w:val="14"/>
              </w:rPr>
              <w:t>7,301</w:t>
            </w:r>
          </w:p>
        </w:tc>
        <w:tc>
          <w:tcPr>
            <w:tcW w:type="dxa" w:w="1350"/>
          </w:tcPr>
          <w:p>
            <w:r>
              <w:rPr>
                <w:rFonts w:ascii="Times New Roman" w:hAnsi="Times New Roman"/>
                <w:sz w:val="14"/>
              </w:rPr>
              <w:t>66</w:t>
            </w:r>
          </w:p>
        </w:tc>
        <w:tc>
          <w:tcPr>
            <w:tcW w:type="dxa" w:w="1350"/>
          </w:tcPr>
          <w:p>
            <w:r>
              <w:rPr>
                <w:rFonts w:ascii="Times New Roman" w:hAnsi="Times New Roman"/>
                <w:sz w:val="14"/>
              </w:rPr>
              <w:t>119</w:t>
            </w:r>
          </w:p>
        </w:tc>
        <w:tc>
          <w:tcPr>
            <w:tcW w:type="dxa" w:w="1350"/>
          </w:tcPr>
          <w:p>
            <w:r>
              <w:rPr>
                <w:rFonts w:ascii="Times New Roman" w:hAnsi="Times New Roman"/>
                <w:sz w:val="14"/>
              </w:rPr>
              <w:t>99.1%</w:t>
            </w:r>
          </w:p>
        </w:tc>
        <w:tc>
          <w:tcPr>
            <w:tcW w:type="dxa" w:w="1350"/>
          </w:tcPr>
          <w:p>
            <w:r>
              <w:rPr>
                <w:rFonts w:ascii="Times New Roman" w:hAnsi="Times New Roman"/>
                <w:sz w:val="14"/>
              </w:rPr>
              <w:t>98.4%</w:t>
            </w:r>
          </w:p>
        </w:tc>
        <w:tc>
          <w:tcPr>
            <w:tcW w:type="dxa" w:w="1350"/>
          </w:tcPr>
          <w:p>
            <w:r>
              <w:rPr>
                <w:rFonts w:ascii="Times New Roman" w:hAnsi="Times New Roman"/>
                <w:sz w:val="14"/>
              </w:rPr>
              <w:t>98.7%</w:t>
            </w:r>
          </w:p>
        </w:tc>
      </w:tr>
    </w:tbl>
    <w:p>
      <w:pPr>
        <w:jc w:val="center"/>
      </w:pPr>
      <w:r>
        <w:rPr>
          <w:rFonts w:ascii="Times New Roman" w:hAnsi="Times New Roman"/>
          <w:b/>
          <w:sz w:val="16"/>
        </w:rPr>
        <w:t>Table II. Secret Detection Performance &amp; Entropy Comparison</w:t>
      </w:r>
    </w:p>
    <w:tbl>
      <w:tblPr>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tcPr>
          <w:p>
            <w:r>
              <w:rPr>
                <w:rFonts w:ascii="Times New Roman" w:hAnsi="Times New Roman"/>
                <w:b/>
                <w:sz w:val="14"/>
              </w:rPr>
              <w:t>Scanning Mechanism</w:t>
            </w:r>
          </w:p>
        </w:tc>
        <w:tc>
          <w:tcPr>
            <w:tcW w:type="dxa" w:w="1350"/>
          </w:tcPr>
          <w:p>
            <w:r>
              <w:rPr>
                <w:rFonts w:ascii="Times New Roman" w:hAnsi="Times New Roman"/>
                <w:b/>
                <w:sz w:val="14"/>
              </w:rPr>
              <w:t>Secrets Tested</w:t>
            </w:r>
          </w:p>
        </w:tc>
        <w:tc>
          <w:tcPr>
            <w:tcW w:type="dxa" w:w="1350"/>
          </w:tcPr>
          <w:p>
            <w:r>
              <w:rPr>
                <w:rFonts w:ascii="Times New Roman" w:hAnsi="Times New Roman"/>
                <w:b/>
                <w:sz w:val="14"/>
              </w:rPr>
              <w:t>TP</w:t>
            </w:r>
          </w:p>
        </w:tc>
        <w:tc>
          <w:tcPr>
            <w:tcW w:type="dxa" w:w="1350"/>
          </w:tcPr>
          <w:p>
            <w:r>
              <w:rPr>
                <w:rFonts w:ascii="Times New Roman" w:hAnsi="Times New Roman"/>
                <w:b/>
                <w:sz w:val="14"/>
              </w:rPr>
              <w:t>FP</w:t>
            </w:r>
          </w:p>
        </w:tc>
        <w:tc>
          <w:tcPr>
            <w:tcW w:type="dxa" w:w="1350"/>
          </w:tcPr>
          <w:p>
            <w:r>
              <w:rPr>
                <w:rFonts w:ascii="Times New Roman" w:hAnsi="Times New Roman"/>
                <w:b/>
                <w:sz w:val="14"/>
              </w:rPr>
              <w:t>FN</w:t>
            </w:r>
          </w:p>
        </w:tc>
        <w:tc>
          <w:tcPr>
            <w:tcW w:type="dxa" w:w="1350"/>
          </w:tcPr>
          <w:p>
            <w:r>
              <w:rPr>
                <w:rFonts w:ascii="Times New Roman" w:hAnsi="Times New Roman"/>
                <w:b/>
                <w:sz w:val="14"/>
              </w:rPr>
              <w:t>Precision (%)</w:t>
            </w:r>
          </w:p>
        </w:tc>
        <w:tc>
          <w:tcPr>
            <w:tcW w:type="dxa" w:w="1350"/>
          </w:tcPr>
          <w:p>
            <w:r>
              <w:rPr>
                <w:rFonts w:ascii="Times New Roman" w:hAnsi="Times New Roman"/>
                <w:b/>
                <w:sz w:val="14"/>
              </w:rPr>
              <w:t>Recall (%)</w:t>
            </w:r>
          </w:p>
        </w:tc>
        <w:tc>
          <w:tcPr>
            <w:tcW w:type="dxa" w:w="1350"/>
          </w:tcPr>
          <w:p>
            <w:r>
              <w:rPr>
                <w:rFonts w:ascii="Times New Roman" w:hAnsi="Times New Roman"/>
                <w:b/>
                <w:sz w:val="14"/>
              </w:rPr>
              <w:t>F1-Score (%)</w:t>
            </w:r>
          </w:p>
        </w:tc>
      </w:tr>
      <w:tr>
        <w:tc>
          <w:tcPr>
            <w:tcW w:type="dxa" w:w="1350"/>
          </w:tcPr>
          <w:p>
            <w:r>
              <w:rPr>
                <w:rFonts w:ascii="Times New Roman" w:hAnsi="Times New Roman"/>
                <w:sz w:val="14"/>
              </w:rPr>
              <w:t>Regex Only (Gitleaks [19])</w:t>
            </w:r>
          </w:p>
        </w:tc>
        <w:tc>
          <w:tcPr>
            <w:tcW w:type="dxa" w:w="1350"/>
          </w:tcPr>
          <w:p>
            <w:r>
              <w:rPr>
                <w:rFonts w:ascii="Times New Roman" w:hAnsi="Times New Roman"/>
                <w:sz w:val="14"/>
              </w:rPr>
              <w:t>1,200</w:t>
            </w:r>
          </w:p>
        </w:tc>
        <w:tc>
          <w:tcPr>
            <w:tcW w:type="dxa" w:w="1350"/>
          </w:tcPr>
          <w:p>
            <w:r>
              <w:rPr>
                <w:rFonts w:ascii="Times New Roman" w:hAnsi="Times New Roman"/>
                <w:sz w:val="14"/>
              </w:rPr>
              <w:t>1,058</w:t>
            </w:r>
          </w:p>
        </w:tc>
        <w:tc>
          <w:tcPr>
            <w:tcW w:type="dxa" w:w="1350"/>
          </w:tcPr>
          <w:p>
            <w:r>
              <w:rPr>
                <w:rFonts w:ascii="Times New Roman" w:hAnsi="Times New Roman"/>
                <w:sz w:val="14"/>
              </w:rPr>
              <w:t>342</w:t>
            </w:r>
          </w:p>
        </w:tc>
        <w:tc>
          <w:tcPr>
            <w:tcW w:type="dxa" w:w="1350"/>
          </w:tcPr>
          <w:p>
            <w:r>
              <w:rPr>
                <w:rFonts w:ascii="Times New Roman" w:hAnsi="Times New Roman"/>
                <w:sz w:val="14"/>
              </w:rPr>
              <w:t>142</w:t>
            </w:r>
          </w:p>
        </w:tc>
        <w:tc>
          <w:tcPr>
            <w:tcW w:type="dxa" w:w="1350"/>
          </w:tcPr>
          <w:p>
            <w:r>
              <w:rPr>
                <w:rFonts w:ascii="Times New Roman" w:hAnsi="Times New Roman"/>
                <w:sz w:val="14"/>
              </w:rPr>
              <w:t>75.6%</w:t>
            </w:r>
          </w:p>
        </w:tc>
        <w:tc>
          <w:tcPr>
            <w:tcW w:type="dxa" w:w="1350"/>
          </w:tcPr>
          <w:p>
            <w:r>
              <w:rPr>
                <w:rFonts w:ascii="Times New Roman" w:hAnsi="Times New Roman"/>
                <w:sz w:val="14"/>
              </w:rPr>
              <w:t>88.2%</w:t>
            </w:r>
          </w:p>
        </w:tc>
        <w:tc>
          <w:tcPr>
            <w:tcW w:type="dxa" w:w="1350"/>
          </w:tcPr>
          <w:p>
            <w:r>
              <w:rPr>
                <w:rFonts w:ascii="Times New Roman" w:hAnsi="Times New Roman"/>
                <w:sz w:val="14"/>
              </w:rPr>
              <w:t>81.4%</w:t>
            </w:r>
          </w:p>
        </w:tc>
      </w:tr>
      <w:tr>
        <w:tc>
          <w:tcPr>
            <w:tcW w:type="dxa" w:w="1350"/>
          </w:tcPr>
          <w:p>
            <w:r>
              <w:rPr>
                <w:rFonts w:ascii="Times New Roman" w:hAnsi="Times New Roman"/>
                <w:sz w:val="14"/>
              </w:rPr>
              <w:t>Shannon Entropy Only (H&gt;=4.5)</w:t>
            </w:r>
          </w:p>
        </w:tc>
        <w:tc>
          <w:tcPr>
            <w:tcW w:type="dxa" w:w="1350"/>
          </w:tcPr>
          <w:p>
            <w:r>
              <w:rPr>
                <w:rFonts w:ascii="Times New Roman" w:hAnsi="Times New Roman"/>
                <w:sz w:val="14"/>
              </w:rPr>
              <w:t>1,200</w:t>
            </w:r>
          </w:p>
        </w:tc>
        <w:tc>
          <w:tcPr>
            <w:tcW w:type="dxa" w:w="1350"/>
          </w:tcPr>
          <w:p>
            <w:r>
              <w:rPr>
                <w:rFonts w:ascii="Times New Roman" w:hAnsi="Times New Roman"/>
                <w:sz w:val="14"/>
              </w:rPr>
              <w:t>1,134</w:t>
            </w:r>
          </w:p>
        </w:tc>
        <w:tc>
          <w:tcPr>
            <w:tcW w:type="dxa" w:w="1350"/>
          </w:tcPr>
          <w:p>
            <w:r>
              <w:rPr>
                <w:rFonts w:ascii="Times New Roman" w:hAnsi="Times New Roman"/>
                <w:sz w:val="14"/>
              </w:rPr>
              <w:t>618</w:t>
            </w:r>
          </w:p>
        </w:tc>
        <w:tc>
          <w:tcPr>
            <w:tcW w:type="dxa" w:w="1350"/>
          </w:tcPr>
          <w:p>
            <w:r>
              <w:rPr>
                <w:rFonts w:ascii="Times New Roman" w:hAnsi="Times New Roman"/>
                <w:sz w:val="14"/>
              </w:rPr>
              <w:t>66</w:t>
            </w:r>
          </w:p>
        </w:tc>
        <w:tc>
          <w:tcPr>
            <w:tcW w:type="dxa" w:w="1350"/>
          </w:tcPr>
          <w:p>
            <w:r>
              <w:rPr>
                <w:rFonts w:ascii="Times New Roman" w:hAnsi="Times New Roman"/>
                <w:sz w:val="14"/>
              </w:rPr>
              <w:t>64.7%</w:t>
            </w:r>
          </w:p>
        </w:tc>
        <w:tc>
          <w:tcPr>
            <w:tcW w:type="dxa" w:w="1350"/>
          </w:tcPr>
          <w:p>
            <w:r>
              <w:rPr>
                <w:rFonts w:ascii="Times New Roman" w:hAnsi="Times New Roman"/>
                <w:sz w:val="14"/>
              </w:rPr>
              <w:t>94.5%</w:t>
            </w:r>
          </w:p>
        </w:tc>
        <w:tc>
          <w:tcPr>
            <w:tcW w:type="dxa" w:w="1350"/>
          </w:tcPr>
          <w:p>
            <w:r>
              <w:rPr>
                <w:rFonts w:ascii="Times New Roman" w:hAnsi="Times New Roman"/>
                <w:sz w:val="14"/>
              </w:rPr>
              <w:t>76.8%</w:t>
            </w:r>
          </w:p>
        </w:tc>
      </w:tr>
      <w:tr>
        <w:tc>
          <w:tcPr>
            <w:tcW w:type="dxa" w:w="1350"/>
          </w:tcPr>
          <w:p>
            <w:r>
              <w:rPr>
                <w:rFonts w:ascii="Times New Roman" w:hAnsi="Times New Roman"/>
                <w:sz w:val="14"/>
              </w:rPr>
              <w:t>TruffleHog v3.6 [20]</w:t>
            </w:r>
          </w:p>
        </w:tc>
        <w:tc>
          <w:tcPr>
            <w:tcW w:type="dxa" w:w="1350"/>
          </w:tcPr>
          <w:p>
            <w:r>
              <w:rPr>
                <w:rFonts w:ascii="Times New Roman" w:hAnsi="Times New Roman"/>
                <w:sz w:val="14"/>
              </w:rPr>
              <w:t>1,200</w:t>
            </w:r>
          </w:p>
        </w:tc>
        <w:tc>
          <w:tcPr>
            <w:tcW w:type="dxa" w:w="1350"/>
          </w:tcPr>
          <w:p>
            <w:r>
              <w:rPr>
                <w:rFonts w:ascii="Times New Roman" w:hAnsi="Times New Roman"/>
                <w:sz w:val="14"/>
              </w:rPr>
              <w:t>1,092</w:t>
            </w:r>
          </w:p>
        </w:tc>
        <w:tc>
          <w:tcPr>
            <w:tcW w:type="dxa" w:w="1350"/>
          </w:tcPr>
          <w:p>
            <w:r>
              <w:rPr>
                <w:rFonts w:ascii="Times New Roman" w:hAnsi="Times New Roman"/>
                <w:sz w:val="14"/>
              </w:rPr>
              <w:t>284</w:t>
            </w:r>
          </w:p>
        </w:tc>
        <w:tc>
          <w:tcPr>
            <w:tcW w:type="dxa" w:w="1350"/>
          </w:tcPr>
          <w:p>
            <w:r>
              <w:rPr>
                <w:rFonts w:ascii="Times New Roman" w:hAnsi="Times New Roman"/>
                <w:sz w:val="14"/>
              </w:rPr>
              <w:t>108</w:t>
            </w:r>
          </w:p>
        </w:tc>
        <w:tc>
          <w:tcPr>
            <w:tcW w:type="dxa" w:w="1350"/>
          </w:tcPr>
          <w:p>
            <w:r>
              <w:rPr>
                <w:rFonts w:ascii="Times New Roman" w:hAnsi="Times New Roman"/>
                <w:sz w:val="14"/>
              </w:rPr>
              <w:t>79.4%</w:t>
            </w:r>
          </w:p>
        </w:tc>
        <w:tc>
          <w:tcPr>
            <w:tcW w:type="dxa" w:w="1350"/>
          </w:tcPr>
          <w:p>
            <w:r>
              <w:rPr>
                <w:rFonts w:ascii="Times New Roman" w:hAnsi="Times New Roman"/>
                <w:sz w:val="14"/>
              </w:rPr>
              <w:t>91.0%</w:t>
            </w:r>
          </w:p>
        </w:tc>
        <w:tc>
          <w:tcPr>
            <w:tcW w:type="dxa" w:w="1350"/>
          </w:tcPr>
          <w:p>
            <w:r>
              <w:rPr>
                <w:rFonts w:ascii="Times New Roman" w:hAnsi="Times New Roman"/>
                <w:sz w:val="14"/>
              </w:rPr>
              <w:t>84.8%</w:t>
            </w:r>
          </w:p>
        </w:tc>
      </w:tr>
      <w:tr>
        <w:tc>
          <w:tcPr>
            <w:tcW w:type="dxa" w:w="1350"/>
          </w:tcPr>
          <w:p>
            <w:r>
              <w:rPr>
                <w:rFonts w:ascii="Times New Roman" w:hAnsi="Times New Roman"/>
                <w:sz w:val="14"/>
              </w:rPr>
              <w:t>AgentShield Dual Engine (Ours)</w:t>
            </w:r>
          </w:p>
        </w:tc>
        <w:tc>
          <w:tcPr>
            <w:tcW w:type="dxa" w:w="1350"/>
          </w:tcPr>
          <w:p>
            <w:r>
              <w:rPr>
                <w:rFonts w:ascii="Times New Roman" w:hAnsi="Times New Roman"/>
                <w:sz w:val="14"/>
              </w:rPr>
              <w:t>1,200</w:t>
            </w:r>
          </w:p>
        </w:tc>
        <w:tc>
          <w:tcPr>
            <w:tcW w:type="dxa" w:w="1350"/>
          </w:tcPr>
          <w:p>
            <w:r>
              <w:rPr>
                <w:rFonts w:ascii="Times New Roman" w:hAnsi="Times New Roman"/>
                <w:sz w:val="14"/>
              </w:rPr>
              <w:t>1,189</w:t>
            </w:r>
          </w:p>
        </w:tc>
        <w:tc>
          <w:tcPr>
            <w:tcW w:type="dxa" w:w="1350"/>
          </w:tcPr>
          <w:p>
            <w:r>
              <w:rPr>
                <w:rFonts w:ascii="Times New Roman" w:hAnsi="Times New Roman"/>
                <w:sz w:val="14"/>
              </w:rPr>
              <w:t>7</w:t>
            </w:r>
          </w:p>
        </w:tc>
        <w:tc>
          <w:tcPr>
            <w:tcW w:type="dxa" w:w="1350"/>
          </w:tcPr>
          <w:p>
            <w:r>
              <w:rPr>
                <w:rFonts w:ascii="Times New Roman" w:hAnsi="Times New Roman"/>
                <w:sz w:val="14"/>
              </w:rPr>
              <w:t>11</w:t>
            </w:r>
          </w:p>
        </w:tc>
        <w:tc>
          <w:tcPr>
            <w:tcW w:type="dxa" w:w="1350"/>
          </w:tcPr>
          <w:p>
            <w:r>
              <w:rPr>
                <w:rFonts w:ascii="Times New Roman" w:hAnsi="Times New Roman"/>
                <w:sz w:val="14"/>
              </w:rPr>
              <w:t>99.4%</w:t>
            </w:r>
          </w:p>
        </w:tc>
        <w:tc>
          <w:tcPr>
            <w:tcW w:type="dxa" w:w="1350"/>
          </w:tcPr>
          <w:p>
            <w:r>
              <w:rPr>
                <w:rFonts w:ascii="Times New Roman" w:hAnsi="Times New Roman"/>
                <w:sz w:val="14"/>
              </w:rPr>
              <w:t>99.1%</w:t>
            </w:r>
          </w:p>
        </w:tc>
        <w:tc>
          <w:tcPr>
            <w:tcW w:type="dxa" w:w="1350"/>
          </w:tcPr>
          <w:p>
            <w:r>
              <w:rPr>
                <w:rFonts w:ascii="Times New Roman" w:hAnsi="Times New Roman"/>
                <w:sz w:val="14"/>
              </w:rPr>
              <w:t>99.2%</w:t>
            </w:r>
          </w:p>
        </w:tc>
      </w:tr>
    </w:tbl>
    <w:p>
      <w:pPr>
        <w:jc w:val="center"/>
      </w:pPr>
      <w:r>
        <w:rPr>
          <w:rFonts w:ascii="Times New Roman" w:hAnsi="Times New Roman"/>
          <w:b/>
          <w:sz w:val="16"/>
        </w:rPr>
        <w:t>Table III. Remediation Validation &amp; First-Pass Success Rate</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Remediation Approach</w:t>
            </w:r>
          </w:p>
        </w:tc>
        <w:tc>
          <w:tcPr>
            <w:tcW w:type="dxa" w:w="1800"/>
          </w:tcPr>
          <w:p>
            <w:r>
              <w:rPr>
                <w:rFonts w:ascii="Times New Roman" w:hAnsi="Times New Roman"/>
                <w:b/>
                <w:sz w:val="14"/>
              </w:rPr>
              <w:t>Tested</w:t>
            </w:r>
          </w:p>
        </w:tc>
        <w:tc>
          <w:tcPr>
            <w:tcW w:type="dxa" w:w="1800"/>
          </w:tcPr>
          <w:p>
            <w:r>
              <w:rPr>
                <w:rFonts w:ascii="Times New Roman" w:hAnsi="Times New Roman"/>
                <w:b/>
                <w:sz w:val="14"/>
              </w:rPr>
              <w:t>Tier 1 AST Pass</w:t>
            </w:r>
          </w:p>
        </w:tc>
        <w:tc>
          <w:tcPr>
            <w:tcW w:type="dxa" w:w="1800"/>
          </w:tcPr>
          <w:p>
            <w:r>
              <w:rPr>
                <w:rFonts w:ascii="Times New Roman" w:hAnsi="Times New Roman"/>
                <w:b/>
                <w:sz w:val="14"/>
              </w:rPr>
              <w:t>Tier 2 Sandbox Pass</w:t>
            </w:r>
          </w:p>
        </w:tc>
        <w:tc>
          <w:tcPr>
            <w:tcW w:type="dxa" w:w="1800"/>
          </w:tcPr>
          <w:p>
            <w:r>
              <w:rPr>
                <w:rFonts w:ascii="Times New Roman" w:hAnsi="Times New Roman"/>
                <w:b/>
                <w:sz w:val="14"/>
              </w:rPr>
              <w:t>1st-Pass Fix</w:t>
            </w:r>
          </w:p>
        </w:tc>
        <w:tc>
          <w:tcPr>
            <w:tcW w:type="dxa" w:w="1800"/>
          </w:tcPr>
          <w:p>
            <w:r>
              <w:rPr>
                <w:rFonts w:ascii="Times New Roman" w:hAnsi="Times New Roman"/>
                <w:b/>
                <w:sz w:val="14"/>
              </w:rPr>
              <w:t>Multi-Pass (&lt;=3)</w:t>
            </w:r>
          </w:p>
        </w:tc>
      </w:tr>
      <w:tr>
        <w:tc>
          <w:tcPr>
            <w:tcW w:type="dxa" w:w="1800"/>
          </w:tcPr>
          <w:p>
            <w:r>
              <w:rPr>
                <w:rFonts w:ascii="Times New Roman" w:hAnsi="Times New Roman"/>
                <w:sz w:val="14"/>
              </w:rPr>
              <w:t>Zero-Shot GPT-4o</w:t>
            </w:r>
          </w:p>
        </w:tc>
        <w:tc>
          <w:tcPr>
            <w:tcW w:type="dxa" w:w="1800"/>
          </w:tcPr>
          <w:p>
            <w:r>
              <w:rPr>
                <w:rFonts w:ascii="Times New Roman" w:hAnsi="Times New Roman"/>
                <w:sz w:val="14"/>
              </w:rPr>
              <w:t>1,000</w:t>
            </w:r>
          </w:p>
        </w:tc>
        <w:tc>
          <w:tcPr>
            <w:tcW w:type="dxa" w:w="1800"/>
          </w:tcPr>
          <w:p>
            <w:r>
              <w:rPr>
                <w:rFonts w:ascii="Times New Roman" w:hAnsi="Times New Roman"/>
                <w:sz w:val="14"/>
              </w:rPr>
              <w:t>62.4%</w:t>
            </w:r>
          </w:p>
        </w:tc>
        <w:tc>
          <w:tcPr>
            <w:tcW w:type="dxa" w:w="1800"/>
          </w:tcPr>
          <w:p>
            <w:r>
              <w:rPr>
                <w:rFonts w:ascii="Times New Roman" w:hAnsi="Times New Roman"/>
                <w:sz w:val="14"/>
              </w:rPr>
              <w:t>54.2%</w:t>
            </w:r>
          </w:p>
        </w:tc>
        <w:tc>
          <w:tcPr>
            <w:tcW w:type="dxa" w:w="1800"/>
          </w:tcPr>
          <w:p>
            <w:r>
              <w:rPr>
                <w:rFonts w:ascii="Times New Roman" w:hAnsi="Times New Roman"/>
                <w:sz w:val="14"/>
              </w:rPr>
              <w:t>54.2%</w:t>
            </w:r>
          </w:p>
        </w:tc>
        <w:tc>
          <w:tcPr>
            <w:tcW w:type="dxa" w:w="1800"/>
          </w:tcPr>
          <w:p>
            <w:r>
              <w:rPr>
                <w:rFonts w:ascii="Times New Roman" w:hAnsi="Times New Roman"/>
                <w:sz w:val="14"/>
              </w:rPr>
              <w:t>68.4%</w:t>
            </w:r>
          </w:p>
        </w:tc>
      </w:tr>
      <w:tr>
        <w:tc>
          <w:tcPr>
            <w:tcW w:type="dxa" w:w="1800"/>
          </w:tcPr>
          <w:p>
            <w:r>
              <w:rPr>
                <w:rFonts w:ascii="Times New Roman" w:hAnsi="Times New Roman"/>
                <w:sz w:val="14"/>
              </w:rPr>
              <w:t>Zero-Shot Claude 3.5</w:t>
            </w:r>
          </w:p>
        </w:tc>
        <w:tc>
          <w:tcPr>
            <w:tcW w:type="dxa" w:w="1800"/>
          </w:tcPr>
          <w:p>
            <w:r>
              <w:rPr>
                <w:rFonts w:ascii="Times New Roman" w:hAnsi="Times New Roman"/>
                <w:sz w:val="14"/>
              </w:rPr>
              <w:t>1,000</w:t>
            </w:r>
          </w:p>
        </w:tc>
        <w:tc>
          <w:tcPr>
            <w:tcW w:type="dxa" w:w="1800"/>
          </w:tcPr>
          <w:p>
            <w:r>
              <w:rPr>
                <w:rFonts w:ascii="Times New Roman" w:hAnsi="Times New Roman"/>
                <w:sz w:val="14"/>
              </w:rPr>
              <w:t>71.8%</w:t>
            </w:r>
          </w:p>
        </w:tc>
        <w:tc>
          <w:tcPr>
            <w:tcW w:type="dxa" w:w="1800"/>
          </w:tcPr>
          <w:p>
            <w:r>
              <w:rPr>
                <w:rFonts w:ascii="Times New Roman" w:hAnsi="Times New Roman"/>
                <w:sz w:val="14"/>
              </w:rPr>
              <w:t>61.8%</w:t>
            </w:r>
          </w:p>
        </w:tc>
        <w:tc>
          <w:tcPr>
            <w:tcW w:type="dxa" w:w="1800"/>
          </w:tcPr>
          <w:p>
            <w:r>
              <w:rPr>
                <w:rFonts w:ascii="Times New Roman" w:hAnsi="Times New Roman"/>
                <w:sz w:val="14"/>
              </w:rPr>
              <w:t>61.8%</w:t>
            </w:r>
          </w:p>
        </w:tc>
        <w:tc>
          <w:tcPr>
            <w:tcW w:type="dxa" w:w="1800"/>
          </w:tcPr>
          <w:p>
            <w:r>
              <w:rPr>
                <w:rFonts w:ascii="Times New Roman" w:hAnsi="Times New Roman"/>
                <w:sz w:val="14"/>
              </w:rPr>
              <w:t>76.2%</w:t>
            </w:r>
          </w:p>
        </w:tc>
      </w:tr>
      <w:tr>
        <w:tc>
          <w:tcPr>
            <w:tcW w:type="dxa" w:w="1800"/>
          </w:tcPr>
          <w:p>
            <w:r>
              <w:rPr>
                <w:rFonts w:ascii="Times New Roman" w:hAnsi="Times New Roman"/>
                <w:sz w:val="14"/>
              </w:rPr>
              <w:t>Toprani &amp; Madisetti [21]</w:t>
            </w:r>
          </w:p>
        </w:tc>
        <w:tc>
          <w:tcPr>
            <w:tcW w:type="dxa" w:w="1800"/>
          </w:tcPr>
          <w:p>
            <w:r>
              <w:rPr>
                <w:rFonts w:ascii="Times New Roman" w:hAnsi="Times New Roman"/>
                <w:sz w:val="14"/>
              </w:rPr>
              <w:t>1,000</w:t>
            </w:r>
          </w:p>
        </w:tc>
        <w:tc>
          <w:tcPr>
            <w:tcW w:type="dxa" w:w="1800"/>
          </w:tcPr>
          <w:p>
            <w:r>
              <w:rPr>
                <w:rFonts w:ascii="Times New Roman" w:hAnsi="Times New Roman"/>
                <w:sz w:val="14"/>
              </w:rPr>
              <w:t>78.5%</w:t>
            </w:r>
          </w:p>
        </w:tc>
        <w:tc>
          <w:tcPr>
            <w:tcW w:type="dxa" w:w="1800"/>
          </w:tcPr>
          <w:p>
            <w:r>
              <w:rPr>
                <w:rFonts w:ascii="Times New Roman" w:hAnsi="Times New Roman"/>
                <w:sz w:val="14"/>
              </w:rPr>
              <w:t>71.2%</w:t>
            </w:r>
          </w:p>
        </w:tc>
        <w:tc>
          <w:tcPr>
            <w:tcW w:type="dxa" w:w="1800"/>
          </w:tcPr>
          <w:p>
            <w:r>
              <w:rPr>
                <w:rFonts w:ascii="Times New Roman" w:hAnsi="Times New Roman"/>
                <w:sz w:val="14"/>
              </w:rPr>
              <w:t>71.2%</w:t>
            </w:r>
          </w:p>
        </w:tc>
        <w:tc>
          <w:tcPr>
            <w:tcW w:type="dxa" w:w="1800"/>
          </w:tcPr>
          <w:p>
            <w:r>
              <w:rPr>
                <w:rFonts w:ascii="Times New Roman" w:hAnsi="Times New Roman"/>
                <w:sz w:val="14"/>
              </w:rPr>
              <w:t>82.5%</w:t>
            </w:r>
          </w:p>
        </w:tc>
      </w:tr>
      <w:tr>
        <w:tc>
          <w:tcPr>
            <w:tcW w:type="dxa" w:w="1800"/>
          </w:tcPr>
          <w:p>
            <w:r>
              <w:rPr>
                <w:rFonts w:ascii="Times New Roman" w:hAnsi="Times New Roman"/>
                <w:sz w:val="14"/>
              </w:rPr>
              <w:t>AgentShield AI (Full)</w:t>
            </w:r>
          </w:p>
        </w:tc>
        <w:tc>
          <w:tcPr>
            <w:tcW w:type="dxa" w:w="1800"/>
          </w:tcPr>
          <w:p>
            <w:r>
              <w:rPr>
                <w:rFonts w:ascii="Times New Roman" w:hAnsi="Times New Roman"/>
                <w:sz w:val="14"/>
              </w:rPr>
              <w:t>1,000</w:t>
            </w:r>
          </w:p>
        </w:tc>
        <w:tc>
          <w:tcPr>
            <w:tcW w:type="dxa" w:w="1800"/>
          </w:tcPr>
          <w:p>
            <w:r>
              <w:rPr>
                <w:rFonts w:ascii="Times New Roman" w:hAnsi="Times New Roman"/>
                <w:sz w:val="14"/>
              </w:rPr>
              <w:t>100.0%</w:t>
            </w:r>
          </w:p>
        </w:tc>
        <w:tc>
          <w:tcPr>
            <w:tcW w:type="dxa" w:w="1800"/>
          </w:tcPr>
          <w:p>
            <w:r>
              <w:rPr>
                <w:rFonts w:ascii="Times New Roman" w:hAnsi="Times New Roman"/>
                <w:sz w:val="14"/>
              </w:rPr>
              <w:t>97.8%</w:t>
            </w:r>
          </w:p>
        </w:tc>
        <w:tc>
          <w:tcPr>
            <w:tcW w:type="dxa" w:w="1800"/>
          </w:tcPr>
          <w:p>
            <w:r>
              <w:rPr>
                <w:rFonts w:ascii="Times New Roman" w:hAnsi="Times New Roman"/>
                <w:sz w:val="14"/>
              </w:rPr>
              <w:t>97.8%</w:t>
            </w:r>
          </w:p>
        </w:tc>
        <w:tc>
          <w:tcPr>
            <w:tcW w:type="dxa" w:w="1800"/>
          </w:tcPr>
          <w:p>
            <w:r>
              <w:rPr>
                <w:rFonts w:ascii="Times New Roman" w:hAnsi="Times New Roman"/>
                <w:sz w:val="14"/>
              </w:rPr>
              <w:t>99.4%</w:t>
            </w:r>
          </w:p>
        </w:tc>
      </w:tr>
    </w:tbl>
    <w:p>
      <w:pPr>
        <w:jc w:val="center"/>
      </w:pPr>
      <w:r>
        <w:rPr>
          <w:rFonts w:ascii="Times New Roman" w:hAnsi="Times New Roman"/>
          <w:b/>
          <w:sz w:val="16"/>
        </w:rPr>
        <w:t>Table IV. Runtime Latency Breakdown Across 8 Agents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Agent Identification &amp; Name</w:t>
            </w:r>
          </w:p>
        </w:tc>
        <w:tc>
          <w:tcPr>
            <w:tcW w:type="dxa" w:w="2160"/>
          </w:tcPr>
          <w:p>
            <w:r>
              <w:rPr>
                <w:rFonts w:ascii="Times New Roman" w:hAnsi="Times New Roman"/>
                <w:b/>
                <w:sz w:val="14"/>
              </w:rPr>
              <w:t>Core Mechanism</w:t>
            </w:r>
          </w:p>
        </w:tc>
        <w:tc>
          <w:tcPr>
            <w:tcW w:type="dxa" w:w="2160"/>
          </w:tcPr>
          <w:p>
            <w:r>
              <w:rPr>
                <w:rFonts w:ascii="Times New Roman" w:hAnsi="Times New Roman"/>
                <w:b/>
                <w:sz w:val="14"/>
              </w:rPr>
              <w:t>Mean (ms)</w:t>
            </w:r>
          </w:p>
        </w:tc>
        <w:tc>
          <w:tcPr>
            <w:tcW w:type="dxa" w:w="2160"/>
          </w:tcPr>
          <w:p>
            <w:r>
              <w:rPr>
                <w:rFonts w:ascii="Times New Roman" w:hAnsi="Times New Roman"/>
                <w:b/>
                <w:sz w:val="14"/>
              </w:rPr>
              <w:t>Median (ms)</w:t>
            </w:r>
          </w:p>
        </w:tc>
        <w:tc>
          <w:tcPr>
            <w:tcW w:type="dxa" w:w="2160"/>
          </w:tcPr>
          <w:p>
            <w:r>
              <w:rPr>
                <w:rFonts w:ascii="Times New Roman" w:hAnsi="Times New Roman"/>
                <w:b/>
                <w:sz w:val="14"/>
              </w:rPr>
              <w:t>% Overhead</w:t>
            </w:r>
          </w:p>
        </w:tc>
      </w:tr>
      <w:tr>
        <w:tc>
          <w:tcPr>
            <w:tcW w:type="dxa" w:w="2160"/>
          </w:tcPr>
          <w:p>
            <w:r>
              <w:rPr>
                <w:rFonts w:ascii="Times New Roman" w:hAnsi="Times New Roman"/>
                <w:sz w:val="14"/>
              </w:rPr>
              <w:t>Agent 1: Orchestration Router</w:t>
            </w:r>
          </w:p>
        </w:tc>
        <w:tc>
          <w:tcPr>
            <w:tcW w:type="dxa" w:w="2160"/>
          </w:tcPr>
          <w:p>
            <w:r>
              <w:rPr>
                <w:rFonts w:ascii="Times New Roman" w:hAnsi="Times New Roman"/>
                <w:sz w:val="14"/>
              </w:rPr>
              <w:t>Context graph initialization</w:t>
            </w:r>
          </w:p>
        </w:tc>
        <w:tc>
          <w:tcPr>
            <w:tcW w:type="dxa" w:w="2160"/>
          </w:tcPr>
          <w:p>
            <w:r>
              <w:rPr>
                <w:rFonts w:ascii="Times New Roman" w:hAnsi="Times New Roman"/>
                <w:sz w:val="14"/>
              </w:rPr>
              <w:t>14.2</w:t>
            </w:r>
          </w:p>
        </w:tc>
        <w:tc>
          <w:tcPr>
            <w:tcW w:type="dxa" w:w="2160"/>
          </w:tcPr>
          <w:p>
            <w:r>
              <w:rPr>
                <w:rFonts w:ascii="Times New Roman" w:hAnsi="Times New Roman"/>
                <w:sz w:val="14"/>
              </w:rPr>
              <w:t>12.0</w:t>
            </w:r>
          </w:p>
        </w:tc>
        <w:tc>
          <w:tcPr>
            <w:tcW w:type="dxa" w:w="2160"/>
          </w:tcPr>
          <w:p>
            <w:r>
              <w:rPr>
                <w:rFonts w:ascii="Times New Roman" w:hAnsi="Times New Roman"/>
                <w:sz w:val="14"/>
              </w:rPr>
              <w:t>0.8%</w:t>
            </w:r>
          </w:p>
        </w:tc>
      </w:tr>
      <w:tr>
        <w:tc>
          <w:tcPr>
            <w:tcW w:type="dxa" w:w="2160"/>
          </w:tcPr>
          <w:p>
            <w:r>
              <w:rPr>
                <w:rFonts w:ascii="Times New Roman" w:hAnsi="Times New Roman"/>
                <w:sz w:val="14"/>
              </w:rPr>
              <w:t>Agent 2: AST Parser</w:t>
            </w:r>
          </w:p>
        </w:tc>
        <w:tc>
          <w:tcPr>
            <w:tcW w:type="dxa" w:w="2160"/>
          </w:tcPr>
          <w:p>
            <w:r>
              <w:rPr>
                <w:rFonts w:ascii="Times New Roman" w:hAnsi="Times New Roman"/>
                <w:sz w:val="14"/>
              </w:rPr>
              <w:t>Tree-sitter CST parsing</w:t>
            </w:r>
          </w:p>
        </w:tc>
        <w:tc>
          <w:tcPr>
            <w:tcW w:type="dxa" w:w="2160"/>
          </w:tcPr>
          <w:p>
            <w:r>
              <w:rPr>
                <w:rFonts w:ascii="Times New Roman" w:hAnsi="Times New Roman"/>
                <w:sz w:val="14"/>
              </w:rPr>
              <w:t>12.6</w:t>
            </w:r>
          </w:p>
        </w:tc>
        <w:tc>
          <w:tcPr>
            <w:tcW w:type="dxa" w:w="2160"/>
          </w:tcPr>
          <w:p>
            <w:r>
              <w:rPr>
                <w:rFonts w:ascii="Times New Roman" w:hAnsi="Times New Roman"/>
                <w:sz w:val="14"/>
              </w:rPr>
              <w:t>11.2</w:t>
            </w:r>
          </w:p>
        </w:tc>
        <w:tc>
          <w:tcPr>
            <w:tcW w:type="dxa" w:w="2160"/>
          </w:tcPr>
          <w:p>
            <w:r>
              <w:rPr>
                <w:rFonts w:ascii="Times New Roman" w:hAnsi="Times New Roman"/>
                <w:sz w:val="14"/>
              </w:rPr>
              <w:t>0.7%</w:t>
            </w:r>
          </w:p>
        </w:tc>
      </w:tr>
      <w:tr>
        <w:tc>
          <w:tcPr>
            <w:tcW w:type="dxa" w:w="2160"/>
          </w:tcPr>
          <w:p>
            <w:r>
              <w:rPr>
                <w:rFonts w:ascii="Times New Roman" w:hAnsi="Times New Roman"/>
                <w:sz w:val="14"/>
              </w:rPr>
              <w:t>Agent 3: Secret Interceptor</w:t>
            </w:r>
          </w:p>
        </w:tc>
        <w:tc>
          <w:tcPr>
            <w:tcW w:type="dxa" w:w="2160"/>
          </w:tcPr>
          <w:p>
            <w:r>
              <w:rPr>
                <w:rFonts w:ascii="Times New Roman" w:hAnsi="Times New Roman"/>
                <w:sz w:val="14"/>
              </w:rPr>
              <w:t>Regex + Shannon entropy</w:t>
            </w:r>
          </w:p>
        </w:tc>
        <w:tc>
          <w:tcPr>
            <w:tcW w:type="dxa" w:w="2160"/>
          </w:tcPr>
          <w:p>
            <w:r>
              <w:rPr>
                <w:rFonts w:ascii="Times New Roman" w:hAnsi="Times New Roman"/>
                <w:sz w:val="14"/>
              </w:rPr>
              <w:t>18.4</w:t>
            </w:r>
          </w:p>
        </w:tc>
        <w:tc>
          <w:tcPr>
            <w:tcW w:type="dxa" w:w="2160"/>
          </w:tcPr>
          <w:p>
            <w:r>
              <w:rPr>
                <w:rFonts w:ascii="Times New Roman" w:hAnsi="Times New Roman"/>
                <w:sz w:val="14"/>
              </w:rPr>
              <w:t>16.5</w:t>
            </w:r>
          </w:p>
        </w:tc>
        <w:tc>
          <w:tcPr>
            <w:tcW w:type="dxa" w:w="2160"/>
          </w:tcPr>
          <w:p>
            <w:r>
              <w:rPr>
                <w:rFonts w:ascii="Times New Roman" w:hAnsi="Times New Roman"/>
                <w:sz w:val="14"/>
              </w:rPr>
              <w:t>1.0%</w:t>
            </w:r>
          </w:p>
        </w:tc>
      </w:tr>
      <w:tr>
        <w:tc>
          <w:tcPr>
            <w:tcW w:type="dxa" w:w="2160"/>
          </w:tcPr>
          <w:p>
            <w:r>
              <w:rPr>
                <w:rFonts w:ascii="Times New Roman" w:hAnsi="Times New Roman"/>
                <w:sz w:val="14"/>
              </w:rPr>
              <w:t>Agent 4: Hybrid RAG Engine</w:t>
            </w:r>
          </w:p>
        </w:tc>
        <w:tc>
          <w:tcPr>
            <w:tcW w:type="dxa" w:w="2160"/>
          </w:tcPr>
          <w:p>
            <w:r>
              <w:rPr>
                <w:rFonts w:ascii="Times New Roman" w:hAnsi="Times New Roman"/>
                <w:sz w:val="14"/>
              </w:rPr>
              <w:t>Qdrant HNSW + BM25 RRF</w:t>
            </w:r>
          </w:p>
        </w:tc>
        <w:tc>
          <w:tcPr>
            <w:tcW w:type="dxa" w:w="2160"/>
          </w:tcPr>
          <w:p>
            <w:r>
              <w:rPr>
                <w:rFonts w:ascii="Times New Roman" w:hAnsi="Times New Roman"/>
                <w:sz w:val="14"/>
              </w:rPr>
              <w:t>65.2</w:t>
            </w:r>
          </w:p>
        </w:tc>
        <w:tc>
          <w:tcPr>
            <w:tcW w:type="dxa" w:w="2160"/>
          </w:tcPr>
          <w:p>
            <w:r>
              <w:rPr>
                <w:rFonts w:ascii="Times New Roman" w:hAnsi="Times New Roman"/>
                <w:sz w:val="14"/>
              </w:rPr>
              <w:t>58.0</w:t>
            </w:r>
          </w:p>
        </w:tc>
        <w:tc>
          <w:tcPr>
            <w:tcW w:type="dxa" w:w="2160"/>
          </w:tcPr>
          <w:p>
            <w:r>
              <w:rPr>
                <w:rFonts w:ascii="Times New Roman" w:hAnsi="Times New Roman"/>
                <w:sz w:val="14"/>
              </w:rPr>
              <w:t>3.5%</w:t>
            </w:r>
          </w:p>
        </w:tc>
      </w:tr>
      <w:tr>
        <w:tc>
          <w:tcPr>
            <w:tcW w:type="dxa" w:w="2160"/>
          </w:tcPr>
          <w:p>
            <w:r>
              <w:rPr>
                <w:rFonts w:ascii="Times New Roman" w:hAnsi="Times New Roman"/>
                <w:sz w:val="14"/>
              </w:rPr>
              <w:t>Agent 5: Dual-LLM Remediator</w:t>
            </w:r>
          </w:p>
        </w:tc>
        <w:tc>
          <w:tcPr>
            <w:tcW w:type="dxa" w:w="2160"/>
          </w:tcPr>
          <w:p>
            <w:r>
              <w:rPr>
                <w:rFonts w:ascii="Times New Roman" w:hAnsi="Times New Roman"/>
                <w:sz w:val="14"/>
              </w:rPr>
              <w:t>Claude 3.5 + GPT-4o consensus</w:t>
            </w:r>
          </w:p>
        </w:tc>
        <w:tc>
          <w:tcPr>
            <w:tcW w:type="dxa" w:w="2160"/>
          </w:tcPr>
          <w:p>
            <w:r>
              <w:rPr>
                <w:rFonts w:ascii="Times New Roman" w:hAnsi="Times New Roman"/>
                <w:sz w:val="14"/>
              </w:rPr>
              <w:t>940.5</w:t>
            </w:r>
          </w:p>
        </w:tc>
        <w:tc>
          <w:tcPr>
            <w:tcW w:type="dxa" w:w="2160"/>
          </w:tcPr>
          <w:p>
            <w:r>
              <w:rPr>
                <w:rFonts w:ascii="Times New Roman" w:hAnsi="Times New Roman"/>
                <w:sz w:val="14"/>
              </w:rPr>
              <w:t>860.0</w:t>
            </w:r>
          </w:p>
        </w:tc>
        <w:tc>
          <w:tcPr>
            <w:tcW w:type="dxa" w:w="2160"/>
          </w:tcPr>
          <w:p>
            <w:r>
              <w:rPr>
                <w:rFonts w:ascii="Times New Roman" w:hAnsi="Times New Roman"/>
                <w:sz w:val="14"/>
              </w:rPr>
              <w:t>51.1%</w:t>
            </w:r>
          </w:p>
        </w:tc>
      </w:tr>
      <w:tr>
        <w:tc>
          <w:tcPr>
            <w:tcW w:type="dxa" w:w="2160"/>
          </w:tcPr>
          <w:p>
            <w:r>
              <w:rPr>
                <w:rFonts w:ascii="Times New Roman" w:hAnsi="Times New Roman"/>
                <w:sz w:val="14"/>
              </w:rPr>
              <w:t>Agent 6: LocalStack Sandbox</w:t>
            </w:r>
          </w:p>
        </w:tc>
        <w:tc>
          <w:tcPr>
            <w:tcW w:type="dxa" w:w="2160"/>
          </w:tcPr>
          <w:p>
            <w:r>
              <w:rPr>
                <w:rFonts w:ascii="Times New Roman" w:hAnsi="Times New Roman"/>
                <w:sz w:val="14"/>
              </w:rPr>
              <w:t>Tier 1 AST + Tier 2 Docker mock</w:t>
            </w:r>
          </w:p>
        </w:tc>
        <w:tc>
          <w:tcPr>
            <w:tcW w:type="dxa" w:w="2160"/>
          </w:tcPr>
          <w:p>
            <w:r>
              <w:rPr>
                <w:rFonts w:ascii="Times New Roman" w:hAnsi="Times New Roman"/>
                <w:sz w:val="14"/>
              </w:rPr>
              <w:t>760.8</w:t>
            </w:r>
          </w:p>
        </w:tc>
        <w:tc>
          <w:tcPr>
            <w:tcW w:type="dxa" w:w="2160"/>
          </w:tcPr>
          <w:p>
            <w:r>
              <w:rPr>
                <w:rFonts w:ascii="Times New Roman" w:hAnsi="Times New Roman"/>
                <w:sz w:val="14"/>
              </w:rPr>
              <w:t>680.0</w:t>
            </w:r>
          </w:p>
        </w:tc>
        <w:tc>
          <w:tcPr>
            <w:tcW w:type="dxa" w:w="2160"/>
          </w:tcPr>
          <w:p>
            <w:r>
              <w:rPr>
                <w:rFonts w:ascii="Times New Roman" w:hAnsi="Times New Roman"/>
                <w:sz w:val="14"/>
              </w:rPr>
              <w:t>41.3%</w:t>
            </w:r>
          </w:p>
        </w:tc>
      </w:tr>
      <w:tr>
        <w:tc>
          <w:tcPr>
            <w:tcW w:type="dxa" w:w="2160"/>
          </w:tcPr>
          <w:p>
            <w:r>
              <w:rPr>
                <w:rFonts w:ascii="Times New Roman" w:hAnsi="Times New Roman"/>
                <w:sz w:val="14"/>
              </w:rPr>
              <w:t>Agent 7: Compliance Mapper</w:t>
            </w:r>
          </w:p>
        </w:tc>
        <w:tc>
          <w:tcPr>
            <w:tcW w:type="dxa" w:w="2160"/>
          </w:tcPr>
          <w:p>
            <w:r>
              <w:rPr>
                <w:rFonts w:ascii="Times New Roman" w:hAnsi="Times New Roman"/>
                <w:sz w:val="14"/>
              </w:rPr>
              <w:t>CWE / CVSS / CIS / ATT&amp;CK</w:t>
            </w:r>
          </w:p>
        </w:tc>
        <w:tc>
          <w:tcPr>
            <w:tcW w:type="dxa" w:w="2160"/>
          </w:tcPr>
          <w:p>
            <w:r>
              <w:rPr>
                <w:rFonts w:ascii="Times New Roman" w:hAnsi="Times New Roman"/>
                <w:sz w:val="14"/>
              </w:rPr>
              <w:t>16.5</w:t>
            </w:r>
          </w:p>
        </w:tc>
        <w:tc>
          <w:tcPr>
            <w:tcW w:type="dxa" w:w="2160"/>
          </w:tcPr>
          <w:p>
            <w:r>
              <w:rPr>
                <w:rFonts w:ascii="Times New Roman" w:hAnsi="Times New Roman"/>
                <w:sz w:val="14"/>
              </w:rPr>
              <w:t>14.2</w:t>
            </w:r>
          </w:p>
        </w:tc>
        <w:tc>
          <w:tcPr>
            <w:tcW w:type="dxa" w:w="2160"/>
          </w:tcPr>
          <w:p>
            <w:r>
              <w:rPr>
                <w:rFonts w:ascii="Times New Roman" w:hAnsi="Times New Roman"/>
                <w:sz w:val="14"/>
              </w:rPr>
              <w:t>0.9%</w:t>
            </w:r>
          </w:p>
        </w:tc>
      </w:tr>
      <w:tr>
        <w:tc>
          <w:tcPr>
            <w:tcW w:type="dxa" w:w="2160"/>
          </w:tcPr>
          <w:p>
            <w:r>
              <w:rPr>
                <w:rFonts w:ascii="Times New Roman" w:hAnsi="Times New Roman"/>
                <w:sz w:val="14"/>
              </w:rPr>
              <w:t>Agent 8: Signed PR Generator</w:t>
            </w:r>
          </w:p>
        </w:tc>
        <w:tc>
          <w:tcPr>
            <w:tcW w:type="dxa" w:w="2160"/>
          </w:tcPr>
          <w:p>
            <w:r>
              <w:rPr>
                <w:rFonts w:ascii="Times New Roman" w:hAnsi="Times New Roman"/>
                <w:sz w:val="14"/>
              </w:rPr>
              <w:t>SARIF JSON + Ed25519 PR</w:t>
            </w:r>
          </w:p>
        </w:tc>
        <w:tc>
          <w:tcPr>
            <w:tcW w:type="dxa" w:w="2160"/>
          </w:tcPr>
          <w:p>
            <w:r>
              <w:rPr>
                <w:rFonts w:ascii="Times New Roman" w:hAnsi="Times New Roman"/>
                <w:sz w:val="14"/>
              </w:rPr>
              <w:t>12.8</w:t>
            </w:r>
          </w:p>
        </w:tc>
        <w:tc>
          <w:tcPr>
            <w:tcW w:type="dxa" w:w="2160"/>
          </w:tcPr>
          <w:p>
            <w:r>
              <w:rPr>
                <w:rFonts w:ascii="Times New Roman" w:hAnsi="Times New Roman"/>
                <w:sz w:val="14"/>
              </w:rPr>
              <w:t>11.5</w:t>
            </w:r>
          </w:p>
        </w:tc>
        <w:tc>
          <w:tcPr>
            <w:tcW w:type="dxa" w:w="2160"/>
          </w:tcPr>
          <w:p>
            <w:r>
              <w:rPr>
                <w:rFonts w:ascii="Times New Roman" w:hAnsi="Times New Roman"/>
                <w:sz w:val="14"/>
              </w:rPr>
              <w:t>0.7%</w:t>
            </w:r>
          </w:p>
        </w:tc>
      </w:tr>
      <w:tr>
        <w:tc>
          <w:tcPr>
            <w:tcW w:type="dxa" w:w="2160"/>
          </w:tcPr>
          <w:p>
            <w:r>
              <w:rPr>
                <w:rFonts w:ascii="Times New Roman" w:hAnsi="Times New Roman"/>
                <w:sz w:val="14"/>
              </w:rPr>
              <w:t>Total System Pipeline</w:t>
            </w:r>
          </w:p>
        </w:tc>
        <w:tc>
          <w:tcPr>
            <w:tcW w:type="dxa" w:w="2160"/>
          </w:tcPr>
          <w:p>
            <w:r>
              <w:rPr>
                <w:rFonts w:ascii="Times New Roman" w:hAnsi="Times New Roman"/>
                <w:sz w:val="14"/>
              </w:rPr>
              <w:t>End-to-end latency per module</w:t>
            </w:r>
          </w:p>
        </w:tc>
        <w:tc>
          <w:tcPr>
            <w:tcW w:type="dxa" w:w="2160"/>
          </w:tcPr>
          <w:p>
            <w:r>
              <w:rPr>
                <w:rFonts w:ascii="Times New Roman" w:hAnsi="Times New Roman"/>
                <w:sz w:val="14"/>
              </w:rPr>
              <w:t>1841.0</w:t>
            </w:r>
          </w:p>
        </w:tc>
        <w:tc>
          <w:tcPr>
            <w:tcW w:type="dxa" w:w="2160"/>
          </w:tcPr>
          <w:p>
            <w:r>
              <w:rPr>
                <w:rFonts w:ascii="Times New Roman" w:hAnsi="Times New Roman"/>
                <w:sz w:val="14"/>
              </w:rPr>
              <w:t>1663.4</w:t>
            </w:r>
          </w:p>
        </w:tc>
        <w:tc>
          <w:tcPr>
            <w:tcW w:type="dxa" w:w="2160"/>
          </w:tcPr>
          <w:p>
            <w:r>
              <w:rPr>
                <w:rFonts w:ascii="Times New Roman" w:hAnsi="Times New Roman"/>
                <w:sz w:val="14"/>
              </w:rPr>
              <w:t>100.0%</w:t>
            </w:r>
          </w:p>
        </w:tc>
      </w:tr>
    </w:tbl>
    <w:p>
      <w:pPr>
        <w:jc w:val="center"/>
      </w:pPr>
      <w:r>
        <w:rPr>
          <w:rFonts w:ascii="Times New Roman" w:hAnsi="Times New Roman"/>
          <w:b/>
          <w:sz w:val="16"/>
        </w:rPr>
        <w:t>Table V. Ablation Study Across 500 Benchmark Templates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tcPr>
          <w:p>
            <w:r>
              <w:rPr>
                <w:rFonts w:ascii="Times New Roman" w:hAnsi="Times New Roman"/>
                <w:b/>
                <w:sz w:val="14"/>
              </w:rPr>
              <w:t>Configuration Variant</w:t>
            </w:r>
          </w:p>
        </w:tc>
        <w:tc>
          <w:tcPr>
            <w:tcW w:type="dxa" w:w="1800"/>
          </w:tcPr>
          <w:p>
            <w:r>
              <w:rPr>
                <w:rFonts w:ascii="Times New Roman" w:hAnsi="Times New Roman"/>
                <w:b/>
                <w:sz w:val="14"/>
              </w:rPr>
              <w:t>Precision (%)</w:t>
            </w:r>
          </w:p>
        </w:tc>
        <w:tc>
          <w:tcPr>
            <w:tcW w:type="dxa" w:w="1800"/>
          </w:tcPr>
          <w:p>
            <w:r>
              <w:rPr>
                <w:rFonts w:ascii="Times New Roman" w:hAnsi="Times New Roman"/>
                <w:b/>
                <w:sz w:val="14"/>
              </w:rPr>
              <w:t>Recall (%)</w:t>
            </w:r>
          </w:p>
        </w:tc>
        <w:tc>
          <w:tcPr>
            <w:tcW w:type="dxa" w:w="1800"/>
          </w:tcPr>
          <w:p>
            <w:r>
              <w:rPr>
                <w:rFonts w:ascii="Times New Roman" w:hAnsi="Times New Roman"/>
                <w:b/>
                <w:sz w:val="14"/>
              </w:rPr>
              <w:t>F1-Score (%)</w:t>
            </w:r>
          </w:p>
        </w:tc>
        <w:tc>
          <w:tcPr>
            <w:tcW w:type="dxa" w:w="1800"/>
          </w:tcPr>
          <w:p>
            <w:r>
              <w:rPr>
                <w:rFonts w:ascii="Times New Roman" w:hAnsi="Times New Roman"/>
                <w:b/>
                <w:sz w:val="14"/>
              </w:rPr>
              <w:t>1st-Pass Fix (%)</w:t>
            </w:r>
          </w:p>
        </w:tc>
        <w:tc>
          <w:tcPr>
            <w:tcW w:type="dxa" w:w="1800"/>
          </w:tcPr>
          <w:p>
            <w:r>
              <w:rPr>
                <w:rFonts w:ascii="Times New Roman" w:hAnsi="Times New Roman"/>
                <w:b/>
                <w:sz w:val="14"/>
              </w:rPr>
              <w:t>Latency (s)</w:t>
            </w:r>
          </w:p>
        </w:tc>
      </w:tr>
      <w:tr>
        <w:tc>
          <w:tcPr>
            <w:tcW w:type="dxa" w:w="1800"/>
          </w:tcPr>
          <w:p>
            <w:r>
              <w:rPr>
                <w:rFonts w:ascii="Times New Roman" w:hAnsi="Times New Roman"/>
                <w:sz w:val="14"/>
              </w:rPr>
              <w:t>Full AgentShield AI Framework</w:t>
            </w:r>
          </w:p>
        </w:tc>
        <w:tc>
          <w:tcPr>
            <w:tcW w:type="dxa" w:w="1800"/>
          </w:tcPr>
          <w:p>
            <w:r>
              <w:rPr>
                <w:rFonts w:ascii="Times New Roman" w:hAnsi="Times New Roman"/>
                <w:sz w:val="14"/>
              </w:rPr>
              <w:t>99.1%</w:t>
            </w:r>
          </w:p>
        </w:tc>
        <w:tc>
          <w:tcPr>
            <w:tcW w:type="dxa" w:w="1800"/>
          </w:tcPr>
          <w:p>
            <w:r>
              <w:rPr>
                <w:rFonts w:ascii="Times New Roman" w:hAnsi="Times New Roman"/>
                <w:sz w:val="14"/>
              </w:rPr>
              <w:t>98.4%</w:t>
            </w:r>
          </w:p>
        </w:tc>
        <w:tc>
          <w:tcPr>
            <w:tcW w:type="dxa" w:w="1800"/>
          </w:tcPr>
          <w:p>
            <w:r>
              <w:rPr>
                <w:rFonts w:ascii="Times New Roman" w:hAnsi="Times New Roman"/>
                <w:sz w:val="14"/>
              </w:rPr>
              <w:t>98.7%</w:t>
            </w:r>
          </w:p>
        </w:tc>
        <w:tc>
          <w:tcPr>
            <w:tcW w:type="dxa" w:w="1800"/>
          </w:tcPr>
          <w:p>
            <w:r>
              <w:rPr>
                <w:rFonts w:ascii="Times New Roman" w:hAnsi="Times New Roman"/>
                <w:sz w:val="14"/>
              </w:rPr>
              <w:t>97.8%</w:t>
            </w:r>
          </w:p>
        </w:tc>
        <w:tc>
          <w:tcPr>
            <w:tcW w:type="dxa" w:w="1800"/>
          </w:tcPr>
          <w:p>
            <w:r>
              <w:rPr>
                <w:rFonts w:ascii="Times New Roman" w:hAnsi="Times New Roman"/>
                <w:sz w:val="14"/>
              </w:rPr>
              <w:t>1.84s</w:t>
            </w:r>
          </w:p>
        </w:tc>
      </w:tr>
      <w:tr>
        <w:tc>
          <w:tcPr>
            <w:tcW w:type="dxa" w:w="1800"/>
          </w:tcPr>
          <w:p>
            <w:r>
              <w:rPr>
                <w:rFonts w:ascii="Times New Roman" w:hAnsi="Times New Roman"/>
                <w:sz w:val="14"/>
              </w:rPr>
              <w:t>w/o Tree-sitter AST (Regex Only)</w:t>
            </w:r>
          </w:p>
        </w:tc>
        <w:tc>
          <w:tcPr>
            <w:tcW w:type="dxa" w:w="1800"/>
          </w:tcPr>
          <w:p>
            <w:r>
              <w:rPr>
                <w:rFonts w:ascii="Times New Roman" w:hAnsi="Times New Roman"/>
                <w:sz w:val="14"/>
              </w:rPr>
              <w:t>71.2%</w:t>
            </w:r>
          </w:p>
        </w:tc>
        <w:tc>
          <w:tcPr>
            <w:tcW w:type="dxa" w:w="1800"/>
          </w:tcPr>
          <w:p>
            <w:r>
              <w:rPr>
                <w:rFonts w:ascii="Times New Roman" w:hAnsi="Times New Roman"/>
                <w:sz w:val="14"/>
              </w:rPr>
              <w:t>82.5%</w:t>
            </w:r>
          </w:p>
        </w:tc>
        <w:tc>
          <w:tcPr>
            <w:tcW w:type="dxa" w:w="1800"/>
          </w:tcPr>
          <w:p>
            <w:r>
              <w:rPr>
                <w:rFonts w:ascii="Times New Roman" w:hAnsi="Times New Roman"/>
                <w:sz w:val="14"/>
              </w:rPr>
              <w:t>76.4%</w:t>
            </w:r>
          </w:p>
        </w:tc>
        <w:tc>
          <w:tcPr>
            <w:tcW w:type="dxa" w:w="1800"/>
          </w:tcPr>
          <w:p>
            <w:r>
              <w:rPr>
                <w:rFonts w:ascii="Times New Roman" w:hAnsi="Times New Roman"/>
                <w:sz w:val="14"/>
              </w:rPr>
              <w:t>81.2%</w:t>
            </w:r>
          </w:p>
        </w:tc>
        <w:tc>
          <w:tcPr>
            <w:tcW w:type="dxa" w:w="1800"/>
          </w:tcPr>
          <w:p>
            <w:r>
              <w:rPr>
                <w:rFonts w:ascii="Times New Roman" w:hAnsi="Times New Roman"/>
                <w:sz w:val="14"/>
              </w:rPr>
              <w:t>1.42s</w:t>
            </w:r>
          </w:p>
        </w:tc>
      </w:tr>
      <w:tr>
        <w:tc>
          <w:tcPr>
            <w:tcW w:type="dxa" w:w="1800"/>
          </w:tcPr>
          <w:p>
            <w:r>
              <w:rPr>
                <w:rFonts w:ascii="Times New Roman" w:hAnsi="Times New Roman"/>
                <w:sz w:val="14"/>
              </w:rPr>
              <w:t>w/o Shannon Entropy (Regex Secrets)</w:t>
            </w:r>
          </w:p>
        </w:tc>
        <w:tc>
          <w:tcPr>
            <w:tcW w:type="dxa" w:w="1800"/>
          </w:tcPr>
          <w:p>
            <w:r>
              <w:rPr>
                <w:rFonts w:ascii="Times New Roman" w:hAnsi="Times New Roman"/>
                <w:sz w:val="14"/>
              </w:rPr>
              <w:t>98.8%</w:t>
            </w:r>
          </w:p>
        </w:tc>
        <w:tc>
          <w:tcPr>
            <w:tcW w:type="dxa" w:w="1800"/>
          </w:tcPr>
          <w:p>
            <w:r>
              <w:rPr>
                <w:rFonts w:ascii="Times New Roman" w:hAnsi="Times New Roman"/>
                <w:sz w:val="14"/>
              </w:rPr>
              <w:t>88.2%</w:t>
            </w:r>
          </w:p>
        </w:tc>
        <w:tc>
          <w:tcPr>
            <w:tcW w:type="dxa" w:w="1800"/>
          </w:tcPr>
          <w:p>
            <w:r>
              <w:rPr>
                <w:rFonts w:ascii="Times New Roman" w:hAnsi="Times New Roman"/>
                <w:sz w:val="14"/>
              </w:rPr>
              <w:t>93.2%</w:t>
            </w:r>
          </w:p>
        </w:tc>
        <w:tc>
          <w:tcPr>
            <w:tcW w:type="dxa" w:w="1800"/>
          </w:tcPr>
          <w:p>
            <w:r>
              <w:rPr>
                <w:rFonts w:ascii="Times New Roman" w:hAnsi="Times New Roman"/>
                <w:sz w:val="14"/>
              </w:rPr>
              <w:t>97.5%</w:t>
            </w:r>
          </w:p>
        </w:tc>
        <w:tc>
          <w:tcPr>
            <w:tcW w:type="dxa" w:w="1800"/>
          </w:tcPr>
          <w:p>
            <w:r>
              <w:rPr>
                <w:rFonts w:ascii="Times New Roman" w:hAnsi="Times New Roman"/>
                <w:sz w:val="14"/>
              </w:rPr>
              <w:t>1.82s</w:t>
            </w:r>
          </w:p>
        </w:tc>
      </w:tr>
      <w:tr>
        <w:tc>
          <w:tcPr>
            <w:tcW w:type="dxa" w:w="1800"/>
          </w:tcPr>
          <w:p>
            <w:r>
              <w:rPr>
                <w:rFonts w:ascii="Times New Roman" w:hAnsi="Times New Roman"/>
                <w:sz w:val="14"/>
              </w:rPr>
              <w:t>w/o Hybrid CIS RAG (Zero-Shot)</w:t>
            </w:r>
          </w:p>
        </w:tc>
        <w:tc>
          <w:tcPr>
            <w:tcW w:type="dxa" w:w="1800"/>
          </w:tcPr>
          <w:p>
            <w:r>
              <w:rPr>
                <w:rFonts w:ascii="Times New Roman" w:hAnsi="Times New Roman"/>
                <w:sz w:val="14"/>
              </w:rPr>
              <w:t>88.4%</w:t>
            </w:r>
          </w:p>
        </w:tc>
        <w:tc>
          <w:tcPr>
            <w:tcW w:type="dxa" w:w="1800"/>
          </w:tcPr>
          <w:p>
            <w:r>
              <w:rPr>
                <w:rFonts w:ascii="Times New Roman" w:hAnsi="Times New Roman"/>
                <w:sz w:val="14"/>
              </w:rPr>
              <w:t>94.1%</w:t>
            </w:r>
          </w:p>
        </w:tc>
        <w:tc>
          <w:tcPr>
            <w:tcW w:type="dxa" w:w="1800"/>
          </w:tcPr>
          <w:p>
            <w:r>
              <w:rPr>
                <w:rFonts w:ascii="Times New Roman" w:hAnsi="Times New Roman"/>
                <w:sz w:val="14"/>
              </w:rPr>
              <w:t>91.2%</w:t>
            </w:r>
          </w:p>
        </w:tc>
        <w:tc>
          <w:tcPr>
            <w:tcW w:type="dxa" w:w="1800"/>
          </w:tcPr>
          <w:p>
            <w:r>
              <w:rPr>
                <w:rFonts w:ascii="Times New Roman" w:hAnsi="Times New Roman"/>
                <w:sz w:val="14"/>
              </w:rPr>
              <w:t>71.4%</w:t>
            </w:r>
          </w:p>
        </w:tc>
        <w:tc>
          <w:tcPr>
            <w:tcW w:type="dxa" w:w="1800"/>
          </w:tcPr>
          <w:p>
            <w:r>
              <w:rPr>
                <w:rFonts w:ascii="Times New Roman" w:hAnsi="Times New Roman"/>
                <w:sz w:val="14"/>
              </w:rPr>
              <w:t>1.78s</w:t>
            </w:r>
          </w:p>
        </w:tc>
      </w:tr>
      <w:tr>
        <w:tc>
          <w:tcPr>
            <w:tcW w:type="dxa" w:w="1800"/>
          </w:tcPr>
          <w:p>
            <w:r>
              <w:rPr>
                <w:rFonts w:ascii="Times New Roman" w:hAnsi="Times New Roman"/>
                <w:sz w:val="14"/>
              </w:rPr>
              <w:t>w/o LocalStack Sandbox (No Eval)</w:t>
            </w:r>
          </w:p>
        </w:tc>
        <w:tc>
          <w:tcPr>
            <w:tcW w:type="dxa" w:w="1800"/>
          </w:tcPr>
          <w:p>
            <w:r>
              <w:rPr>
                <w:rFonts w:ascii="Times New Roman" w:hAnsi="Times New Roman"/>
                <w:sz w:val="14"/>
              </w:rPr>
              <w:t>99.1%</w:t>
            </w:r>
          </w:p>
        </w:tc>
        <w:tc>
          <w:tcPr>
            <w:tcW w:type="dxa" w:w="1800"/>
          </w:tcPr>
          <w:p>
            <w:r>
              <w:rPr>
                <w:rFonts w:ascii="Times New Roman" w:hAnsi="Times New Roman"/>
                <w:sz w:val="14"/>
              </w:rPr>
              <w:t>98.4%</w:t>
            </w:r>
          </w:p>
        </w:tc>
        <w:tc>
          <w:tcPr>
            <w:tcW w:type="dxa" w:w="1800"/>
          </w:tcPr>
          <w:p>
            <w:r>
              <w:rPr>
                <w:rFonts w:ascii="Times New Roman" w:hAnsi="Times New Roman"/>
                <w:sz w:val="14"/>
              </w:rPr>
              <w:t>98.7%</w:t>
            </w:r>
          </w:p>
        </w:tc>
        <w:tc>
          <w:tcPr>
            <w:tcW w:type="dxa" w:w="1800"/>
          </w:tcPr>
          <w:p>
            <w:r>
              <w:rPr>
                <w:rFonts w:ascii="Times New Roman" w:hAnsi="Times New Roman"/>
                <w:sz w:val="14"/>
              </w:rPr>
              <w:t>81.6%</w:t>
            </w:r>
          </w:p>
        </w:tc>
        <w:tc>
          <w:tcPr>
            <w:tcW w:type="dxa" w:w="1800"/>
          </w:tcPr>
          <w:p>
            <w:r>
              <w:rPr>
                <w:rFonts w:ascii="Times New Roman" w:hAnsi="Times New Roman"/>
                <w:sz w:val="14"/>
              </w:rPr>
              <w:t>1.08s</w:t>
            </w:r>
          </w:p>
        </w:tc>
      </w:tr>
    </w:tbl>
    <w:p>
      <w:pPr>
        <w:jc w:val="center"/>
      </w:pPr>
      <w:r>
        <w:rPr>
          <w:rFonts w:ascii="Times New Roman" w:hAnsi="Times New Roman"/>
          <w:b/>
          <w:sz w:val="16"/>
        </w:rPr>
        <w:t>Table VI. Enterprise Cost &amp; Operational Impact Analysis</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rFonts w:ascii="Times New Roman" w:hAnsi="Times New Roman"/>
                <w:b/>
                <w:sz w:val="14"/>
              </w:rPr>
              <w:t>Metric / Operational Dimension</w:t>
            </w:r>
          </w:p>
        </w:tc>
        <w:tc>
          <w:tcPr>
            <w:tcW w:type="dxa" w:w="2160"/>
          </w:tcPr>
          <w:p>
            <w:r>
              <w:rPr>
                <w:rFonts w:ascii="Times New Roman" w:hAnsi="Times New Roman"/>
                <w:b/>
                <w:sz w:val="14"/>
              </w:rPr>
              <w:t>Manual Engineering</w:t>
            </w:r>
          </w:p>
        </w:tc>
        <w:tc>
          <w:tcPr>
            <w:tcW w:type="dxa" w:w="2160"/>
          </w:tcPr>
          <w:p>
            <w:r>
              <w:rPr>
                <w:rFonts w:ascii="Times New Roman" w:hAnsi="Times New Roman"/>
                <w:b/>
                <w:sz w:val="14"/>
              </w:rPr>
              <w:t>Static SAST Only</w:t>
            </w:r>
          </w:p>
        </w:tc>
        <w:tc>
          <w:tcPr>
            <w:tcW w:type="dxa" w:w="2160"/>
          </w:tcPr>
          <w:p>
            <w:r>
              <w:rPr>
                <w:rFonts w:ascii="Times New Roman" w:hAnsi="Times New Roman"/>
                <w:b/>
                <w:sz w:val="14"/>
              </w:rPr>
              <w:t>AgentShield AI</w:t>
            </w:r>
          </w:p>
        </w:tc>
        <w:tc>
          <w:tcPr>
            <w:tcW w:type="dxa" w:w="2160"/>
          </w:tcPr>
          <w:p>
            <w:r>
              <w:rPr>
                <w:rFonts w:ascii="Times New Roman" w:hAnsi="Times New Roman"/>
                <w:b/>
                <w:sz w:val="14"/>
              </w:rPr>
              <w:t>Net Gain</w:t>
            </w:r>
          </w:p>
        </w:tc>
      </w:tr>
      <w:tr>
        <w:tc>
          <w:tcPr>
            <w:tcW w:type="dxa" w:w="2160"/>
          </w:tcPr>
          <w:p>
            <w:r>
              <w:rPr>
                <w:rFonts w:ascii="Times New Roman" w:hAnsi="Times New Roman"/>
                <w:sz w:val="14"/>
              </w:rPr>
              <w:t>Mean Time to Remediate (MTTR)</w:t>
            </w:r>
          </w:p>
        </w:tc>
        <w:tc>
          <w:tcPr>
            <w:tcW w:type="dxa" w:w="2160"/>
          </w:tcPr>
          <w:p>
            <w:r>
              <w:rPr>
                <w:rFonts w:ascii="Times New Roman" w:hAnsi="Times New Roman"/>
                <w:sz w:val="14"/>
              </w:rPr>
              <w:t>24.6 days</w:t>
            </w:r>
          </w:p>
        </w:tc>
        <w:tc>
          <w:tcPr>
            <w:tcW w:type="dxa" w:w="2160"/>
          </w:tcPr>
          <w:p>
            <w:r>
              <w:rPr>
                <w:rFonts w:ascii="Times New Roman" w:hAnsi="Times New Roman"/>
                <w:sz w:val="14"/>
              </w:rPr>
              <w:t>14.2 days</w:t>
            </w:r>
          </w:p>
        </w:tc>
        <w:tc>
          <w:tcPr>
            <w:tcW w:type="dxa" w:w="2160"/>
          </w:tcPr>
          <w:p>
            <w:r>
              <w:rPr>
                <w:rFonts w:ascii="Times New Roman" w:hAnsi="Times New Roman"/>
                <w:sz w:val="14"/>
              </w:rPr>
              <w:t>1.84 seconds</w:t>
            </w:r>
          </w:p>
        </w:tc>
        <w:tc>
          <w:tcPr>
            <w:tcW w:type="dxa" w:w="2160"/>
          </w:tcPr>
          <w:p>
            <w:r>
              <w:rPr>
                <w:rFonts w:ascii="Times New Roman" w:hAnsi="Times New Roman"/>
                <w:sz w:val="14"/>
              </w:rPr>
              <w:t>99.99% reduction</w:t>
            </w:r>
          </w:p>
        </w:tc>
      </w:tr>
      <w:tr>
        <w:tc>
          <w:tcPr>
            <w:tcW w:type="dxa" w:w="2160"/>
          </w:tcPr>
          <w:p>
            <w:r>
              <w:rPr>
                <w:rFonts w:ascii="Times New Roman" w:hAnsi="Times New Roman"/>
                <w:sz w:val="14"/>
              </w:rPr>
              <w:t>Security Hours / 1k Files</w:t>
            </w:r>
          </w:p>
        </w:tc>
        <w:tc>
          <w:tcPr>
            <w:tcW w:type="dxa" w:w="2160"/>
          </w:tcPr>
          <w:p>
            <w:r>
              <w:rPr>
                <w:rFonts w:ascii="Times New Roman" w:hAnsi="Times New Roman"/>
                <w:sz w:val="14"/>
              </w:rPr>
              <w:t>160.0 hours</w:t>
            </w:r>
          </w:p>
        </w:tc>
        <w:tc>
          <w:tcPr>
            <w:tcW w:type="dxa" w:w="2160"/>
          </w:tcPr>
          <w:p>
            <w:r>
              <w:rPr>
                <w:rFonts w:ascii="Times New Roman" w:hAnsi="Times New Roman"/>
                <w:sz w:val="14"/>
              </w:rPr>
              <w:t>84.0 hours</w:t>
            </w:r>
          </w:p>
        </w:tc>
        <w:tc>
          <w:tcPr>
            <w:tcW w:type="dxa" w:w="2160"/>
          </w:tcPr>
          <w:p>
            <w:r>
              <w:rPr>
                <w:rFonts w:ascii="Times New Roman" w:hAnsi="Times New Roman"/>
                <w:sz w:val="14"/>
              </w:rPr>
              <w:t>0.5 hours</w:t>
            </w:r>
          </w:p>
        </w:tc>
        <w:tc>
          <w:tcPr>
            <w:tcW w:type="dxa" w:w="2160"/>
          </w:tcPr>
          <w:p>
            <w:r>
              <w:rPr>
                <w:rFonts w:ascii="Times New Roman" w:hAnsi="Times New Roman"/>
                <w:sz w:val="14"/>
              </w:rPr>
              <w:t>99.68% reduction</w:t>
            </w:r>
          </w:p>
        </w:tc>
      </w:tr>
      <w:tr>
        <w:tc>
          <w:tcPr>
            <w:tcW w:type="dxa" w:w="2160"/>
          </w:tcPr>
          <w:p>
            <w:r>
              <w:rPr>
                <w:rFonts w:ascii="Times New Roman" w:hAnsi="Times New Roman"/>
                <w:sz w:val="14"/>
              </w:rPr>
              <w:t>False Alarm Triage Cost / Mo.</w:t>
            </w:r>
          </w:p>
        </w:tc>
        <w:tc>
          <w:tcPr>
            <w:tcW w:type="dxa" w:w="2160"/>
          </w:tcPr>
          <w:p>
            <w:r>
              <w:rPr>
                <w:rFonts w:ascii="Times New Roman" w:hAnsi="Times New Roman"/>
                <w:sz w:val="14"/>
              </w:rPr>
              <w:t>$14,500</w:t>
            </w:r>
          </w:p>
        </w:tc>
        <w:tc>
          <w:tcPr>
            <w:tcW w:type="dxa" w:w="2160"/>
          </w:tcPr>
          <w:p>
            <w:r>
              <w:rPr>
                <w:rFonts w:ascii="Times New Roman" w:hAnsi="Times New Roman"/>
                <w:sz w:val="14"/>
              </w:rPr>
              <w:t>$9,200</w:t>
            </w:r>
          </w:p>
        </w:tc>
        <w:tc>
          <w:tcPr>
            <w:tcW w:type="dxa" w:w="2160"/>
          </w:tcPr>
          <w:p>
            <w:r>
              <w:rPr>
                <w:rFonts w:ascii="Times New Roman" w:hAnsi="Times New Roman"/>
                <w:sz w:val="14"/>
              </w:rPr>
              <w:t>$120</w:t>
            </w:r>
          </w:p>
        </w:tc>
        <w:tc>
          <w:tcPr>
            <w:tcW w:type="dxa" w:w="2160"/>
          </w:tcPr>
          <w:p>
            <w:r>
              <w:rPr>
                <w:rFonts w:ascii="Times New Roman" w:hAnsi="Times New Roman"/>
                <w:sz w:val="14"/>
              </w:rPr>
              <w:t>98.70% reduction</w:t>
            </w:r>
          </w:p>
        </w:tc>
      </w:tr>
      <w:tr>
        <w:tc>
          <w:tcPr>
            <w:tcW w:type="dxa" w:w="2160"/>
          </w:tcPr>
          <w:p>
            <w:r>
              <w:rPr>
                <w:rFonts w:ascii="Times New Roman" w:hAnsi="Times New Roman"/>
                <w:sz w:val="14"/>
              </w:rPr>
              <w:t>Deployment Blockages in CI/CD</w:t>
            </w:r>
          </w:p>
        </w:tc>
        <w:tc>
          <w:tcPr>
            <w:tcW w:type="dxa" w:w="2160"/>
          </w:tcPr>
          <w:p>
            <w:r>
              <w:rPr>
                <w:rFonts w:ascii="Times New Roman" w:hAnsi="Times New Roman"/>
                <w:sz w:val="14"/>
              </w:rPr>
              <w:t>18.2%</w:t>
            </w:r>
          </w:p>
        </w:tc>
        <w:tc>
          <w:tcPr>
            <w:tcW w:type="dxa" w:w="2160"/>
          </w:tcPr>
          <w:p>
            <w:r>
              <w:rPr>
                <w:rFonts w:ascii="Times New Roman" w:hAnsi="Times New Roman"/>
                <w:sz w:val="14"/>
              </w:rPr>
              <w:t>34.5%</w:t>
            </w:r>
          </w:p>
        </w:tc>
        <w:tc>
          <w:tcPr>
            <w:tcW w:type="dxa" w:w="2160"/>
          </w:tcPr>
          <w:p>
            <w:r>
              <w:rPr>
                <w:rFonts w:ascii="Times New Roman" w:hAnsi="Times New Roman"/>
                <w:sz w:val="14"/>
              </w:rPr>
              <w:t>0.6%</w:t>
            </w:r>
          </w:p>
        </w:tc>
        <w:tc>
          <w:tcPr>
            <w:tcW w:type="dxa" w:w="2160"/>
          </w:tcPr>
          <w:p>
            <w:r>
              <w:rPr>
                <w:rFonts w:ascii="Times New Roman" w:hAnsi="Times New Roman"/>
                <w:sz w:val="14"/>
              </w:rPr>
              <w:t>98.26% reduction</w:t>
            </w:r>
          </w:p>
        </w:tc>
      </w:tr>
    </w:tbl>
    <w:p>
      <w:pPr>
        <w:jc w:val="center"/>
      </w:pPr>
      <w:r>
        <w:rPr>
          <w:rFonts w:ascii="Times New Roman" w:hAnsi="Times New Roman"/>
          <w:b/>
          <w:sz w:val="24"/>
        </w:rPr>
        <w:t>Reference</w:t>
      </w:r>
    </w:p>
    <w:p>
      <w:pPr>
        <w:jc w:val="both"/>
      </w:pPr>
      <w:r>
        <w:rPr>
          <w:rFonts w:ascii="Times New Roman" w:hAnsi="Times New Roman"/>
          <w:sz w:val="15"/>
        </w:rPr>
        <w:t>[1] Y. Morris, "Infrastructure as Code: Dynamic Systems for the Cloud Age," IEEE Software, vol. 38, no. 1, pp. 64–72, Jan. 2021.</w:t>
      </w:r>
    </w:p>
    <w:p>
      <w:pPr>
        <w:jc w:val="both"/>
      </w:pPr>
      <w:r>
        <w:rPr>
          <w:rFonts w:ascii="Times New Roman" w:hAnsi="Times New Roman"/>
          <w:sz w:val="15"/>
        </w:rPr>
        <w:t>[2] A. Guerriero, M. Cito, and M. Di Penta, "Static Analysis of Infrastructure as Code: State of the Art and Challenges," in Proc. IEEE/ACM ICSE, 2023, pp. 1120–1132.</w:t>
      </w:r>
    </w:p>
    <w:p>
      <w:pPr>
        <w:jc w:val="both"/>
      </w:pPr>
      <w:r>
        <w:rPr>
          <w:rFonts w:ascii="Times New Roman" w:hAnsi="Times New Roman"/>
          <w:sz w:val="15"/>
        </w:rPr>
        <w:t>[3] F. Rahman, R. Mahdavi-Hezaveh, and L. Williams, "What Are the Threats to Infrastructure as Code?," IEEE Trans. Softw. Eng., vol. 49, no. 4, pp. 1650–1668, Apr. 2023.</w:t>
      </w:r>
    </w:p>
    <w:p>
      <w:pPr>
        <w:jc w:val="both"/>
      </w:pPr>
      <w:r>
        <w:rPr>
          <w:rFonts w:ascii="Times New Roman" w:hAnsi="Times New Roman"/>
          <w:sz w:val="15"/>
        </w:rPr>
        <w:t>[4] Unit 42, "Palo Alto Networks Cloud Threat Report: Attack Surface in IaC," Tech. Rep., 2024.</w:t>
      </w:r>
    </w:p>
    <w:p>
      <w:pPr>
        <w:jc w:val="both"/>
      </w:pPr>
      <w:r>
        <w:rPr>
          <w:rFonts w:ascii="Times New Roman" w:hAnsi="Times New Roman"/>
          <w:sz w:val="15"/>
        </w:rPr>
        <w:t>[5] Datadog Security Labs, "State of Cloud Security: Secrets and IAM Misconfigurations," Industry Rep., 2024.</w:t>
      </w:r>
    </w:p>
    <w:p>
      <w:pPr>
        <w:jc w:val="both"/>
      </w:pPr>
      <w:r>
        <w:rPr>
          <w:rFonts w:ascii="Times New Roman" w:hAnsi="Times New Roman"/>
          <w:sz w:val="15"/>
        </w:rPr>
        <w:t>[6] Bridgecrew, "Checkov: Static Code Analysis for Infrastructure as Code," https://github.com/bridgecrewio/checkov, 2024.</w:t>
      </w:r>
    </w:p>
    <w:p>
      <w:pPr>
        <w:jc w:val="both"/>
      </w:pPr>
      <w:r>
        <w:rPr>
          <w:rFonts w:ascii="Times New Roman" w:hAnsi="Times New Roman"/>
          <w:sz w:val="15"/>
        </w:rPr>
        <w:t>[7] Aquasecurity, "tfsec: Security Scanner for Terraform Code," https://github.com/aquasecurity/tfsec, 2023.</w:t>
      </w:r>
    </w:p>
    <w:p>
      <w:pPr>
        <w:jc w:val="both"/>
      </w:pPr>
      <w:r>
        <w:rPr>
          <w:rFonts w:ascii="Times New Roman" w:hAnsi="Times New Roman"/>
          <w:sz w:val="15"/>
        </w:rPr>
        <w:t>[8] Checkmarx, "KICS: Keeping Infrastructure as Code Secure," in Proc. IEEE SecDev, 2022, pp. 88–95.</w:t>
      </w:r>
    </w:p>
    <w:p>
      <w:pPr>
        <w:jc w:val="both"/>
      </w:pPr>
      <w:r>
        <w:rPr>
          <w:rFonts w:ascii="Times New Roman" w:hAnsi="Times New Roman"/>
          <w:sz w:val="15"/>
        </w:rPr>
        <w:t>[9] Aqua Security, "Trivy: Security Scanner for Containers and IaC," https://github.com/aquasecurity/trivy, 2024.</w:t>
      </w:r>
    </w:p>
    <w:p>
      <w:pPr>
        <w:jc w:val="both"/>
      </w:pPr>
      <w:r>
        <w:rPr>
          <w:rFonts w:ascii="Times New Roman" w:hAnsi="Times New Roman"/>
          <w:sz w:val="15"/>
        </w:rPr>
        <w:t>[10] C. Kumara and I. Sommerville, "Evaluating Static Security Analysis on IaC," in Proc. IEEE ICSSA, 2022, pp. 45–54.</w:t>
      </w:r>
    </w:p>
    <w:p>
      <w:pPr>
        <w:jc w:val="both"/>
      </w:pPr>
      <w:r>
        <w:rPr>
          <w:rFonts w:ascii="Times New Roman" w:hAnsi="Times New Roman"/>
          <w:sz w:val="15"/>
        </w:rPr>
        <w:t>[11] N. Borovits, Y. Gil, and E. Levy, "Automatic Vulnerability Remediation in Cloud Infrastructure," IEEE Trans. Serv. Comput., vol. 16, no. 3, pp. 1824–1837, May 2023.</w:t>
      </w:r>
    </w:p>
    <w:p>
      <w:pPr>
        <w:jc w:val="both"/>
      </w:pPr>
      <w:r>
        <w:rPr>
          <w:rFonts w:ascii="Times New Roman" w:hAnsi="Times New Roman"/>
          <w:sz w:val="15"/>
        </w:rPr>
        <w:t>[12] S. Pearce et al., "Examining Zero-Shot Vulnerability Repair with Large Language Models," in Proc. IEEE S&amp;P, 2023, pp. 2339–2356.</w:t>
      </w:r>
    </w:p>
    <w:p>
      <w:pPr>
        <w:jc w:val="both"/>
      </w:pPr>
      <w:r>
        <w:rPr>
          <w:rFonts w:ascii="Times New Roman" w:hAnsi="Times New Roman"/>
          <w:sz w:val="15"/>
        </w:rPr>
        <w:t>[13] M. Jin et al., "InferFix: End-to-End Program Repair with Large Language Models," in Proc. ACM FSE, 2023, pp. 1642–1654.</w:t>
      </w:r>
    </w:p>
    <w:p>
      <w:pPr>
        <w:jc w:val="both"/>
      </w:pPr>
      <w:r>
        <w:rPr>
          <w:rFonts w:ascii="Times New Roman" w:hAnsi="Times New Roman"/>
          <w:sz w:val="15"/>
        </w:rPr>
        <w:t>[14] C. E. Shannon, "A Mathematical Theory of Communication," Bell System Technical Journal, vol. 27, no. 3, pp. 379–423, Jul. 1948.</w:t>
      </w:r>
    </w:p>
    <w:p>
      <w:pPr>
        <w:jc w:val="both"/>
      </w:pPr>
      <w:r>
        <w:rPr>
          <w:rFonts w:ascii="Times New Roman" w:hAnsi="Times New Roman"/>
          <w:sz w:val="15"/>
        </w:rPr>
        <w:t>[15] Center for Internet Security, "CIS Amazon Web Services Foundations Benchmark v3.0.0," Dec. 2023.</w:t>
      </w:r>
    </w:p>
    <w:p>
      <w:pPr>
        <w:jc w:val="both"/>
      </w:pPr>
      <w:r>
        <w:rPr>
          <w:rFonts w:ascii="Times New Roman" w:hAnsi="Times New Roman"/>
          <w:sz w:val="15"/>
        </w:rPr>
        <w:t>[16] LocalStack Authors, "LocalStack: A Fully Functional Local Cloud Stack," https://github.com/localstack/localstack, 2024.</w:t>
      </w:r>
    </w:p>
    <w:p>
      <w:pPr>
        <w:jc w:val="both"/>
      </w:pPr>
      <w:r>
        <w:rPr>
          <w:rFonts w:ascii="Times New Roman" w:hAnsi="Times New Roman"/>
          <w:sz w:val="15"/>
        </w:rPr>
        <w:t>[17] N. Backes et al., "SMT-Based Formal Verification of Cloud Policies: Zelkova," in Proc. CAV, Springer, 2018, pp. 623–640.</w:t>
      </w:r>
    </w:p>
    <w:p>
      <w:pPr>
        <w:jc w:val="both"/>
      </w:pPr>
      <w:r>
        <w:rPr>
          <w:rFonts w:ascii="Times New Roman" w:hAnsi="Times New Roman"/>
          <w:sz w:val="15"/>
        </w:rPr>
        <w:t>[18] D. Song, H. Zhang, and X. Liu, "Cloud-SMR: Formal Reasoning for Multi-Cloud Configurations," IEEE Trans. Cloud Comput., vol. 11, no. 2, pp. 1420–1435, Apr. 2023.</w:t>
      </w:r>
    </w:p>
    <w:p>
      <w:pPr>
        <w:jc w:val="both"/>
      </w:pPr>
      <w:r>
        <w:rPr>
          <w:rFonts w:ascii="Times New Roman" w:hAnsi="Times New Roman"/>
          <w:sz w:val="15"/>
        </w:rPr>
        <w:t>[19] Z. Rice, "Gitleaks: Protect and Discover Secrets in Code," https://github.com/gitleaks/gitleaks, 2024.</w:t>
      </w:r>
    </w:p>
    <w:p>
      <w:pPr>
        <w:jc w:val="both"/>
      </w:pPr>
      <w:r>
        <w:rPr>
          <w:rFonts w:ascii="Times New Roman" w:hAnsi="Times New Roman"/>
          <w:sz w:val="15"/>
        </w:rPr>
        <w:t>[20] Truffle Security, "TruffleHog: Find Credentials Deep in Git Repositories," 2024.</w:t>
      </w:r>
    </w:p>
    <w:p>
      <w:pPr>
        <w:jc w:val="both"/>
      </w:pPr>
      <w:r>
        <w:rPr>
          <w:rFonts w:ascii="Times New Roman" w:hAnsi="Times New Roman"/>
          <w:sz w:val="15"/>
        </w:rPr>
        <w:t>[21] N. Toprani and V. Madisetti, "Automated IaC Security Framework Using Graph-Theoretic Dependency Analysis and LLMs," IEEE Access, vol. 13, pp. 18240–18258, Jan. 2025.</w:t>
      </w:r>
    </w:p>
    <w:p>
      <w:pPr>
        <w:jc w:val="both"/>
      </w:pPr>
      <w:r>
        <w:rPr>
          <w:rFonts w:ascii="Times New Roman" w:hAnsi="Times New Roman"/>
          <w:sz w:val="15"/>
        </w:rPr>
        <w:t>[22] M. Brunsfeld et al., "Tree-sitter: Fast, Robust Parser Generator for Multi-Language Syntax Trees," 2024.</w:t>
      </w:r>
    </w:p>
    <w:p>
      <w:pPr>
        <w:jc w:val="both"/>
      </w:pPr>
      <w:r>
        <w:rPr>
          <w:rFonts w:ascii="Times New Roman" w:hAnsi="Times New Roman"/>
          <w:sz w:val="15"/>
        </w:rPr>
        <w:t>[23] P. Lewis et al., "Retrieval-Augmented Generation for Knowledge-Intensive NLP Tasks," in NeurIPS, 2020, pp. 9459–9474.</w:t>
      </w:r>
    </w:p>
    <w:p>
      <w:pPr>
        <w:jc w:val="both"/>
      </w:pPr>
      <w:r>
        <w:rPr>
          <w:rFonts w:ascii="Times New Roman" w:hAnsi="Times New Roman"/>
          <w:sz w:val="15"/>
        </w:rPr>
        <w:t>[24] H. Joshi, J. Sanchez, and K. Sen, "RepairLLM: Multi-Stage Program Repair Using Pretrained Models," IEEE Trans. Softw. Eng., vol. 50, no. 2, pp. 312–329, 2024.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