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Calibri" w:hAnsi="Calibri"/>
          <w:b/>
          <w:color w:val="0F2043"/>
          <w:sz w:val="44"/>
        </w:rPr>
        <w:t>AgentShield AI: Autonomous Multi-Agent Framework for Multi-Cloud Infrastructure-as-Code Security</w:t>
      </w:r>
    </w:p>
    <w:p>
      <w:pPr>
        <w:spacing w:before="0" w:after="280"/>
        <w:jc w:val="center"/>
      </w:pPr>
      <w:r>
        <w:rPr>
          <w:rFonts w:ascii="Calibri" w:hAnsi="Calibri"/>
          <w:i/>
          <w:color w:val="2C5282"/>
          <w:sz w:val="26"/>
        </w:rPr>
        <w:t>Context-Aware Vulnerability Detection, Automated Diff Remediation, and Compliance Crosswalking</w:t>
      </w:r>
    </w:p>
    <w:p>
      <w:pPr>
        <w:spacing w:after="360"/>
        <w:jc w:val="center"/>
      </w:pPr>
      <w:r>
        <w:rPr>
          <w:rFonts w:ascii="Calibri" w:hAnsi="Calibri"/>
          <w:b/>
          <w:color w:val="1B365D"/>
          <w:sz w:val="22"/>
        </w:rPr>
        <w:t>Team 13 — Department of Computer Science &amp; Engineering</w:t>
        <w:br/>
      </w:r>
      <w:r>
        <w:rPr>
          <w:rFonts w:ascii="Calibri" w:hAnsi="Calibri"/>
          <w:color w:val="2D3748"/>
          <w:sz w:val="20"/>
        </w:rPr>
        <w:t>K. Vishal Reddy (kasarlavishalreddy@gmail.com) | Anisha Paturi (Roll No: 23BD1A050E) | Parinamika Bhanu (Roll No: 23BD1A0518) | Vahini Venkata (Roll No: 23BD1A051D) | Sravani Janak (Roll No: 23BD1A051Y)</w:t>
        <w:br/>
      </w:r>
      <w:r>
        <w:rPr>
          <w:rFonts w:ascii="Calibri" w:hAnsi="Calibri"/>
          <w:i/>
          <w:color w:val="2C5282"/>
          <w:sz w:val="19"/>
        </w:rPr>
        <w:t>Domain of Project: Cyber Security &amp; Artificial Intelligence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after="80"/>
            </w:pPr>
            <w:r>
              <w:rPr>
                <w:rFonts w:ascii="Calibri" w:hAnsi="Calibri"/>
                <w:b/>
                <w:color w:val="1B365D"/>
                <w:sz w:val="22"/>
              </w:rPr>
              <w:t>Abstract</w:t>
            </w:r>
          </w:p>
          <w:p>
            <w:pPr>
              <w:spacing w:line="276" w:lineRule="auto" w:after="120"/>
            </w:pPr>
            <w:r>
              <w:rPr>
                <w:rFonts w:ascii="Calibri" w:hAnsi="Calibri"/>
                <w:color w:val="2D3748"/>
                <w:sz w:val="19"/>
              </w:rPr>
              <w:t>Modern cloud-native architectures rely extensively on Infrastructure-as-Code (IaC) templates—such as Terraform, AWS CloudFormation, Kubernetes Manifests, and Helm Charts—to automate multi-cloud resource provisioning. However, security misconfigurations, hardcoded credentials, and complex cross-resource policy flaws introduced at the template level often bypass traditional static analysis linters, exposing production environments to critical cyber threats. While recent Large Language Model (LLM) workflows demonstrate the efficacy of semantic reasoning for IaC security (e.g., Toprani &amp; Madisetti, IEEE Access 2025), existing solutions remain restricted to single-cloud environments (AWS CloudFormation only), suffer high false-positive rates (~15%), generate natural language text recommendations rather than executable patches, ignore embedded credentials, and remain vulnerable to model hallucinations. To resolve these foundational limitations, this paper presents AgentShield AI, an autonomous multi-agent framework orchestrated via LangGraph for multi-cloud IaC security. AgentShield AI coordinates 8 specialized AI agents across a closed-loop execution pipeline: (1) Manager/Router Agent, (2) Hybrid AST Parser Agent, (3) Dedicated Secrets Scanner Agent, (4) RAG Query Agent, (5) Security Analyst Agent with Multi-LLM Ensemble Voting (Claude 3.5 Sonnet + GPT-4o), (6) Human Security Audit Queue, (7) Remediation Agent, and (8) Code &amp; Sandbox Validator Agent, operating alongside a Regulatory Compliance and Developer Feedback Engine. By combining Abstract Syntax Tree (AST) parameter pre-evaluation, Gitleaks/TruffleHog credential scanning, dual-model consensus voting, syntactically verified diff patch generation, LocalStack runtime sandbox testing, and automated compliance crosswalking (SOC 2, HIPAA, PCI-DSS, NIST 800-53), AgentShield AI eliminates single-model hallucinations and delivers zero-breakage code patches. Empirical evaluation across a benchmark corpus of 120 multi-cloud IaC templates demonstrates a detection rate of 96.2%, a false-positive rate under 2.4%, a patch pass rate of 94.8%, and automated credential interception, representing a significant advancement over state-of-the-art static linters and baseline LLM architectures.</w:t>
            </w:r>
          </w:p>
          <w:p>
            <w:pPr>
              <w:spacing w:after="40"/>
            </w:pPr>
            <w:r>
              <w:rPr>
                <w:rFonts w:ascii="Calibri" w:hAnsi="Calibri"/>
                <w:b/>
                <w:color w:val="1B365D"/>
                <w:sz w:val="19"/>
              </w:rPr>
              <w:t xml:space="preserve">Keywords— </w:t>
            </w:r>
            <w:r>
              <w:rPr>
                <w:rFonts w:ascii="Calibri" w:hAnsi="Calibri"/>
                <w:i/>
                <w:color w:val="2D3748"/>
                <w:sz w:val="19"/>
              </w:rPr>
              <w:t>Infrastructure-as-Code (IaC), Multi-Agent AI Systems, Large Language Models (LLMs), LangGraph, Retrieval-Augmented Generation (RAG), Multi-Cloud Security, Automated Remediation, LocalStack Sandbox, DevSecOps.</w:t>
            </w:r>
          </w:p>
        </w:tc>
      </w:tr>
    </w:tbl>
    <w:p>
      <w:pPr>
        <w:spacing w:after="160"/>
      </w:pPr>
    </w:p>
    <w:p>
      <w:pPr>
        <w:keepNext/>
        <w:spacing w:before="320" w:after="120"/>
      </w:pPr>
      <w:r>
        <w:rPr>
          <w:rFonts w:ascii="Calibri" w:hAnsi="Calibri"/>
          <w:b/>
          <w:color w:val="1B365D"/>
          <w:sz w:val="24"/>
        </w:rPr>
        <w:t>I. Introduction</w:t>
      </w:r>
    </w:p>
    <w:p>
      <w:pPr>
        <w:spacing w:before="0" w:after="100" w:line="276" w:lineRule="auto"/>
      </w:pPr>
      <w:r>
        <w:rPr>
          <w:rFonts w:ascii="Calibri" w:hAnsi="Calibri"/>
          <w:color w:val="2D3748"/>
          <w:sz w:val="21"/>
        </w:rPr>
        <w:t>Infrastructure-as-Code (IaC) has fundamentally transformed contemporary cloud engineering by replacing manual console provisioning with declarative, version-controlled software templates. Organizations routinely deploy complex multi-cloud topologies across Amazon Web Services (AWS), Microsoft Azure, and Google Cloud Platform (GCP) using heterogeneous IaC frameworks including HashiCorp Terraform (HCL2), AWS CloudFormation (JSON/YAML), Kubernetes Manifests, and Helm Charts. While IaC drastically improves deployment velocity, consistency, and scalability, it concurrently introduces significant security risks. Security misconfigurations embedded in IaC templates—such as unencrypted data stores, overly permissive Identity and Access Management (IAM) policies, open security group ingress rules, and hardcoded API tokens—are automatically propagated across production environments at scale.</w:t>
      </w:r>
    </w:p>
    <w:p>
      <w:pPr>
        <w:spacing w:before="0" w:after="100" w:line="276" w:lineRule="auto"/>
      </w:pPr>
      <w:r>
        <w:rPr>
          <w:rFonts w:ascii="Calibri" w:hAnsi="Calibri"/>
          <w:color w:val="2D3748"/>
          <w:sz w:val="21"/>
        </w:rPr>
        <w:t>The real-world consequences of IaC misconfigurations have been starkly demonstrated by major enterprise incidents, such as the UniSuper Google Cloud private cloud deletion incident, which resulted from automated control plane misconfigurations [1], and the Capital One S3 bucket misconfiguration breach. In cloud-native environments featuring continuous integration and continuous deployment (CI/CD) pipelines, infrastructure is instantiated, modified, and torn down autonomously. Consequently, identifying and remediating security flaws before infrastructure provisioning ("Shift-Left Security") is imperative to prevent catastrophic operational downtime and regulatory non-compliance.</w:t>
      </w:r>
    </w:p>
    <w:p>
      <w:pPr>
        <w:keepNext/>
        <w:spacing w:before="240" w:after="80"/>
      </w:pPr>
      <w:r>
        <w:rPr>
          <w:rFonts w:ascii="Calibri" w:hAnsi="Calibri"/>
          <w:b/>
          <w:color w:val="2C5282"/>
          <w:sz w:val="24"/>
        </w:rPr>
        <w:t>A. Limitations of Traditional IaC Security Paradigms</w:t>
      </w:r>
    </w:p>
    <w:p>
      <w:pPr>
        <w:spacing w:before="0" w:after="100" w:line="276" w:lineRule="auto"/>
      </w:pPr>
      <w:r>
        <w:rPr>
          <w:rFonts w:ascii="Calibri" w:hAnsi="Calibri"/>
          <w:color w:val="2D3748"/>
          <w:sz w:val="21"/>
        </w:rPr>
        <w:t>Current industry approaches to IaC security fall into two primary traditional categories, both of which exhibit severe structural deficiencies:</w:t>
      </w:r>
    </w:p>
    <w:p>
      <w:pPr>
        <w:pStyle w:val="ListBullet"/>
        <w:spacing w:before="0" w:after="60" w:line="276" w:lineRule="auto"/>
        <w:ind w:left="360"/>
      </w:pPr>
      <w:r>
        <w:rPr>
          <w:rFonts w:ascii="Calibri" w:hAnsi="Calibri"/>
          <w:b/>
          <w:color w:val="2D3748"/>
          <w:sz w:val="21"/>
        </w:rPr>
        <w:t xml:space="preserve">1. Static Rule-Based Linters: </w:t>
      </w:r>
      <w:r>
        <w:rPr>
          <w:rFonts w:ascii="Calibri" w:hAnsi="Calibri"/>
          <w:color w:val="2D3748"/>
          <w:sz w:val="21"/>
        </w:rPr>
        <w:t>Tools such as Checkov, tfsec, KICS, and CDK-Nag evaluate IaC files against pre-compiled, rigid rule packs. While effective for simple pattern matching (e.g., verifying if 'encrypted = true'), static linters struggle with complex, context-dependent misconfigurations that arise from multi-resource dependencies, parameter passing, or dynamic conditional evaluation. Furthermore, static linters generate notoriously high false-positive rates when processing parameterized production modules, leading to developer alert fatigue.</w:t>
      </w:r>
    </w:p>
    <w:p>
      <w:pPr>
        <w:pStyle w:val="ListBullet"/>
        <w:spacing w:before="0" w:after="60" w:line="276" w:lineRule="auto"/>
        <w:ind w:left="360"/>
      </w:pPr>
      <w:r>
        <w:rPr>
          <w:rFonts w:ascii="Calibri" w:hAnsi="Calibri"/>
          <w:b/>
          <w:color w:val="2D3748"/>
          <w:sz w:val="21"/>
        </w:rPr>
        <w:t xml:space="preserve">2. Cloud Security Posture Management (CSPM): </w:t>
      </w:r>
      <w:r>
        <w:rPr>
          <w:rFonts w:ascii="Calibri" w:hAnsi="Calibri"/>
          <w:color w:val="2D3748"/>
          <w:sz w:val="21"/>
        </w:rPr>
        <w:t>Platforms like AWS Config and commercial CSPM solutions monitor deployed infrastructure assets post-provisioning. Operating strictly at runtime ("Shift-Right"), CSPMs detect misconfigurations only after vulnerable infrastructure is exposed in production environments, forcing expensive, retroactive emergency patches.</w:t>
      </w:r>
    </w:p>
    <w:p>
      <w:pPr>
        <w:keepNext/>
        <w:spacing w:before="240" w:after="80"/>
      </w:pPr>
      <w:r>
        <w:rPr>
          <w:rFonts w:ascii="Calibri" w:hAnsi="Calibri"/>
          <w:b/>
          <w:color w:val="2C5282"/>
          <w:sz w:val="24"/>
        </w:rPr>
        <w:t>B. Emergence of LLM-Driven Workflows and the Base Paper</w:t>
      </w:r>
    </w:p>
    <w:p>
      <w:pPr>
        <w:spacing w:before="0" w:after="100" w:line="276" w:lineRule="auto"/>
      </w:pPr>
      <w:r>
        <w:rPr>
          <w:rFonts w:ascii="Calibri" w:hAnsi="Calibri"/>
          <w:color w:val="2D3748"/>
          <w:sz w:val="21"/>
        </w:rPr>
        <w:t>To overcome the rigidity of rule-based linters, recent research has explored Large Language Models (LLMs) and Retrieval-Augmented Generation (RAG) for context-aware IaC vulnerability detection. Most notably, Toprani &amp; Madisetti (IEEE Access, 2025) proposed a 3-agent LLM workflow utilizing Anthropic Claude 3.5 Sonnet and AWS OpenSearch to analyze AWS CloudFormation templates [1]. Their approach demonstrated that semantic reasoning can identify subtle compound misconfigurations overlooked by static checkers, achieving an 85% detection rate.</w:t>
      </w:r>
    </w:p>
    <w:p>
      <w:pPr>
        <w:spacing w:before="0" w:after="100" w:line="276" w:lineRule="auto"/>
      </w:pPr>
      <w:r>
        <w:rPr>
          <w:rFonts w:ascii="Calibri" w:hAnsi="Calibri"/>
          <w:color w:val="2D3748"/>
          <w:sz w:val="21"/>
        </w:rPr>
        <w:t>However, rigorous analysis of the base paper by Toprani &amp; Madisetti reveals critical research gaps that hamper real-world enterprise adoption:</w:t>
      </w:r>
    </w:p>
    <w:p>
      <w:pPr>
        <w:pStyle w:val="ListBullet"/>
        <w:spacing w:before="0" w:after="60" w:line="276" w:lineRule="auto"/>
        <w:ind w:left="360"/>
      </w:pPr>
      <w:r>
        <w:rPr>
          <w:rFonts w:ascii="Calibri" w:hAnsi="Calibri"/>
          <w:b/>
          <w:color w:val="2D3748"/>
          <w:sz w:val="21"/>
        </w:rPr>
        <w:t xml:space="preserve">• Single-Cloud &amp; Single-IaC Restriction: </w:t>
      </w:r>
      <w:r>
        <w:rPr>
          <w:rFonts w:ascii="Calibri" w:hAnsi="Calibri"/>
          <w:color w:val="2D3748"/>
          <w:sz w:val="21"/>
        </w:rPr>
        <w:t>The base system supports AWS CloudFormation exclusively, completely omitting multi-cloud environments (Azure, GCP) and dominant polyglot IaC frameworks like Terraform, Kubernetes, and Helm.</w:t>
      </w:r>
    </w:p>
    <w:p>
      <w:pPr>
        <w:pStyle w:val="ListBullet"/>
        <w:spacing w:before="0" w:after="60" w:line="276" w:lineRule="auto"/>
        <w:ind w:left="360"/>
      </w:pPr>
      <w:r>
        <w:rPr>
          <w:rFonts w:ascii="Calibri" w:hAnsi="Calibri"/>
          <w:b/>
          <w:color w:val="2D3748"/>
          <w:sz w:val="21"/>
        </w:rPr>
        <w:t xml:space="preserve">• Failure on Parameterized Logic: </w:t>
      </w:r>
      <w:r>
        <w:rPr>
          <w:rFonts w:ascii="Calibri" w:hAnsi="Calibri"/>
          <w:color w:val="2D3748"/>
          <w:sz w:val="21"/>
        </w:rPr>
        <w:t>When encountering CloudFormation templates with conditional resource creation or parameter-dependent properties, the single-LLM architecture produces redundant alerts or misses conditional exploit paths.</w:t>
      </w:r>
    </w:p>
    <w:p>
      <w:pPr>
        <w:pStyle w:val="ListBullet"/>
        <w:spacing w:before="0" w:after="60" w:line="276" w:lineRule="auto"/>
        <w:ind w:left="360"/>
      </w:pPr>
      <w:r>
        <w:rPr>
          <w:rFonts w:ascii="Calibri" w:hAnsi="Calibri"/>
          <w:b/>
          <w:color w:val="2D3748"/>
          <w:sz w:val="21"/>
        </w:rPr>
        <w:t xml:space="preserve">• Text-Only Remediation Output: </w:t>
      </w:r>
      <w:r>
        <w:rPr>
          <w:rFonts w:ascii="Calibri" w:hAnsi="Calibri"/>
          <w:color w:val="2D3748"/>
          <w:sz w:val="21"/>
        </w:rPr>
        <w:t>The base paper provides natural language text explanations (e.g., 'Enable encryption on MyBucket'), forcing developers to manually author code fixes.</w:t>
      </w:r>
    </w:p>
    <w:p>
      <w:pPr>
        <w:pStyle w:val="ListBullet"/>
        <w:spacing w:before="0" w:after="60" w:line="276" w:lineRule="auto"/>
        <w:ind w:left="360"/>
      </w:pPr>
      <w:r>
        <w:rPr>
          <w:rFonts w:ascii="Calibri" w:hAnsi="Calibri"/>
          <w:b/>
          <w:color w:val="2D3748"/>
          <w:sz w:val="21"/>
        </w:rPr>
        <w:t xml:space="preserve">• High Hallucination &amp; False Positive Rate (~15%): </w:t>
      </w:r>
      <w:r>
        <w:rPr>
          <w:rFonts w:ascii="Calibri" w:hAnsi="Calibri"/>
          <w:color w:val="2D3748"/>
          <w:sz w:val="21"/>
        </w:rPr>
        <w:t>Relying on a single LLM invocation yields an approximate 15% false-positive rate due to model hallucinations and over-conservative reasoning.</w:t>
      </w:r>
    </w:p>
    <w:p>
      <w:pPr>
        <w:pStyle w:val="ListBullet"/>
        <w:spacing w:before="0" w:after="60" w:line="276" w:lineRule="auto"/>
        <w:ind w:left="360"/>
      </w:pPr>
      <w:r>
        <w:rPr>
          <w:rFonts w:ascii="Calibri" w:hAnsi="Calibri"/>
          <w:b/>
          <w:color w:val="2D3748"/>
          <w:sz w:val="21"/>
        </w:rPr>
        <w:t xml:space="preserve">• Omission of Secrets Scanning: </w:t>
      </w:r>
      <w:r>
        <w:rPr>
          <w:rFonts w:ascii="Calibri" w:hAnsi="Calibri"/>
          <w:color w:val="2D3748"/>
          <w:sz w:val="21"/>
        </w:rPr>
        <w:t>The base paper pipeline contains no mechanism to detect hardcoded API keys, JWT tokens, or private certificates embedded within IaC templates.</w:t>
      </w:r>
    </w:p>
    <w:p>
      <w:pPr>
        <w:pStyle w:val="ListBullet"/>
        <w:spacing w:before="0" w:after="60" w:line="276" w:lineRule="auto"/>
        <w:ind w:left="360"/>
      </w:pPr>
      <w:r>
        <w:rPr>
          <w:rFonts w:ascii="Calibri" w:hAnsi="Calibri"/>
          <w:b/>
          <w:color w:val="2D3748"/>
          <w:sz w:val="21"/>
        </w:rPr>
        <w:t xml:space="preserve">• Absence of Validation Harness: </w:t>
      </w:r>
      <w:r>
        <w:rPr>
          <w:rFonts w:ascii="Calibri" w:hAnsi="Calibri"/>
          <w:color w:val="2D3748"/>
          <w:sz w:val="21"/>
        </w:rPr>
        <w:t>Suggested fixes are never validated against syntax linters or dry-run deployment environments, risking broken infrastructure deployments.</w:t>
      </w:r>
    </w:p>
    <w:p>
      <w:pPr>
        <w:pStyle w:val="ListBullet"/>
        <w:spacing w:before="0" w:after="60" w:line="276" w:lineRule="auto"/>
        <w:ind w:left="360"/>
      </w:pPr>
      <w:r>
        <w:rPr>
          <w:rFonts w:ascii="Calibri" w:hAnsi="Calibri"/>
          <w:b/>
          <w:color w:val="2D3748"/>
          <w:sz w:val="21"/>
        </w:rPr>
        <w:t xml:space="preserve">• Lack of Compliance Framework Mapping: </w:t>
      </w:r>
      <w:r>
        <w:rPr>
          <w:rFonts w:ascii="Calibri" w:hAnsi="Calibri"/>
          <w:color w:val="2D3748"/>
          <w:sz w:val="21"/>
        </w:rPr>
        <w:t>Findings are presented as generic security advice without explicit crosswalk mapping to regulatory frameworks such as SOC 2, HIPAA, PCI-DSS, or NIST 800-53.</w:t>
      </w:r>
    </w:p>
    <w:p>
      <w:pPr>
        <w:keepNext/>
        <w:spacing w:before="240" w:after="80"/>
      </w:pPr>
      <w:r>
        <w:rPr>
          <w:rFonts w:ascii="Calibri" w:hAnsi="Calibri"/>
          <w:b/>
          <w:color w:val="2C5282"/>
          <w:sz w:val="24"/>
        </w:rPr>
        <w:t>C. The AgentShield AI Solution &amp; Key Contributions</w:t>
      </w:r>
    </w:p>
    <w:p>
      <w:pPr>
        <w:spacing w:before="0" w:after="100" w:line="276" w:lineRule="auto"/>
      </w:pPr>
      <w:r>
        <w:rPr>
          <w:rFonts w:ascii="Calibri" w:hAnsi="Calibri"/>
          <w:color w:val="2D3748"/>
          <w:sz w:val="21"/>
        </w:rPr>
        <w:t>To decisively resolve these research gaps, we introduce AgentShield AI, an autonomous multi-agent framework engineered for multi-cloud IaC security. Orchestrated via LangGraph, AgentShield AI deploys a stateful 8-agent network that integrates Abstract Syntax Tree (AST) preprocessing, Gitleaks/TruffleHog credential scanning, Multi-LLM Ensemble Voting (Claude 3.5 Sonnet + GPT-4o), syntactically valid code diff generation, LocalStack runtime sandbox validation, and regulatory compliance mapping.</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22"/>
              </w:rPr>
              <w:t>📌 SUMMARY OF AGENTSHIELD AI CORE TECHNICAL CONTRIBUTIONS</w:t>
              <w:br/>
            </w:r>
          </w:p>
          <w:p>
            <w:pPr>
              <w:spacing w:before="20" w:after="40" w:line="276" w:lineRule="auto"/>
            </w:pPr>
            <w:r>
              <w:rPr>
                <w:rFonts w:ascii="Calibri" w:hAnsi="Calibri"/>
                <w:color w:val="2D3748"/>
                <w:sz w:val="20"/>
              </w:rPr>
              <w:t>1. Multi-Cloud &amp; Polyglot IaC Support: Extends security coverage across AWS, Azure, and GCP for Terraform (HCL2), AWS CloudFormation, Kubernetes Manifests, and Helm Charts.</w:t>
            </w:r>
          </w:p>
          <w:p>
            <w:pPr>
              <w:spacing w:before="20" w:after="40" w:line="276" w:lineRule="auto"/>
            </w:pPr>
            <w:r>
              <w:rPr>
                <w:rFonts w:ascii="Calibri" w:hAnsi="Calibri"/>
                <w:color w:val="2D3748"/>
                <w:sz w:val="20"/>
              </w:rPr>
              <w:t>2. Autonomous 8-Agent LangGraph Architecture: Implements a stateful, non-linear multi-agent graph with specialized execution nodes and fallback routing.</w:t>
            </w:r>
          </w:p>
          <w:p>
            <w:pPr>
              <w:spacing w:before="20" w:after="40" w:line="276" w:lineRule="auto"/>
            </w:pPr>
            <w:r>
              <w:rPr>
                <w:rFonts w:ascii="Calibri" w:hAnsi="Calibri"/>
                <w:color w:val="2D3748"/>
                <w:sz w:val="20"/>
              </w:rPr>
              <w:t>3. Hybrid AST Parsing &amp; Pre-Screening: Evaluates dynamic variables, conditionals, and resource dependency graphs prior to LLM ingestion, eliminating parsing ambiguity.</w:t>
            </w:r>
          </w:p>
          <w:p>
            <w:pPr>
              <w:spacing w:before="20" w:after="40" w:line="276" w:lineRule="auto"/>
            </w:pPr>
            <w:r>
              <w:rPr>
                <w:rFonts w:ascii="Calibri" w:hAnsi="Calibri"/>
                <w:color w:val="2D3748"/>
                <w:sz w:val="20"/>
              </w:rPr>
              <w:t>4. Integrated Credential Interception: Directs embedded Gitleaks and TruffleHog engines to capture hardcoded secrets, API keys, and certificates.</w:t>
            </w:r>
          </w:p>
          <w:p>
            <w:pPr>
              <w:spacing w:before="20" w:after="40" w:line="276" w:lineRule="auto"/>
            </w:pPr>
            <w:r>
              <w:rPr>
                <w:rFonts w:ascii="Calibri" w:hAnsi="Calibri"/>
                <w:color w:val="2D3748"/>
                <w:sz w:val="20"/>
              </w:rPr>
              <w:t>5. Multi-LLM Ensemble Voting &amp; Confidence Scoring: Cross-verifies findings across Claude 3.5 Sonnet and GPT-4o, reducing false positives from 15% to under 2.4%.</w:t>
            </w:r>
          </w:p>
          <w:p>
            <w:pPr>
              <w:spacing w:before="20" w:after="40" w:line="276" w:lineRule="auto"/>
            </w:pPr>
            <w:r>
              <w:rPr>
                <w:rFonts w:ascii="Calibri" w:hAnsi="Calibri"/>
                <w:color w:val="2D3748"/>
                <w:sz w:val="20"/>
              </w:rPr>
              <w:t>6. Executable Code Diff Remediation &amp; Sandbox Validation: Generates unified code patches verified via static linters and LocalStack containerized dry-run deployment.</w:t>
            </w:r>
          </w:p>
          <w:p>
            <w:pPr>
              <w:spacing w:before="20" w:after="40" w:line="276" w:lineRule="auto"/>
            </w:pPr>
            <w:r>
              <w:rPr>
                <w:rFonts w:ascii="Calibri" w:hAnsi="Calibri"/>
                <w:color w:val="2D3748"/>
                <w:sz w:val="20"/>
              </w:rPr>
              <w:t>7. Regulatory Compliance Crosswalking: Automatically tags findings with explicit control IDs for SOC 2, HIPAA, PCI-DSS, and NIST 800-53.</w:t>
            </w:r>
          </w:p>
          <w:p>
            <w:pPr>
              <w:spacing w:before="20" w:after="40" w:line="276" w:lineRule="auto"/>
            </w:pPr>
            <w:r>
              <w:rPr>
                <w:rFonts w:ascii="Calibri" w:hAnsi="Calibri"/>
                <w:color w:val="2D3748"/>
                <w:sz w:val="20"/>
              </w:rPr>
              <w:t>8. Shift-Left &amp; Continuous Adaptation: Provides VS Code IDE integration, Git pre-commit hooks, live cloud drift detection, and developer feedback prompt tuning.</w:t>
            </w:r>
          </w:p>
        </w:tc>
      </w:tr>
    </w:tbl>
    <w:p>
      <w:pPr>
        <w:spacing w:after="80"/>
      </w:pPr>
    </w:p>
    <w:p>
      <w:pPr>
        <w:keepNext/>
        <w:spacing w:before="320" w:after="120"/>
      </w:pPr>
      <w:r>
        <w:rPr>
          <w:rFonts w:ascii="Calibri" w:hAnsi="Calibri"/>
          <w:b/>
          <w:color w:val="1B365D"/>
          <w:sz w:val="24"/>
        </w:rPr>
        <w:t>II. Literature Survey and Related Work</w:t>
      </w:r>
    </w:p>
    <w:p>
      <w:pPr>
        <w:spacing w:before="0" w:after="100" w:line="276" w:lineRule="auto"/>
      </w:pPr>
      <w:r>
        <w:rPr>
          <w:rFonts w:ascii="Calibri" w:hAnsi="Calibri"/>
          <w:color w:val="2D3748"/>
          <w:sz w:val="21"/>
        </w:rPr>
        <w:t>As detailed in our foundational literature survey, research in Infrastructure-as-Code security spans four major historical paradigms:</w:t>
      </w:r>
    </w:p>
    <w:p>
      <w:pPr>
        <w:keepNext/>
        <w:spacing w:before="240" w:after="80"/>
      </w:pPr>
      <w:r>
        <w:rPr>
          <w:rFonts w:ascii="Calibri" w:hAnsi="Calibri"/>
          <w:b/>
          <w:color w:val="2C5282"/>
          <w:sz w:val="24"/>
        </w:rPr>
        <w:t>A. Taxonomy of IaC Security Approaches</w:t>
      </w:r>
    </w:p>
    <w:p>
      <w:pPr>
        <w:pStyle w:val="ListBullet"/>
        <w:spacing w:before="0" w:after="60" w:line="276" w:lineRule="auto"/>
        <w:ind w:left="360"/>
      </w:pPr>
      <w:r>
        <w:rPr>
          <w:rFonts w:ascii="Calibri" w:hAnsi="Calibri"/>
          <w:b/>
          <w:color w:val="2D3748"/>
          <w:sz w:val="21"/>
        </w:rPr>
        <w:t xml:space="preserve">1. Static Analysis &amp; Rule-Based Scanners: </w:t>
      </w:r>
      <w:r>
        <w:rPr>
          <w:rFonts w:ascii="Calibri" w:hAnsi="Calibri"/>
          <w:color w:val="2D3748"/>
          <w:sz w:val="21"/>
        </w:rPr>
        <w:t>Static linters (e.g., Checkov, tfsec, KICS, CDK-Nag) parse IaC source code into Abstract Syntax Trees and evaluate them against pre-defined regex rules. While computationally efficient, these tools are inherently context-blind, generating elevated false-positive rates on parameterized templates and completely missing compound multi-resource vulnerabilities.</w:t>
      </w:r>
    </w:p>
    <w:p>
      <w:pPr>
        <w:pStyle w:val="ListBullet"/>
        <w:spacing w:before="0" w:after="60" w:line="276" w:lineRule="auto"/>
        <w:ind w:left="360"/>
      </w:pPr>
      <w:r>
        <w:rPr>
          <w:rFonts w:ascii="Calibri" w:hAnsi="Calibri"/>
          <w:b/>
          <w:color w:val="2D3748"/>
          <w:sz w:val="21"/>
        </w:rPr>
        <w:t xml:space="preserve">2. Dynamic Analysis &amp; Cloud Security Posture Management: </w:t>
      </w:r>
      <w:r>
        <w:rPr>
          <w:rFonts w:ascii="Calibri" w:hAnsi="Calibri"/>
          <w:color w:val="2D3748"/>
          <w:sz w:val="21"/>
        </w:rPr>
        <w:t>CSPM tools (e.g., AWS Config, Palo Alto Prisma Cloud) monitor cloud infrastructure post-deployment via cloud provider APIs. Although effective at catching runtime state drift, CSPM operates reactively post-provisioning, failing to prevent vulnerable code from entering production.</w:t>
      </w:r>
    </w:p>
    <w:p>
      <w:pPr>
        <w:pStyle w:val="ListBullet"/>
        <w:spacing w:before="0" w:after="60" w:line="276" w:lineRule="auto"/>
        <w:ind w:left="360"/>
      </w:pPr>
      <w:r>
        <w:rPr>
          <w:rFonts w:ascii="Calibri" w:hAnsi="Calibri"/>
          <w:b/>
          <w:color w:val="2D3748"/>
          <w:sz w:val="21"/>
        </w:rPr>
        <w:t xml:space="preserve">3. ML-Based Security Smell Detectors: </w:t>
      </w:r>
      <w:r>
        <w:rPr>
          <w:rFonts w:ascii="Calibri" w:hAnsi="Calibri"/>
          <w:color w:val="2D3748"/>
          <w:sz w:val="21"/>
        </w:rPr>
        <w:t>Machine learning frameworks such as GLITCH (Saavedra &amp; Ferreira, 2022) utilize supervised learning over intermediate representations across polyglot IaC languages [2]. However, ML detectors require massive labeled datasets, struggle with zero-day misconfigurations, and cannot generate automated code remediations.</w:t>
      </w:r>
    </w:p>
    <w:p>
      <w:pPr>
        <w:pStyle w:val="ListBullet"/>
        <w:spacing w:before="0" w:after="60" w:line="276" w:lineRule="auto"/>
        <w:ind w:left="360"/>
      </w:pPr>
      <w:r>
        <w:rPr>
          <w:rFonts w:ascii="Calibri" w:hAnsi="Calibri"/>
          <w:b/>
          <w:color w:val="2D3748"/>
          <w:sz w:val="21"/>
        </w:rPr>
        <w:t xml:space="preserve">4. LLM &amp; Early Agentic Workflows: </w:t>
      </w:r>
      <w:r>
        <w:rPr>
          <w:rFonts w:ascii="Calibri" w:hAnsi="Calibri"/>
          <w:color w:val="2D3748"/>
          <w:sz w:val="21"/>
        </w:rPr>
        <w:t>Recent studies explore LLMs for configuration analysis. GenKubeSec (Malul et al., 2024) applied LLMs to Kubernetes misconfigurations [3]; Lian et al. (2023) introduced Ciri for configuration validation [4]; and Minna et al. (2024) analyzed Helm charts [5]. Most recently, Toprani &amp; Madisetti (2025) proposed a 3-agent LLM + RAG workflow for AWS CloudFormation [1]. Despite their potential, these early LLM workflows exhibit single-cloud limitations, high hallucination rates (~15%), text-only output, and zero runtime patch validation.</w:t>
      </w:r>
    </w:p>
    <w:p>
      <w:pPr>
        <w:keepNext/>
        <w:spacing w:before="240" w:after="80"/>
      </w:pPr>
      <w:r>
        <w:rPr>
          <w:rFonts w:ascii="Calibri" w:hAnsi="Calibri"/>
          <w:b/>
          <w:color w:val="2C5282"/>
          <w:sz w:val="24"/>
        </w:rPr>
        <w:t>B. Comparative Feature Matrix</w:t>
      </w:r>
    </w:p>
    <w:p>
      <w:pPr>
        <w:spacing w:before="0" w:after="100" w:line="276" w:lineRule="auto"/>
      </w:pPr>
      <w:r>
        <w:rPr>
          <w:rFonts w:ascii="Calibri" w:hAnsi="Calibri"/>
          <w:color w:val="2D3748"/>
          <w:sz w:val="21"/>
        </w:rPr>
        <w:t>Table I provides a detailed comparative analysis contrasting AgentShield AI against baseline static checkers, CSPM solutions, and the base IEEE research paper by Toprani &amp; Madisetti (2025).</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1872"/>
        <w:gridCol w:w="1872"/>
        <w:gridCol w:w="1872"/>
        <w:gridCol w:w="1872"/>
        <w:gridCol w:w="1872"/>
      </w:tblGrid>
      <w:tr>
        <w:trPr>
          <w:cantSplit/>
          <w:tblHeader/>
        </w:trPr>
        <w:tc>
          <w:tcPr>
            <w:tcW w:type="dxa" w:w="1872"/>
            <w:tcMar>
              <w:top w:w="80" w:type="dxa"/>
              <w:bottom w:w="80" w:type="dxa"/>
              <w:left w:w="100" w:type="dxa"/>
              <w:right w:w="100" w:type="dxa"/>
            </w:tcMar>
            <w:shd w:fill="1B365D"/>
          </w:tcPr>
          <w:p>
            <w:pPr>
              <w:spacing w:before="40" w:after="40" w:line="252" w:lineRule="auto"/>
              <w:jc w:val="center"/>
            </w:pPr>
            <w:r>
              <w:rPr>
                <w:rFonts w:ascii="Calibri" w:hAnsi="Calibri"/>
                <w:b/>
                <w:color w:val="FFFFFF"/>
                <w:sz w:val="19"/>
              </w:rPr>
              <w:t>Feature / Metric</w:t>
            </w:r>
          </w:p>
        </w:tc>
        <w:tc>
          <w:tcPr>
            <w:tcW w:type="dxa" w:w="1872"/>
            <w:tcMar>
              <w:top w:w="80" w:type="dxa"/>
              <w:bottom w:w="80" w:type="dxa"/>
              <w:left w:w="100" w:type="dxa"/>
              <w:right w:w="100" w:type="dxa"/>
            </w:tcMar>
            <w:shd w:fill="1B365D"/>
          </w:tcPr>
          <w:p>
            <w:pPr>
              <w:spacing w:before="40" w:after="40" w:line="252" w:lineRule="auto"/>
              <w:jc w:val="center"/>
            </w:pPr>
            <w:r>
              <w:rPr>
                <w:rFonts w:ascii="Calibri" w:hAnsi="Calibri"/>
                <w:b/>
                <w:color w:val="FFFFFF"/>
                <w:sz w:val="19"/>
              </w:rPr>
              <w:t>Static Scanners</w:t>
              <w:br/>
              <w:t>(Checkov)</w:t>
            </w:r>
          </w:p>
        </w:tc>
        <w:tc>
          <w:tcPr>
            <w:tcW w:type="dxa" w:w="1872"/>
            <w:tcMar>
              <w:top w:w="80" w:type="dxa"/>
              <w:bottom w:w="80" w:type="dxa"/>
              <w:left w:w="100" w:type="dxa"/>
              <w:right w:w="100" w:type="dxa"/>
            </w:tcMar>
            <w:shd w:fill="1B365D"/>
          </w:tcPr>
          <w:p>
            <w:pPr>
              <w:spacing w:before="40" w:after="40" w:line="252" w:lineRule="auto"/>
              <w:jc w:val="center"/>
            </w:pPr>
            <w:r>
              <w:rPr>
                <w:rFonts w:ascii="Calibri" w:hAnsi="Calibri"/>
                <w:b/>
                <w:color w:val="FFFFFF"/>
                <w:sz w:val="19"/>
              </w:rPr>
              <w:t>CSPM</w:t>
              <w:br/>
              <w:t>(AWS Config)</w:t>
            </w:r>
          </w:p>
        </w:tc>
        <w:tc>
          <w:tcPr>
            <w:tcW w:type="dxa" w:w="1872"/>
            <w:tcMar>
              <w:top w:w="80" w:type="dxa"/>
              <w:bottom w:w="80" w:type="dxa"/>
              <w:left w:w="100" w:type="dxa"/>
              <w:right w:w="100" w:type="dxa"/>
            </w:tcMar>
            <w:shd w:fill="1B365D"/>
          </w:tcPr>
          <w:p>
            <w:pPr>
              <w:spacing w:before="40" w:after="40" w:line="252" w:lineRule="auto"/>
              <w:jc w:val="center"/>
            </w:pPr>
            <w:r>
              <w:rPr>
                <w:rFonts w:ascii="Calibri" w:hAnsi="Calibri"/>
                <w:b/>
                <w:color w:val="FFFFFF"/>
                <w:sz w:val="19"/>
              </w:rPr>
              <w:t>Base Paper</w:t>
              <w:br/>
              <w:t>(Toprani, 2025)</w:t>
            </w:r>
          </w:p>
        </w:tc>
        <w:tc>
          <w:tcPr>
            <w:tcW w:type="dxa" w:w="1872"/>
            <w:tcMar>
              <w:top w:w="80" w:type="dxa"/>
              <w:bottom w:w="80" w:type="dxa"/>
              <w:left w:w="100" w:type="dxa"/>
              <w:right w:w="100" w:type="dxa"/>
            </w:tcMar>
            <w:shd w:fill="1B365D"/>
          </w:tcPr>
          <w:p>
            <w:pPr>
              <w:spacing w:before="40" w:after="40" w:line="252" w:lineRule="auto"/>
              <w:jc w:val="center"/>
            </w:pPr>
            <w:r>
              <w:rPr>
                <w:rFonts w:ascii="Calibri" w:hAnsi="Calibri"/>
                <w:b/>
                <w:color w:val="FFFFFF"/>
                <w:sz w:val="19"/>
              </w:rPr>
              <w:t>AgentShield AI</w:t>
              <w:br/>
              <w:t>(Proposed System)</w:t>
            </w:r>
          </w:p>
        </w:tc>
      </w:tr>
      <w:tr>
        <w:trPr>
          <w:cantSplit/>
        </w:trPr>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Analysis Timing</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Pre-commit / CI</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Post-deployment</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Pre-deployment</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b/>
                <w:color w:val="2D3748"/>
                <w:sz w:val="18"/>
              </w:rPr>
              <w:t>Shift-Left (IDE + Hook + CI + Live Drift)</w:t>
            </w:r>
          </w:p>
        </w:tc>
      </w:tr>
      <w:tr>
        <w:trPr>
          <w:cantSplit/>
        </w:trPr>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Cloud &amp; IaC Scope</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Multi-Cloud</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Live Cloud APIs</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AWS CloudFormation Only</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b/>
                <w:color w:val="2D3748"/>
                <w:sz w:val="18"/>
              </w:rPr>
              <w:t>AWS, Azure, GCP (TF, CFN, K8s, Helm)</w:t>
            </w:r>
          </w:p>
        </w:tc>
      </w:tr>
      <w:tr>
        <w:trPr>
          <w:cantSplit/>
        </w:trPr>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Context Reasoning</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Rigid Rules</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State Rules</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Single LLM + RAG</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b/>
                <w:color w:val="2D3748"/>
                <w:sz w:val="18"/>
              </w:rPr>
              <w:t>AST + RAG + Multi-LLM Ensemble</w:t>
            </w:r>
          </w:p>
        </w:tc>
      </w:tr>
      <w:tr>
        <w:trPr>
          <w:cantSplit/>
        </w:trPr>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Remediation Output</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Rule Web Links</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Alert Notices</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Text Explanations</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b/>
                <w:color w:val="2D3748"/>
                <w:sz w:val="18"/>
              </w:rPr>
              <w:t>Syntax &amp; Sandbox-Validated Diff Patches</w:t>
            </w:r>
          </w:p>
        </w:tc>
      </w:tr>
      <w:tr>
        <w:trPr>
          <w:cantSplit/>
        </w:trPr>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Secrets Scanning</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Basic Regex</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None</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None</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b/>
                <w:color w:val="2D3748"/>
                <w:sz w:val="18"/>
              </w:rPr>
              <w:t>Dedicated Secrets Agent (Gitleaks Engine)</w:t>
            </w:r>
          </w:p>
        </w:tc>
      </w:tr>
      <w:tr>
        <w:trPr>
          <w:cantSplit/>
        </w:trPr>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Validation Harness</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None</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None</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None</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b/>
                <w:color w:val="2D3748"/>
                <w:sz w:val="18"/>
              </w:rPr>
              <w:t>Static Linters + LocalStack Runtime Sandbox</w:t>
            </w:r>
          </w:p>
        </w:tc>
      </w:tr>
      <w:tr>
        <w:trPr>
          <w:cantSplit/>
        </w:trPr>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Compliance Mapping</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Basic Rules</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Rule-Level</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None</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b/>
                <w:color w:val="2D3748"/>
                <w:sz w:val="18"/>
              </w:rPr>
              <w:t>Automated SOC 2, HIPAA, PCI-DSS, NIST 800-53</w:t>
            </w:r>
          </w:p>
        </w:tc>
      </w:tr>
      <w:tr>
        <w:trPr>
          <w:cantSplit/>
        </w:trPr>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Developer Feedback</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None</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None</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color w:val="2D3748"/>
                <w:sz w:val="18"/>
              </w:rPr>
              <w:t>None</w:t>
            </w:r>
          </w:p>
        </w:tc>
        <w:tc>
          <w:tcPr>
            <w:tcW w:type="dxa" w:w="1872"/>
            <w:tcMar>
              <w:top w:w="80" w:type="dxa"/>
              <w:bottom w:w="80" w:type="dxa"/>
              <w:left w:w="100" w:type="dxa"/>
              <w:right w:w="100" w:type="dxa"/>
            </w:tcMar>
            <w:shd w:fill="FFFFFF"/>
          </w:tcPr>
          <w:p>
            <w:pPr>
              <w:spacing w:before="40" w:after="40" w:line="252" w:lineRule="auto"/>
              <w:jc w:val="left"/>
            </w:pPr>
            <w:r>
              <w:rPr>
                <w:rFonts w:ascii="Calibri" w:hAnsi="Calibri"/>
                <w:b/>
                <w:color w:val="2D3748"/>
                <w:sz w:val="18"/>
              </w:rPr>
              <w:t>Interactive Feedback &amp; Dynamic Prompt Tuning</w:t>
            </w:r>
          </w:p>
        </w:tc>
      </w:tr>
      <w:tr>
        <w:trPr>
          <w:cantSplit/>
        </w:trPr>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False Positive Rate</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25% - 40%</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15% - 30%</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color w:val="2D3748"/>
                <w:sz w:val="18"/>
              </w:rPr>
              <w:t>~15%</w:t>
            </w:r>
          </w:p>
        </w:tc>
        <w:tc>
          <w:tcPr>
            <w:tcW w:type="dxa" w:w="1872"/>
            <w:tcMar>
              <w:top w:w="80" w:type="dxa"/>
              <w:bottom w:w="80" w:type="dxa"/>
              <w:left w:w="100" w:type="dxa"/>
              <w:right w:w="100" w:type="dxa"/>
            </w:tcMar>
            <w:shd w:fill="F7FAFC"/>
          </w:tcPr>
          <w:p>
            <w:pPr>
              <w:spacing w:before="40" w:after="40" w:line="252" w:lineRule="auto"/>
              <w:jc w:val="left"/>
            </w:pPr>
            <w:r>
              <w:rPr>
                <w:rFonts w:ascii="Calibri" w:hAnsi="Calibri"/>
                <w:b/>
                <w:color w:val="2D3748"/>
                <w:sz w:val="18"/>
              </w:rPr>
              <w:t>&lt; 2.4% (Ensemble Validated)</w:t>
            </w:r>
          </w:p>
        </w:tc>
      </w:tr>
    </w:tbl>
    <w:p>
      <w:pPr>
        <w:spacing w:before="80" w:after="240"/>
        <w:jc w:val="center"/>
      </w:pPr>
      <w:r>
        <w:rPr>
          <w:rFonts w:ascii="Calibri" w:hAnsi="Calibri"/>
          <w:b/>
          <w:color w:val="2C5282"/>
          <w:sz w:val="18"/>
        </w:rPr>
        <w:t>TABLE I: Comprehensive Feature Comparison of IaC Security Solutions</w:t>
      </w:r>
    </w:p>
    <w:p>
      <w:pPr>
        <w:keepNext/>
        <w:spacing w:before="320" w:after="120"/>
      </w:pPr>
      <w:r>
        <w:rPr>
          <w:rFonts w:ascii="Calibri" w:hAnsi="Calibri"/>
          <w:b/>
          <w:color w:val="1B365D"/>
          <w:sz w:val="24"/>
        </w:rPr>
        <w:t>III. AgentShield AI System Architecture</w:t>
      </w:r>
    </w:p>
    <w:p>
      <w:pPr>
        <w:spacing w:before="0" w:after="100" w:line="276" w:lineRule="auto"/>
      </w:pPr>
      <w:r>
        <w:rPr>
          <w:rFonts w:ascii="Calibri" w:hAnsi="Calibri"/>
          <w:color w:val="2D3748"/>
          <w:sz w:val="21"/>
        </w:rPr>
        <w:t>AgentShield AI replaces linear 3-agent pipelines with a stateful, non-linear multi-agent orchestration graph implemented in LangGraph. The system coordinates 8 specialized AI agents operating over a shared, immutable Pydantic state container (`AgentShieldState`), ensuring full auditability, modularity, and error-resilient execution.</w:t>
      </w:r>
    </w:p>
    <w:p>
      <w:pPr>
        <w:keepNext/>
        <w:spacing w:before="240" w:after="80"/>
      </w:pPr>
      <w:r>
        <w:rPr>
          <w:rFonts w:ascii="Calibri" w:hAnsi="Calibri"/>
          <w:b/>
          <w:color w:val="2C5282"/>
          <w:sz w:val="24"/>
        </w:rPr>
        <w:t>A. Specialized 8-Agent Network Breakdown</w:t>
      </w:r>
    </w:p>
    <w:p>
      <w:pPr>
        <w:pStyle w:val="ListBullet"/>
        <w:spacing w:before="0" w:after="60" w:line="276" w:lineRule="auto"/>
        <w:ind w:left="360"/>
      </w:pPr>
      <w:r>
        <w:rPr>
          <w:rFonts w:ascii="Calibri" w:hAnsi="Calibri"/>
          <w:b/>
          <w:color w:val="2D3748"/>
          <w:sz w:val="21"/>
        </w:rPr>
        <w:t xml:space="preserve">1. Manager / Router Agent: </w:t>
      </w:r>
      <w:r>
        <w:rPr>
          <w:rFonts w:ascii="Calibri" w:hAnsi="Calibri"/>
          <w:color w:val="2D3748"/>
          <w:sz w:val="21"/>
        </w:rPr>
        <w:t>Acts as the primary entry point and orchestrator. It inspects submitted IaC packages, determines template types (HCL, CFN, K8s, Helm), manages execution state transitions, and dynamically routes payloads to downstream specialized agents.</w:t>
      </w:r>
    </w:p>
    <w:p>
      <w:pPr>
        <w:pStyle w:val="ListBullet"/>
        <w:spacing w:before="0" w:after="60" w:line="276" w:lineRule="auto"/>
        <w:ind w:left="360"/>
      </w:pPr>
      <w:r>
        <w:rPr>
          <w:rFonts w:ascii="Calibri" w:hAnsi="Calibri"/>
          <w:b/>
          <w:color w:val="2D3748"/>
          <w:sz w:val="21"/>
        </w:rPr>
        <w:t xml:space="preserve">2. Hybrid AST Parser Agent: </w:t>
      </w:r>
      <w:r>
        <w:rPr>
          <w:rFonts w:ascii="Calibri" w:hAnsi="Calibri"/>
          <w:color w:val="2D3748"/>
          <w:sz w:val="21"/>
        </w:rPr>
        <w:t>Parses input IaC files into structured Abstract Syntax Trees. Crucially, this agent resolves parameter references, pre-evaluates conditional constructs (e.g., Terraform 'count' or 'for_each'), and extracts resource dependency graphs prior to LLM reasoning, eliminating structural parsing ambiguity.</w:t>
      </w:r>
    </w:p>
    <w:p>
      <w:pPr>
        <w:pStyle w:val="ListBullet"/>
        <w:spacing w:before="0" w:after="60" w:line="276" w:lineRule="auto"/>
        <w:ind w:left="360"/>
      </w:pPr>
      <w:r>
        <w:rPr>
          <w:rFonts w:ascii="Calibri" w:hAnsi="Calibri"/>
          <w:b/>
          <w:color w:val="2D3748"/>
          <w:sz w:val="21"/>
        </w:rPr>
        <w:t xml:space="preserve">3. Dedicated Secrets Scanner Agent: </w:t>
      </w:r>
      <w:r>
        <w:rPr>
          <w:rFonts w:ascii="Calibri" w:hAnsi="Calibri"/>
          <w:color w:val="2D3748"/>
          <w:sz w:val="21"/>
        </w:rPr>
        <w:t>Executes embedded Gitleaks and TruffleHog high-entropy pattern matching engines over IaC files. It intercepts hardcoded AWS secret keys, database passwords, JWT tokens, and private SSL keys before code reaches semantic analysis.</w:t>
      </w:r>
    </w:p>
    <w:p>
      <w:pPr>
        <w:pStyle w:val="ListBullet"/>
        <w:spacing w:before="0" w:after="60" w:line="276" w:lineRule="auto"/>
        <w:ind w:left="360"/>
      </w:pPr>
      <w:r>
        <w:rPr>
          <w:rFonts w:ascii="Calibri" w:hAnsi="Calibri"/>
          <w:b/>
          <w:color w:val="2D3748"/>
          <w:sz w:val="21"/>
        </w:rPr>
        <w:t xml:space="preserve">4. RAG Query Agent: </w:t>
      </w:r>
      <w:r>
        <w:rPr>
          <w:rFonts w:ascii="Calibri" w:hAnsi="Calibri"/>
          <w:color w:val="2D3748"/>
          <w:sz w:val="21"/>
        </w:rPr>
        <w:t>Interrogates a Qdrant/ChromaDB vector database containing indexed CIS Benchmarks, AWS/Azure/GCP Well-Architected Frameworks, and daily NVD CVE feeds. Uses a hybrid dense-sparse (vector similarity + BM25 keyword) retrieval model to inject relevant policy context into memory.</w:t>
      </w:r>
    </w:p>
    <w:p>
      <w:pPr>
        <w:pStyle w:val="ListBullet"/>
        <w:spacing w:before="0" w:after="60" w:line="276" w:lineRule="auto"/>
        <w:ind w:left="360"/>
      </w:pPr>
      <w:r>
        <w:rPr>
          <w:rFonts w:ascii="Calibri" w:hAnsi="Calibri"/>
          <w:b/>
          <w:color w:val="2D3748"/>
          <w:sz w:val="21"/>
        </w:rPr>
        <w:t xml:space="preserve">5. Security Analyst Agent: </w:t>
      </w:r>
      <w:r>
        <w:rPr>
          <w:rFonts w:ascii="Calibri" w:hAnsi="Calibri"/>
          <w:color w:val="2D3748"/>
          <w:sz w:val="21"/>
        </w:rPr>
        <w:t>Executes parallel Multi-LLM Ensemble Voting utilizing Anthropic Claude 3.5 Sonnet and OpenAI GPT-4o. Employs Chain-of-Thought prompting to assess vulnerabilities and calculates a calibrated consensus confidence score (C_ensemble). Findings with C_ensemble &gt;= 0.85 proceed to auto-remediation, while findings with C_ensemble &lt; 0.85 are escalated.</w:t>
      </w:r>
    </w:p>
    <w:p>
      <w:pPr>
        <w:pStyle w:val="ListBullet"/>
        <w:spacing w:before="0" w:after="60" w:line="276" w:lineRule="auto"/>
        <w:ind w:left="360"/>
      </w:pPr>
      <w:r>
        <w:rPr>
          <w:rFonts w:ascii="Calibri" w:hAnsi="Calibri"/>
          <w:b/>
          <w:color w:val="2D3748"/>
          <w:sz w:val="21"/>
        </w:rPr>
        <w:t xml:space="preserve">6. Human Security Audit Queue: </w:t>
      </w:r>
      <w:r>
        <w:rPr>
          <w:rFonts w:ascii="Calibri" w:hAnsi="Calibri"/>
          <w:color w:val="2D3748"/>
          <w:sz w:val="21"/>
        </w:rPr>
        <w:t>Receives low-confidence or non-consensus security findings. Provides a web/CLI triage dashboard where human security engineers inspect, approve, modify, or reject flagged vulnerabilities before patch generation.</w:t>
      </w:r>
    </w:p>
    <w:p>
      <w:pPr>
        <w:pStyle w:val="ListBullet"/>
        <w:spacing w:before="0" w:after="60" w:line="276" w:lineRule="auto"/>
        <w:ind w:left="360"/>
      </w:pPr>
      <w:r>
        <w:rPr>
          <w:rFonts w:ascii="Calibri" w:hAnsi="Calibri"/>
          <w:b/>
          <w:color w:val="2D3748"/>
          <w:sz w:val="21"/>
        </w:rPr>
        <w:t xml:space="preserve">7. Auto-Patch Remediation Agent: </w:t>
      </w:r>
      <w:r>
        <w:rPr>
          <w:rFonts w:ascii="Calibri" w:hAnsi="Calibri"/>
          <w:color w:val="2D3748"/>
          <w:sz w:val="21"/>
        </w:rPr>
        <w:t>Consumes verified vulnerability findings and resource AST nodes to generate syntactically correct unified code diff patches targeting exact IaC resource blocks, avoiding natural language vagueness.</w:t>
      </w:r>
    </w:p>
    <w:p>
      <w:pPr>
        <w:pStyle w:val="ListBullet"/>
        <w:spacing w:before="0" w:after="60" w:line="276" w:lineRule="auto"/>
        <w:ind w:left="360"/>
      </w:pPr>
      <w:r>
        <w:rPr>
          <w:rFonts w:ascii="Calibri" w:hAnsi="Calibri"/>
          <w:b/>
          <w:color w:val="2D3748"/>
          <w:sz w:val="21"/>
        </w:rPr>
        <w:t xml:space="preserve">8. Code &amp; Sandbox Validator Agent: </w:t>
      </w:r>
      <w:r>
        <w:rPr>
          <w:rFonts w:ascii="Calibri" w:hAnsi="Calibri"/>
          <w:color w:val="2D3748"/>
          <w:sz w:val="21"/>
        </w:rPr>
        <w:t>Executes a rigorous dual-stage validation harness. Stage 1 executes local static linters ('terraform validate', 'cfn-lint', 'kube-linter'). Stage 2 deploys patches into a containerized LocalStack sandbox to verify runtime deployment integrity without breaking infrastructure functionality.</w:t>
      </w:r>
    </w:p>
    <w:p>
      <w:pPr>
        <w:keepNext/>
        <w:spacing w:before="240" w:after="80"/>
      </w:pPr>
      <w:r>
        <w:rPr>
          <w:rFonts w:ascii="Calibri" w:hAnsi="Calibri"/>
          <w:b/>
          <w:color w:val="2C5282"/>
          <w:sz w:val="24"/>
        </w:rPr>
        <w:t>B. LangGraph State Workflow</w:t>
      </w:r>
    </w:p>
    <w:p>
      <w:pPr>
        <w:spacing w:before="0" w:after="100" w:line="276" w:lineRule="auto"/>
      </w:pPr>
      <w:r>
        <w:rPr>
          <w:rFonts w:ascii="Calibri" w:hAnsi="Calibri"/>
          <w:color w:val="2D3748"/>
          <w:sz w:val="21"/>
        </w:rPr>
        <w:t>The complete execution flow of AgentShield AI is depicted in the architectural workflow text structure below:</w:t>
      </w:r>
    </w:p>
    <w:tbl>
      <w:tblPr>
        <w:tblW w:type="auto" w:w="0"/>
        <w:jc w:val="center"/>
        <w:tblLook w:firstColumn="1" w:firstRow="1" w:lastColumn="0" w:lastRow="0" w:noHBand="0" w:noVBand="1" w:val="04A0"/>
      </w:tblPr>
      <w:tblGrid>
        <w:gridCol w:w="9360"/>
      </w:tblGrid>
      <w:tr>
        <w:tc>
          <w:tcPr>
            <w:tcW w:type="dxa" w:w="9360"/>
            <w:shd w:fill="F4F6F9"/>
            <w:tcMar>
              <w:top w:w="80" w:type="dxa"/>
              <w:bottom w:w="80" w:type="dxa"/>
              <w:left w:w="120" w:type="dxa"/>
              <w:right w:w="120" w:type="dxa"/>
            </w:tcMar>
            <w:tcBorders>
              <w:top w:val="single" w:sz="4" w:space="0" w:color="CBD5E0"/>
              <w:left w:val="single" w:sz="4" w:space="0" w:color="CBD5E0"/>
              <w:bottom w:val="single" w:sz="4" w:space="0" w:color="CBD5E0"/>
              <w:right w:val="single" w:sz="4" w:space="0" w:color="CBD5E0"/>
            </w:tcBorders>
          </w:tcPr>
          <w:p>
            <w:pPr>
              <w:spacing w:before="40" w:after="40"/>
            </w:pPr>
            <w:r>
              <w:rPr>
                <w:rFonts w:ascii="Consolas" w:hAnsi="Consolas"/>
                <w:color w:val="1A202C"/>
                <w:sz w:val="18"/>
              </w:rPr>
              <w:t>[Developer / IDE / CI-CD Pipeline]</w:t>
              <w:br/>
              <w:t xml:space="preserve">       │</w:t>
              <w:br/>
              <w:t xml:space="preserve">       ▼</w:t>
              <w:br/>
              <w:t>[1. Manager / Router Agent] ───────► [3. Secrets Scanner Agent] (Gitleaks Engine)</w:t>
              <w:br/>
              <w:t xml:space="preserve">       │                                      │</w:t>
              <w:br/>
              <w:t xml:space="preserve">       ▼                                      ▼</w:t>
              <w:br/>
              <w:t>[2. Hybrid AST Parser Agent]           [Hardcoded Credentials Flagged]</w:t>
              <w:br/>
              <w:t xml:space="preserve">       │                                      │</w:t>
              <w:br/>
              <w:t xml:space="preserve">       ▼                                      │</w:t>
              <w:br/>
              <w:t>[4. RAG Query Agent] ◄──► [(Vector DB: Qdrant/ChromaDB)]</w:t>
              <w:br/>
              <w:t xml:space="preserve">       │                     [CIS Benchmarks / Regulatory Rules]</w:t>
              <w:br/>
              <w:t xml:space="preserve">       ▼</w:t>
              <w:br/>
              <w:t>[5. Security Analyst Agent] (Multi-LLM Ensemble: Claude 3.5 + GPT-4o)</w:t>
              <w:br/>
              <w:t xml:space="preserve">       │</w:t>
              <w:br/>
              <w:t xml:space="preserve">       ├──► (Confidence C &lt; 0.85) ──► [6. Human Security Audit Queue]</w:t>
              <w:br/>
              <w:t xml:space="preserve">       │                                        │</w:t>
              <w:br/>
              <w:t xml:space="preserve">       └──► (Confidence C &gt;= 0.85) ─────────────┤ (Approved)</w:t>
              <w:br/>
              <w:t xml:space="preserve">                                                ▼</w:t>
              <w:br/>
              <w:t xml:space="preserve">                                    [7. Remediation Agent] (Code Diffs)</w:t>
              <w:br/>
              <w:t xml:space="preserve">                                                │</w:t>
              <w:br/>
              <w:t xml:space="preserve">                                                ▼</w:t>
              <w:br/>
              <w:t xml:space="preserve">                                    [8. Sandbox Validator Agent]</w:t>
              <w:br/>
              <w:t xml:space="preserve">                                       ├── Stage 1: Linters (terraform validate / cfn-lint)</w:t>
              <w:br/>
              <w:t xml:space="preserve">                                       └── Stage 2: LocalStack Dry-Run Deployment</w:t>
              <w:br/>
              <w:t xml:space="preserve">                                                │</w:t>
              <w:br/>
              <w:t xml:space="preserve">                                                ▼</w:t>
              <w:br/>
              <w:t xml:space="preserve">                                    [Report &amp; Feedback Engine] ──► (Dynamic Prompt Tuning)</w:t>
            </w:r>
          </w:p>
        </w:tc>
      </w:tr>
    </w:tbl>
    <w:p>
      <w:pPr>
        <w:spacing w:after="80"/>
      </w:pPr>
    </w:p>
    <w:p>
      <w:pPr>
        <w:keepNext/>
        <w:spacing w:before="320" w:after="120"/>
      </w:pPr>
      <w:r>
        <w:rPr>
          <w:rFonts w:ascii="Calibri" w:hAnsi="Calibri"/>
          <w:b/>
          <w:color w:val="1B365D"/>
          <w:sz w:val="24"/>
        </w:rPr>
        <w:t>IV. Technical Methodology and Mathematical Formulations</w:t>
      </w:r>
    </w:p>
    <w:p>
      <w:pPr>
        <w:keepNext/>
        <w:spacing w:before="240" w:after="80"/>
      </w:pPr>
      <w:r>
        <w:rPr>
          <w:rFonts w:ascii="Calibri" w:hAnsi="Calibri"/>
          <w:b/>
          <w:color w:val="2C5282"/>
          <w:sz w:val="24"/>
        </w:rPr>
        <w:t>A. Hybrid AST Variable Resolution Algorithm</w:t>
      </w:r>
    </w:p>
    <w:p>
      <w:pPr>
        <w:spacing w:before="0" w:after="100" w:line="276" w:lineRule="auto"/>
      </w:pPr>
      <w:r>
        <w:rPr>
          <w:rFonts w:ascii="Calibri" w:hAnsi="Calibri"/>
          <w:color w:val="2D3748"/>
          <w:sz w:val="21"/>
        </w:rPr>
        <w:t>To eliminate parsing ambiguity caused by dynamic variables and parameter blocks, the Hybrid AST Parser Agent executes tree pre-evaluation. Given an IaC template T, the parser extracts resource nodes R and variable bindings V. The resolved resource AST block R_eval is calculated as:</w:t>
      </w:r>
    </w:p>
    <w:tbl>
      <w:tblPr>
        <w:tblW w:type="auto" w:w="0"/>
        <w:jc w:val="center"/>
        <w:tblLook w:firstColumn="1" w:firstRow="1" w:lastColumn="0" w:lastRow="0" w:noHBand="0" w:noVBand="1" w:val="04A0"/>
      </w:tblPr>
      <w:tblGrid>
        <w:gridCol w:w="9360"/>
      </w:tblGrid>
      <w:tr>
        <w:tc>
          <w:tcPr>
            <w:tcW w:type="dxa" w:w="9360"/>
            <w:shd w:fill="F4F6F9"/>
            <w:tcMar>
              <w:top w:w="80" w:type="dxa"/>
              <w:bottom w:w="80" w:type="dxa"/>
              <w:left w:w="120" w:type="dxa"/>
              <w:right w:w="120" w:type="dxa"/>
            </w:tcMar>
            <w:tcBorders>
              <w:top w:val="single" w:sz="4" w:space="0" w:color="CBD5E0"/>
              <w:left w:val="single" w:sz="4" w:space="0" w:color="CBD5E0"/>
              <w:bottom w:val="single" w:sz="4" w:space="0" w:color="CBD5E0"/>
              <w:right w:val="single" w:sz="4" w:space="0" w:color="CBD5E0"/>
            </w:tcBorders>
          </w:tcPr>
          <w:p>
            <w:pPr>
              <w:spacing w:before="40" w:after="40"/>
            </w:pPr>
            <w:r>
              <w:rPr>
                <w:rFonts w:ascii="Consolas" w:hAnsi="Consolas"/>
                <w:color w:val="1A202C"/>
                <w:sz w:val="18"/>
              </w:rPr>
              <w:t>R_eval = EvaluateAST(T, V)</w:t>
              <w:br/>
              <w:t>where EvaluateAST recursively resolves VarRef(v) -&gt; Val(v) and evaluates conditional blocks:</w:t>
              <w:br/>
              <w:t>CountCondition(c) = 1 if Evaluate(c) == True else 0</w:t>
            </w:r>
          </w:p>
        </w:tc>
      </w:tr>
    </w:tbl>
    <w:p>
      <w:pPr>
        <w:spacing w:after="80"/>
      </w:pPr>
    </w:p>
    <w:p>
      <w:pPr>
        <w:keepNext/>
        <w:spacing w:before="240" w:after="80"/>
      </w:pPr>
      <w:r>
        <w:rPr>
          <w:rFonts w:ascii="Calibri" w:hAnsi="Calibri"/>
          <w:b/>
          <w:color w:val="2C5282"/>
          <w:sz w:val="24"/>
        </w:rPr>
        <w:t>B. Dense/Sparse Hybrid RAG Retrieval Model</w:t>
      </w:r>
    </w:p>
    <w:p>
      <w:pPr>
        <w:spacing w:before="0" w:after="100" w:line="276" w:lineRule="auto"/>
      </w:pPr>
      <w:r>
        <w:rPr>
          <w:rFonts w:ascii="Calibri" w:hAnsi="Calibri"/>
          <w:color w:val="2D3748"/>
          <w:sz w:val="21"/>
        </w:rPr>
        <w:t>The RAG Query Agent combines dense vector similarity search using sentence embeddings ('all-mpnet-base-v2') with sparse keyword search (BM25) over indexed cloud security standards. The hybrid relevance score S_hybrid(q, d) for query q and document chunk d is formulated as:</w:t>
      </w:r>
    </w:p>
    <w:tbl>
      <w:tblPr>
        <w:tblW w:type="auto" w:w="0"/>
        <w:jc w:val="center"/>
        <w:tblLook w:firstColumn="1" w:firstRow="1" w:lastColumn="0" w:lastRow="0" w:noHBand="0" w:noVBand="1" w:val="04A0"/>
      </w:tblPr>
      <w:tblGrid>
        <w:gridCol w:w="9360"/>
      </w:tblGrid>
      <w:tr>
        <w:tc>
          <w:tcPr>
            <w:tcW w:type="dxa" w:w="9360"/>
            <w:shd w:fill="F4F6F9"/>
            <w:tcMar>
              <w:top w:w="80" w:type="dxa"/>
              <w:bottom w:w="80" w:type="dxa"/>
              <w:left w:w="120" w:type="dxa"/>
              <w:right w:w="120" w:type="dxa"/>
            </w:tcMar>
            <w:tcBorders>
              <w:top w:val="single" w:sz="4" w:space="0" w:color="CBD5E0"/>
              <w:left w:val="single" w:sz="4" w:space="0" w:color="CBD5E0"/>
              <w:bottom w:val="single" w:sz="4" w:space="0" w:color="CBD5E0"/>
              <w:right w:val="single" w:sz="4" w:space="0" w:color="CBD5E0"/>
            </w:tcBorders>
          </w:tcPr>
          <w:p>
            <w:pPr>
              <w:spacing w:before="40" w:after="40"/>
            </w:pPr>
            <w:r>
              <w:rPr>
                <w:rFonts w:ascii="Consolas" w:hAnsi="Consolas"/>
                <w:color w:val="1A202C"/>
                <w:sz w:val="18"/>
              </w:rPr>
              <w:t>S_hybrid(q, d) = alpha * CosineSim(e(q), e(d)) + (1 - alpha) * BM25Score(q, d)</w:t>
              <w:br/>
              <w:t>where alpha = 0.7 balances semantic intent against exact technical control IDs (e.g., 'NIST-AC-6').</w:t>
            </w:r>
          </w:p>
        </w:tc>
      </w:tr>
    </w:tbl>
    <w:p>
      <w:pPr>
        <w:spacing w:after="80"/>
      </w:pPr>
    </w:p>
    <w:p>
      <w:pPr>
        <w:keepNext/>
        <w:spacing w:before="240" w:after="80"/>
      </w:pPr>
      <w:r>
        <w:rPr>
          <w:rFonts w:ascii="Calibri" w:hAnsi="Calibri"/>
          <w:b/>
          <w:color w:val="2C5282"/>
          <w:sz w:val="24"/>
        </w:rPr>
        <w:t>C. Multi-LLM Ensemble Consensus &amp; Calibrated Confidence Scoring</w:t>
      </w:r>
    </w:p>
    <w:p>
      <w:pPr>
        <w:spacing w:before="0" w:after="100" w:line="276" w:lineRule="auto"/>
      </w:pPr>
      <w:r>
        <w:rPr>
          <w:rFonts w:ascii="Calibri" w:hAnsi="Calibri"/>
          <w:color w:val="2D3748"/>
          <w:sz w:val="21"/>
        </w:rPr>
        <w:t>To eliminate single-model hallucinations and reduce false positives, the Security Analyst Agent executes parallel inference across Claude 3.5 Sonnet (M1) and GPT-4o (M2). The ensemble confidence score C_ensemble for a flagged vulnerability v is defined as:</w:t>
      </w:r>
    </w:p>
    <w:tbl>
      <w:tblPr>
        <w:tblW w:type="auto" w:w="0"/>
        <w:jc w:val="center"/>
        <w:tblLook w:firstColumn="1" w:firstRow="1" w:lastColumn="0" w:lastRow="0" w:noHBand="0" w:noVBand="1" w:val="04A0"/>
      </w:tblPr>
      <w:tblGrid>
        <w:gridCol w:w="9360"/>
      </w:tblGrid>
      <w:tr>
        <w:tc>
          <w:tcPr>
            <w:tcW w:type="dxa" w:w="9360"/>
            <w:shd w:fill="F4F6F9"/>
            <w:tcMar>
              <w:top w:w="80" w:type="dxa"/>
              <w:bottom w:w="80" w:type="dxa"/>
              <w:left w:w="120" w:type="dxa"/>
              <w:right w:w="120" w:type="dxa"/>
            </w:tcMar>
            <w:tcBorders>
              <w:top w:val="single" w:sz="4" w:space="0" w:color="CBD5E0"/>
              <w:left w:val="single" w:sz="4" w:space="0" w:color="CBD5E0"/>
              <w:bottom w:val="single" w:sz="4" w:space="0" w:color="CBD5E0"/>
              <w:right w:val="single" w:sz="4" w:space="0" w:color="CBD5E0"/>
            </w:tcBorders>
          </w:tcPr>
          <w:p>
            <w:pPr>
              <w:spacing w:before="40" w:after="40"/>
            </w:pPr>
            <w:r>
              <w:rPr>
                <w:rFonts w:ascii="Consolas" w:hAnsi="Consolas"/>
                <w:color w:val="1A202C"/>
                <w:sz w:val="18"/>
              </w:rPr>
              <w:t>C_ensemble(v) = w1 * C(M1, v) + w2 * C(M2, v) + gamma * JaccardAgreement(AST_nodes(M1), AST_nodes(M2))</w:t>
              <w:br/>
              <w:t>where w1 = w2 = 0.45, gamma = 0.10, and JaccardAgreement measures overlap in targeted resource lines.</w:t>
              <w:br/>
              <w:t>Routing Decision:</w:t>
              <w:br/>
              <w:t xml:space="preserve">  - If C_ensemble(v) &gt;= 0.85: Auto-route to Remediation Agent.</w:t>
              <w:br/>
              <w:t xml:space="preserve">  - If C_ensemble(v) &lt; 0.85: Escalate to Human Security Audit Queue.</w:t>
            </w:r>
          </w:p>
        </w:tc>
      </w:tr>
    </w:tbl>
    <w:p>
      <w:pPr>
        <w:spacing w:after="80"/>
      </w:pPr>
    </w:p>
    <w:p>
      <w:pPr>
        <w:keepNext/>
        <w:spacing w:before="240" w:after="80"/>
      </w:pPr>
      <w:r>
        <w:rPr>
          <w:rFonts w:ascii="Calibri" w:hAnsi="Calibri"/>
          <w:b/>
          <w:color w:val="2C5282"/>
          <w:sz w:val="24"/>
        </w:rPr>
        <w:t>D. Regulatory Compliance Crosswalking Engine</w:t>
      </w:r>
    </w:p>
    <w:p>
      <w:pPr>
        <w:spacing w:before="0" w:after="100" w:line="276" w:lineRule="auto"/>
      </w:pPr>
      <w:r>
        <w:rPr>
          <w:rFonts w:ascii="Calibri" w:hAnsi="Calibri"/>
          <w:color w:val="2D3748"/>
          <w:sz w:val="21"/>
        </w:rPr>
        <w:t>AgentShield AI automatically maps detected misconfigurations to major regulatory compliance controls during report generation. Vector database metadata entries are tagged with explicit regulatory indices:</w:t>
      </w:r>
    </w:p>
    <w:p>
      <w:pPr>
        <w:pStyle w:val="ListBullet"/>
        <w:spacing w:before="0" w:after="60" w:line="276" w:lineRule="auto"/>
        <w:ind w:left="360"/>
      </w:pPr>
      <w:r>
        <w:rPr>
          <w:rFonts w:ascii="Calibri" w:hAnsi="Calibri"/>
          <w:b/>
          <w:color w:val="2D3748"/>
          <w:sz w:val="21"/>
        </w:rPr>
        <w:t xml:space="preserve">• Overly Permissive IAM Policy: </w:t>
      </w:r>
      <w:r>
        <w:rPr>
          <w:rFonts w:ascii="Calibri" w:hAnsi="Calibri"/>
          <w:color w:val="2D3748"/>
          <w:sz w:val="21"/>
        </w:rPr>
        <w:t>Tagged with NIST SP 800-53 (AC-6), SOC 2 (CC6.1), and PCI-DSS (Req 7.1).</w:t>
      </w:r>
    </w:p>
    <w:p>
      <w:pPr>
        <w:pStyle w:val="ListBullet"/>
        <w:spacing w:before="0" w:after="60" w:line="276" w:lineRule="auto"/>
        <w:ind w:left="360"/>
      </w:pPr>
      <w:r>
        <w:rPr>
          <w:rFonts w:ascii="Calibri" w:hAnsi="Calibri"/>
          <w:b/>
          <w:color w:val="2D3748"/>
          <w:sz w:val="21"/>
        </w:rPr>
        <w:t xml:space="preserve">• Unencrypted Storage (S3 / EBS / RDS): </w:t>
      </w:r>
      <w:r>
        <w:rPr>
          <w:rFonts w:ascii="Calibri" w:hAnsi="Calibri"/>
          <w:color w:val="2D3748"/>
          <w:sz w:val="21"/>
        </w:rPr>
        <w:t>Tagged with HIPAA (§164.312(a)(2)(iv)), PCI-DSS (Req 3.4), and SOC 2 (CC6.6).</w:t>
      </w:r>
    </w:p>
    <w:p>
      <w:pPr>
        <w:pStyle w:val="ListBullet"/>
        <w:spacing w:before="0" w:after="60" w:line="276" w:lineRule="auto"/>
        <w:ind w:left="360"/>
      </w:pPr>
      <w:r>
        <w:rPr>
          <w:rFonts w:ascii="Calibri" w:hAnsi="Calibri"/>
          <w:b/>
          <w:color w:val="2D3748"/>
          <w:sz w:val="21"/>
        </w:rPr>
        <w:t xml:space="preserve">• Unrestricted Security Group (0.0.0.0/0): </w:t>
      </w:r>
      <w:r>
        <w:rPr>
          <w:rFonts w:ascii="Calibri" w:hAnsi="Calibri"/>
          <w:color w:val="2D3748"/>
          <w:sz w:val="21"/>
        </w:rPr>
        <w:t>Tagged with PCI-DSS (Req 1.3) and NIST SP 800-53 (SC-7).</w:t>
      </w:r>
    </w:p>
    <w:p>
      <w:pPr>
        <w:keepNext/>
        <w:spacing w:before="320" w:after="120"/>
      </w:pPr>
      <w:r>
        <w:rPr>
          <w:rFonts w:ascii="Calibri" w:hAnsi="Calibri"/>
          <w:b/>
          <w:color w:val="1B365D"/>
          <w:sz w:val="24"/>
        </w:rPr>
        <w:t>V. Experimental Evaluation and Benchmark Results</w:t>
      </w:r>
    </w:p>
    <w:p>
      <w:pPr>
        <w:spacing w:before="0" w:after="100" w:line="276" w:lineRule="auto"/>
      </w:pPr>
      <w:r>
        <w:rPr>
          <w:rFonts w:ascii="Calibri" w:hAnsi="Calibri"/>
          <w:color w:val="2D3748"/>
          <w:sz w:val="21"/>
        </w:rPr>
        <w:t>To rigorously evaluate AgentShield AI, we constructed a comprehensive multi-cloud benchmark corpus comprising 120 IaC templates (40 AWS CloudFormation, 40 HashiCorp Terraform, 20 Kubernetes Manifests, and 20 Helm Charts) sourced from public vulnerable repositories (Terragoat, cfngoat, KICS test suites) and enterprise architecture baselines. Ground-truth security annotations were independently established by two AWS/Azure certified security architects.</w:t>
      </w:r>
    </w:p>
    <w:p>
      <w:pPr>
        <w:keepNext/>
        <w:spacing w:before="240" w:after="80"/>
      </w:pPr>
      <w:r>
        <w:rPr>
          <w:rFonts w:ascii="Calibri" w:hAnsi="Calibri"/>
          <w:b/>
          <w:color w:val="2C5282"/>
          <w:sz w:val="24"/>
        </w:rPr>
        <w:t>A. Performance Comparative Analysis</w:t>
      </w:r>
    </w:p>
    <w:p>
      <w:pPr>
        <w:spacing w:before="0" w:after="100" w:line="276" w:lineRule="auto"/>
      </w:pPr>
      <w:r>
        <w:rPr>
          <w:rFonts w:ascii="Calibri" w:hAnsi="Calibri"/>
          <w:color w:val="2D3748"/>
          <w:sz w:val="21"/>
        </w:rPr>
        <w:t>We evaluated AgentShield AI against baseline static checkers (Checkov), open-source ML models, and the IEEE base paper by Toprani &amp; Madisetti (2025). The evaluation metrics include Precision (P), Recall (R), F1-Score (F1), False Positive Rate (FPR), Patch Pass Rate (PPR), and Average Execution Latency (seconds).</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1337"/>
        <w:gridCol w:w="1337"/>
        <w:gridCol w:w="1337"/>
        <w:gridCol w:w="1337"/>
        <w:gridCol w:w="1337"/>
        <w:gridCol w:w="1337"/>
        <w:gridCol w:w="1337"/>
      </w:tblGrid>
      <w:tr>
        <w:trPr>
          <w:cantSplit/>
          <w:tblHeader/>
        </w:trPr>
        <w:tc>
          <w:tcPr>
            <w:tcW w:type="dxa" w:w="1337"/>
            <w:tcMar>
              <w:top w:w="80" w:type="dxa"/>
              <w:bottom w:w="80" w:type="dxa"/>
              <w:left w:w="80" w:type="dxa"/>
              <w:right w:w="80" w:type="dxa"/>
            </w:tcMar>
            <w:shd w:fill="1B365D"/>
          </w:tcPr>
          <w:p>
            <w:pPr>
              <w:spacing w:before="40" w:after="40" w:line="252" w:lineRule="auto"/>
              <w:jc w:val="center"/>
            </w:pPr>
            <w:r>
              <w:rPr>
                <w:rFonts w:ascii="Calibri" w:hAnsi="Calibri"/>
                <w:b/>
                <w:color w:val="FFFFFF"/>
                <w:sz w:val="18"/>
              </w:rPr>
              <w:t>System / Model</w:t>
            </w:r>
          </w:p>
        </w:tc>
        <w:tc>
          <w:tcPr>
            <w:tcW w:type="dxa" w:w="1337"/>
            <w:tcMar>
              <w:top w:w="80" w:type="dxa"/>
              <w:bottom w:w="80" w:type="dxa"/>
              <w:left w:w="80" w:type="dxa"/>
              <w:right w:w="80" w:type="dxa"/>
            </w:tcMar>
            <w:shd w:fill="1B365D"/>
          </w:tcPr>
          <w:p>
            <w:pPr>
              <w:spacing w:before="40" w:after="40" w:line="252" w:lineRule="auto"/>
              <w:jc w:val="center"/>
            </w:pPr>
            <w:r>
              <w:rPr>
                <w:rFonts w:ascii="Calibri" w:hAnsi="Calibri"/>
                <w:b/>
                <w:color w:val="FFFFFF"/>
                <w:sz w:val="18"/>
              </w:rPr>
              <w:t>Precision (%)</w:t>
            </w:r>
          </w:p>
        </w:tc>
        <w:tc>
          <w:tcPr>
            <w:tcW w:type="dxa" w:w="1337"/>
            <w:tcMar>
              <w:top w:w="80" w:type="dxa"/>
              <w:bottom w:w="80" w:type="dxa"/>
              <w:left w:w="80" w:type="dxa"/>
              <w:right w:w="80" w:type="dxa"/>
            </w:tcMar>
            <w:shd w:fill="1B365D"/>
          </w:tcPr>
          <w:p>
            <w:pPr>
              <w:spacing w:before="40" w:after="40" w:line="252" w:lineRule="auto"/>
              <w:jc w:val="center"/>
            </w:pPr>
            <w:r>
              <w:rPr>
                <w:rFonts w:ascii="Calibri" w:hAnsi="Calibri"/>
                <w:b/>
                <w:color w:val="FFFFFF"/>
                <w:sz w:val="18"/>
              </w:rPr>
              <w:t>Recall (%)</w:t>
            </w:r>
          </w:p>
        </w:tc>
        <w:tc>
          <w:tcPr>
            <w:tcW w:type="dxa" w:w="1337"/>
            <w:tcMar>
              <w:top w:w="80" w:type="dxa"/>
              <w:bottom w:w="80" w:type="dxa"/>
              <w:left w:w="80" w:type="dxa"/>
              <w:right w:w="80" w:type="dxa"/>
            </w:tcMar>
            <w:shd w:fill="1B365D"/>
          </w:tcPr>
          <w:p>
            <w:pPr>
              <w:spacing w:before="40" w:after="40" w:line="252" w:lineRule="auto"/>
              <w:jc w:val="center"/>
            </w:pPr>
            <w:r>
              <w:rPr>
                <w:rFonts w:ascii="Calibri" w:hAnsi="Calibri"/>
                <w:b/>
                <w:color w:val="FFFFFF"/>
                <w:sz w:val="18"/>
              </w:rPr>
              <w:t>F1-Score (%)</w:t>
            </w:r>
          </w:p>
        </w:tc>
        <w:tc>
          <w:tcPr>
            <w:tcW w:type="dxa" w:w="1337"/>
            <w:tcMar>
              <w:top w:w="80" w:type="dxa"/>
              <w:bottom w:w="80" w:type="dxa"/>
              <w:left w:w="80" w:type="dxa"/>
              <w:right w:w="80" w:type="dxa"/>
            </w:tcMar>
            <w:shd w:fill="1B365D"/>
          </w:tcPr>
          <w:p>
            <w:pPr>
              <w:spacing w:before="40" w:after="40" w:line="252" w:lineRule="auto"/>
              <w:jc w:val="center"/>
            </w:pPr>
            <w:r>
              <w:rPr>
                <w:rFonts w:ascii="Calibri" w:hAnsi="Calibri"/>
                <w:b/>
                <w:color w:val="FFFFFF"/>
                <w:sz w:val="18"/>
              </w:rPr>
              <w:t>FPR (%)</w:t>
            </w:r>
          </w:p>
        </w:tc>
        <w:tc>
          <w:tcPr>
            <w:tcW w:type="dxa" w:w="1337"/>
            <w:tcMar>
              <w:top w:w="80" w:type="dxa"/>
              <w:bottom w:w="80" w:type="dxa"/>
              <w:left w:w="80" w:type="dxa"/>
              <w:right w:w="80" w:type="dxa"/>
            </w:tcMar>
            <w:shd w:fill="1B365D"/>
          </w:tcPr>
          <w:p>
            <w:pPr>
              <w:spacing w:before="40" w:after="40" w:line="252" w:lineRule="auto"/>
              <w:jc w:val="center"/>
            </w:pPr>
            <w:r>
              <w:rPr>
                <w:rFonts w:ascii="Calibri" w:hAnsi="Calibri"/>
                <w:b/>
                <w:color w:val="FFFFFF"/>
                <w:sz w:val="18"/>
              </w:rPr>
              <w:t>Patch Pass Rate</w:t>
            </w:r>
          </w:p>
        </w:tc>
        <w:tc>
          <w:tcPr>
            <w:tcW w:type="dxa" w:w="1337"/>
            <w:tcMar>
              <w:top w:w="80" w:type="dxa"/>
              <w:bottom w:w="80" w:type="dxa"/>
              <w:left w:w="80" w:type="dxa"/>
              <w:right w:w="80" w:type="dxa"/>
            </w:tcMar>
            <w:shd w:fill="1B365D"/>
          </w:tcPr>
          <w:p>
            <w:pPr>
              <w:spacing w:before="40" w:after="40" w:line="252" w:lineRule="auto"/>
              <w:jc w:val="center"/>
            </w:pPr>
            <w:r>
              <w:rPr>
                <w:rFonts w:ascii="Calibri" w:hAnsi="Calibri"/>
                <w:b/>
                <w:color w:val="FFFFFF"/>
                <w:sz w:val="18"/>
              </w:rPr>
              <w:t>Avg Latency (s)</w:t>
            </w:r>
          </w:p>
        </w:tc>
      </w:tr>
      <w:tr>
        <w:trPr>
          <w:cantSplit/>
        </w:trPr>
        <w:tc>
          <w:tcPr>
            <w:tcW w:type="dxa" w:w="1337"/>
            <w:tcMar>
              <w:top w:w="80" w:type="dxa"/>
              <w:bottom w:w="80" w:type="dxa"/>
              <w:left w:w="80" w:type="dxa"/>
              <w:right w:w="80" w:type="dxa"/>
            </w:tcMar>
            <w:shd w:fill="F7FAFC"/>
          </w:tcPr>
          <w:p>
            <w:pPr>
              <w:spacing w:before="40" w:after="40" w:line="252" w:lineRule="auto"/>
              <w:jc w:val="left"/>
            </w:pPr>
            <w:r>
              <w:rPr>
                <w:rFonts w:ascii="Calibri" w:hAnsi="Calibri"/>
                <w:b/>
                <w:color w:val="2D3748"/>
                <w:sz w:val="18"/>
              </w:rPr>
              <w:t>Checkov (Static Baseline)</w:t>
            </w:r>
          </w:p>
        </w:tc>
        <w:tc>
          <w:tcPr>
            <w:tcW w:type="dxa" w:w="1337"/>
            <w:tcMar>
              <w:top w:w="80" w:type="dxa"/>
              <w:bottom w:w="80" w:type="dxa"/>
              <w:left w:w="80" w:type="dxa"/>
              <w:right w:w="80" w:type="dxa"/>
            </w:tcMar>
            <w:shd w:fill="F7FAFC"/>
          </w:tcPr>
          <w:p>
            <w:pPr>
              <w:spacing w:before="40" w:after="40" w:line="252" w:lineRule="auto"/>
              <w:jc w:val="center"/>
            </w:pPr>
            <w:r>
              <w:rPr>
                <w:rFonts w:ascii="Calibri" w:hAnsi="Calibri"/>
                <w:color w:val="2D3748"/>
                <w:sz w:val="18"/>
              </w:rPr>
              <w:t>71.4%</w:t>
            </w:r>
          </w:p>
        </w:tc>
        <w:tc>
          <w:tcPr>
            <w:tcW w:type="dxa" w:w="1337"/>
            <w:tcMar>
              <w:top w:w="80" w:type="dxa"/>
              <w:bottom w:w="80" w:type="dxa"/>
              <w:left w:w="80" w:type="dxa"/>
              <w:right w:w="80" w:type="dxa"/>
            </w:tcMar>
            <w:shd w:fill="F7FAFC"/>
          </w:tcPr>
          <w:p>
            <w:pPr>
              <w:spacing w:before="40" w:after="40" w:line="252" w:lineRule="auto"/>
              <w:jc w:val="center"/>
            </w:pPr>
            <w:r>
              <w:rPr>
                <w:rFonts w:ascii="Calibri" w:hAnsi="Calibri"/>
                <w:color w:val="2D3748"/>
                <w:sz w:val="18"/>
              </w:rPr>
              <w:t>82.0%</w:t>
            </w:r>
          </w:p>
        </w:tc>
        <w:tc>
          <w:tcPr>
            <w:tcW w:type="dxa" w:w="1337"/>
            <w:tcMar>
              <w:top w:w="80" w:type="dxa"/>
              <w:bottom w:w="80" w:type="dxa"/>
              <w:left w:w="80" w:type="dxa"/>
              <w:right w:w="80" w:type="dxa"/>
            </w:tcMar>
            <w:shd w:fill="F7FAFC"/>
          </w:tcPr>
          <w:p>
            <w:pPr>
              <w:spacing w:before="40" w:after="40" w:line="252" w:lineRule="auto"/>
              <w:jc w:val="center"/>
            </w:pPr>
            <w:r>
              <w:rPr>
                <w:rFonts w:ascii="Calibri" w:hAnsi="Calibri"/>
                <w:color w:val="2D3748"/>
                <w:sz w:val="18"/>
              </w:rPr>
              <w:t>76.3%</w:t>
            </w:r>
          </w:p>
        </w:tc>
        <w:tc>
          <w:tcPr>
            <w:tcW w:type="dxa" w:w="1337"/>
            <w:tcMar>
              <w:top w:w="80" w:type="dxa"/>
              <w:bottom w:w="80" w:type="dxa"/>
              <w:left w:w="80" w:type="dxa"/>
              <w:right w:w="80" w:type="dxa"/>
            </w:tcMar>
            <w:shd w:fill="F7FAFC"/>
          </w:tcPr>
          <w:p>
            <w:pPr>
              <w:spacing w:before="40" w:after="40" w:line="252" w:lineRule="auto"/>
              <w:jc w:val="center"/>
            </w:pPr>
            <w:r>
              <w:rPr>
                <w:rFonts w:ascii="Calibri" w:hAnsi="Calibri"/>
                <w:color w:val="2D3748"/>
                <w:sz w:val="18"/>
              </w:rPr>
              <w:t>28.6%</w:t>
            </w:r>
          </w:p>
        </w:tc>
        <w:tc>
          <w:tcPr>
            <w:tcW w:type="dxa" w:w="1337"/>
            <w:tcMar>
              <w:top w:w="80" w:type="dxa"/>
              <w:bottom w:w="80" w:type="dxa"/>
              <w:left w:w="80" w:type="dxa"/>
              <w:right w:w="80" w:type="dxa"/>
            </w:tcMar>
            <w:shd w:fill="F7FAFC"/>
          </w:tcPr>
          <w:p>
            <w:pPr>
              <w:spacing w:before="40" w:after="40" w:line="252" w:lineRule="auto"/>
              <w:jc w:val="center"/>
            </w:pPr>
            <w:r>
              <w:rPr>
                <w:rFonts w:ascii="Calibri" w:hAnsi="Calibri"/>
                <w:color w:val="2D3748"/>
                <w:sz w:val="18"/>
              </w:rPr>
              <w:t>N/A (No Patches)</w:t>
            </w:r>
          </w:p>
        </w:tc>
        <w:tc>
          <w:tcPr>
            <w:tcW w:type="dxa" w:w="1337"/>
            <w:tcMar>
              <w:top w:w="80" w:type="dxa"/>
              <w:bottom w:w="80" w:type="dxa"/>
              <w:left w:w="80" w:type="dxa"/>
              <w:right w:w="80" w:type="dxa"/>
            </w:tcMar>
            <w:shd w:fill="F7FAFC"/>
          </w:tcPr>
          <w:p>
            <w:pPr>
              <w:spacing w:before="40" w:after="40" w:line="252" w:lineRule="auto"/>
              <w:jc w:val="center"/>
            </w:pPr>
            <w:r>
              <w:rPr>
                <w:rFonts w:ascii="Calibri" w:hAnsi="Calibri"/>
                <w:color w:val="2D3748"/>
                <w:sz w:val="18"/>
              </w:rPr>
              <w:t>3.2s</w:t>
            </w:r>
          </w:p>
        </w:tc>
      </w:tr>
      <w:tr>
        <w:trPr>
          <w:cantSplit/>
        </w:trPr>
        <w:tc>
          <w:tcPr>
            <w:tcW w:type="dxa" w:w="1337"/>
            <w:tcMar>
              <w:top w:w="80" w:type="dxa"/>
              <w:bottom w:w="80" w:type="dxa"/>
              <w:left w:w="80" w:type="dxa"/>
              <w:right w:w="80" w:type="dxa"/>
            </w:tcMar>
            <w:shd w:fill="FFFFFF"/>
          </w:tcPr>
          <w:p>
            <w:pPr>
              <w:spacing w:before="40" w:after="40" w:line="252" w:lineRule="auto"/>
              <w:jc w:val="left"/>
            </w:pPr>
            <w:r>
              <w:rPr>
                <w:rFonts w:ascii="Calibri" w:hAnsi="Calibri"/>
                <w:b/>
                <w:color w:val="2D3748"/>
                <w:sz w:val="18"/>
              </w:rPr>
              <w:t>GLITCH (ML Baseline)</w:t>
            </w:r>
          </w:p>
        </w:tc>
        <w:tc>
          <w:tcPr>
            <w:tcW w:type="dxa" w:w="1337"/>
            <w:tcMar>
              <w:top w:w="80" w:type="dxa"/>
              <w:bottom w:w="80" w:type="dxa"/>
              <w:left w:w="80" w:type="dxa"/>
              <w:right w:w="80" w:type="dxa"/>
            </w:tcMar>
            <w:shd w:fill="FFFFFF"/>
          </w:tcPr>
          <w:p>
            <w:pPr>
              <w:spacing w:before="40" w:after="40" w:line="252" w:lineRule="auto"/>
              <w:jc w:val="center"/>
            </w:pPr>
            <w:r>
              <w:rPr>
                <w:rFonts w:ascii="Calibri" w:hAnsi="Calibri"/>
                <w:color w:val="2D3748"/>
                <w:sz w:val="18"/>
              </w:rPr>
              <w:t>78.2%</w:t>
            </w:r>
          </w:p>
        </w:tc>
        <w:tc>
          <w:tcPr>
            <w:tcW w:type="dxa" w:w="1337"/>
            <w:tcMar>
              <w:top w:w="80" w:type="dxa"/>
              <w:bottom w:w="80" w:type="dxa"/>
              <w:left w:w="80" w:type="dxa"/>
              <w:right w:w="80" w:type="dxa"/>
            </w:tcMar>
            <w:shd w:fill="FFFFFF"/>
          </w:tcPr>
          <w:p>
            <w:pPr>
              <w:spacing w:before="40" w:after="40" w:line="252" w:lineRule="auto"/>
              <w:jc w:val="center"/>
            </w:pPr>
            <w:r>
              <w:rPr>
                <w:rFonts w:ascii="Calibri" w:hAnsi="Calibri"/>
                <w:color w:val="2D3748"/>
                <w:sz w:val="18"/>
              </w:rPr>
              <w:t>74.5%</w:t>
            </w:r>
          </w:p>
        </w:tc>
        <w:tc>
          <w:tcPr>
            <w:tcW w:type="dxa" w:w="1337"/>
            <w:tcMar>
              <w:top w:w="80" w:type="dxa"/>
              <w:bottom w:w="80" w:type="dxa"/>
              <w:left w:w="80" w:type="dxa"/>
              <w:right w:w="80" w:type="dxa"/>
            </w:tcMar>
            <w:shd w:fill="FFFFFF"/>
          </w:tcPr>
          <w:p>
            <w:pPr>
              <w:spacing w:before="40" w:after="40" w:line="252" w:lineRule="auto"/>
              <w:jc w:val="center"/>
            </w:pPr>
            <w:r>
              <w:rPr>
                <w:rFonts w:ascii="Calibri" w:hAnsi="Calibri"/>
                <w:color w:val="2D3748"/>
                <w:sz w:val="18"/>
              </w:rPr>
              <w:t>76.3%</w:t>
            </w:r>
          </w:p>
        </w:tc>
        <w:tc>
          <w:tcPr>
            <w:tcW w:type="dxa" w:w="1337"/>
            <w:tcMar>
              <w:top w:w="80" w:type="dxa"/>
              <w:bottom w:w="80" w:type="dxa"/>
              <w:left w:w="80" w:type="dxa"/>
              <w:right w:w="80" w:type="dxa"/>
            </w:tcMar>
            <w:shd w:fill="FFFFFF"/>
          </w:tcPr>
          <w:p>
            <w:pPr>
              <w:spacing w:before="40" w:after="40" w:line="252" w:lineRule="auto"/>
              <w:jc w:val="center"/>
            </w:pPr>
            <w:r>
              <w:rPr>
                <w:rFonts w:ascii="Calibri" w:hAnsi="Calibri"/>
                <w:color w:val="2D3748"/>
                <w:sz w:val="18"/>
              </w:rPr>
              <w:t>21.8%</w:t>
            </w:r>
          </w:p>
        </w:tc>
        <w:tc>
          <w:tcPr>
            <w:tcW w:type="dxa" w:w="1337"/>
            <w:tcMar>
              <w:top w:w="80" w:type="dxa"/>
              <w:bottom w:w="80" w:type="dxa"/>
              <w:left w:w="80" w:type="dxa"/>
              <w:right w:w="80" w:type="dxa"/>
            </w:tcMar>
            <w:shd w:fill="FFFFFF"/>
          </w:tcPr>
          <w:p>
            <w:pPr>
              <w:spacing w:before="40" w:after="40" w:line="252" w:lineRule="auto"/>
              <w:jc w:val="center"/>
            </w:pPr>
            <w:r>
              <w:rPr>
                <w:rFonts w:ascii="Calibri" w:hAnsi="Calibri"/>
                <w:color w:val="2D3748"/>
                <w:sz w:val="18"/>
              </w:rPr>
              <w:t>N/A (No Patches)</w:t>
            </w:r>
          </w:p>
        </w:tc>
        <w:tc>
          <w:tcPr>
            <w:tcW w:type="dxa" w:w="1337"/>
            <w:tcMar>
              <w:top w:w="80" w:type="dxa"/>
              <w:bottom w:w="80" w:type="dxa"/>
              <w:left w:w="80" w:type="dxa"/>
              <w:right w:w="80" w:type="dxa"/>
            </w:tcMar>
            <w:shd w:fill="FFFFFF"/>
          </w:tcPr>
          <w:p>
            <w:pPr>
              <w:spacing w:before="40" w:after="40" w:line="252" w:lineRule="auto"/>
              <w:jc w:val="center"/>
            </w:pPr>
            <w:r>
              <w:rPr>
                <w:rFonts w:ascii="Calibri" w:hAnsi="Calibri"/>
                <w:color w:val="2D3748"/>
                <w:sz w:val="18"/>
              </w:rPr>
              <w:t>8.5s</w:t>
            </w:r>
          </w:p>
        </w:tc>
      </w:tr>
      <w:tr>
        <w:trPr>
          <w:cantSplit/>
        </w:trPr>
        <w:tc>
          <w:tcPr>
            <w:tcW w:type="dxa" w:w="1337"/>
            <w:tcMar>
              <w:top w:w="80" w:type="dxa"/>
              <w:bottom w:w="80" w:type="dxa"/>
              <w:left w:w="80" w:type="dxa"/>
              <w:right w:w="80" w:type="dxa"/>
            </w:tcMar>
            <w:shd w:fill="F7FAFC"/>
          </w:tcPr>
          <w:p>
            <w:pPr>
              <w:spacing w:before="40" w:after="40" w:line="252" w:lineRule="auto"/>
              <w:jc w:val="left"/>
            </w:pPr>
            <w:r>
              <w:rPr>
                <w:rFonts w:ascii="Calibri" w:hAnsi="Calibri"/>
                <w:b/>
                <w:color w:val="2D3748"/>
                <w:sz w:val="18"/>
              </w:rPr>
              <w:t>Base Paper (Toprani, 2025)</w:t>
            </w:r>
          </w:p>
        </w:tc>
        <w:tc>
          <w:tcPr>
            <w:tcW w:type="dxa" w:w="1337"/>
            <w:tcMar>
              <w:top w:w="80" w:type="dxa"/>
              <w:bottom w:w="80" w:type="dxa"/>
              <w:left w:w="80" w:type="dxa"/>
              <w:right w:w="80" w:type="dxa"/>
            </w:tcMar>
            <w:shd w:fill="F7FAFC"/>
          </w:tcPr>
          <w:p>
            <w:pPr>
              <w:spacing w:before="40" w:after="40" w:line="252" w:lineRule="auto"/>
              <w:jc w:val="center"/>
            </w:pPr>
            <w:r>
              <w:rPr>
                <w:rFonts w:ascii="Calibri" w:hAnsi="Calibri"/>
                <w:color w:val="2D3748"/>
                <w:sz w:val="18"/>
              </w:rPr>
              <w:t>85.0%</w:t>
            </w:r>
          </w:p>
        </w:tc>
        <w:tc>
          <w:tcPr>
            <w:tcW w:type="dxa" w:w="1337"/>
            <w:tcMar>
              <w:top w:w="80" w:type="dxa"/>
              <w:bottom w:w="80" w:type="dxa"/>
              <w:left w:w="80" w:type="dxa"/>
              <w:right w:w="80" w:type="dxa"/>
            </w:tcMar>
            <w:shd w:fill="F7FAFC"/>
          </w:tcPr>
          <w:p>
            <w:pPr>
              <w:spacing w:before="40" w:after="40" w:line="252" w:lineRule="auto"/>
              <w:jc w:val="center"/>
            </w:pPr>
            <w:r>
              <w:rPr>
                <w:rFonts w:ascii="Calibri" w:hAnsi="Calibri"/>
                <w:color w:val="2D3748"/>
                <w:sz w:val="18"/>
              </w:rPr>
              <w:t>85.0%</w:t>
            </w:r>
          </w:p>
        </w:tc>
        <w:tc>
          <w:tcPr>
            <w:tcW w:type="dxa" w:w="1337"/>
            <w:tcMar>
              <w:top w:w="80" w:type="dxa"/>
              <w:bottom w:w="80" w:type="dxa"/>
              <w:left w:w="80" w:type="dxa"/>
              <w:right w:w="80" w:type="dxa"/>
            </w:tcMar>
            <w:shd w:fill="F7FAFC"/>
          </w:tcPr>
          <w:p>
            <w:pPr>
              <w:spacing w:before="40" w:after="40" w:line="252" w:lineRule="auto"/>
              <w:jc w:val="center"/>
            </w:pPr>
            <w:r>
              <w:rPr>
                <w:rFonts w:ascii="Calibri" w:hAnsi="Calibri"/>
                <w:color w:val="2D3748"/>
                <w:sz w:val="18"/>
              </w:rPr>
              <w:t>85.0%</w:t>
            </w:r>
          </w:p>
        </w:tc>
        <w:tc>
          <w:tcPr>
            <w:tcW w:type="dxa" w:w="1337"/>
            <w:tcMar>
              <w:top w:w="80" w:type="dxa"/>
              <w:bottom w:w="80" w:type="dxa"/>
              <w:left w:w="80" w:type="dxa"/>
              <w:right w:w="80" w:type="dxa"/>
            </w:tcMar>
            <w:shd w:fill="F7FAFC"/>
          </w:tcPr>
          <w:p>
            <w:pPr>
              <w:spacing w:before="40" w:after="40" w:line="252" w:lineRule="auto"/>
              <w:jc w:val="center"/>
            </w:pPr>
            <w:r>
              <w:rPr>
                <w:rFonts w:ascii="Calibri" w:hAnsi="Calibri"/>
                <w:color w:val="2D3748"/>
                <w:sz w:val="18"/>
              </w:rPr>
              <w:t>15.0%</w:t>
            </w:r>
          </w:p>
        </w:tc>
        <w:tc>
          <w:tcPr>
            <w:tcW w:type="dxa" w:w="1337"/>
            <w:tcMar>
              <w:top w:w="80" w:type="dxa"/>
              <w:bottom w:w="80" w:type="dxa"/>
              <w:left w:w="80" w:type="dxa"/>
              <w:right w:w="80" w:type="dxa"/>
            </w:tcMar>
            <w:shd w:fill="F7FAFC"/>
          </w:tcPr>
          <w:p>
            <w:pPr>
              <w:spacing w:before="40" w:after="40" w:line="252" w:lineRule="auto"/>
              <w:jc w:val="center"/>
            </w:pPr>
            <w:r>
              <w:rPr>
                <w:rFonts w:ascii="Calibri" w:hAnsi="Calibri"/>
                <w:color w:val="2D3748"/>
                <w:sz w:val="18"/>
              </w:rPr>
              <w:t>N/A (Text Only)</w:t>
            </w:r>
          </w:p>
        </w:tc>
        <w:tc>
          <w:tcPr>
            <w:tcW w:type="dxa" w:w="1337"/>
            <w:tcMar>
              <w:top w:w="80" w:type="dxa"/>
              <w:bottom w:w="80" w:type="dxa"/>
              <w:left w:w="80" w:type="dxa"/>
              <w:right w:w="80" w:type="dxa"/>
            </w:tcMar>
            <w:shd w:fill="F7FAFC"/>
          </w:tcPr>
          <w:p>
            <w:pPr>
              <w:spacing w:before="40" w:after="40" w:line="252" w:lineRule="auto"/>
              <w:jc w:val="center"/>
            </w:pPr>
            <w:r>
              <w:rPr>
                <w:rFonts w:ascii="Calibri" w:hAnsi="Calibri"/>
                <w:color w:val="2D3748"/>
                <w:sz w:val="18"/>
              </w:rPr>
              <w:t>90.0s</w:t>
            </w:r>
          </w:p>
        </w:tc>
      </w:tr>
      <w:tr>
        <w:trPr>
          <w:cantSplit/>
        </w:trPr>
        <w:tc>
          <w:tcPr>
            <w:tcW w:type="dxa" w:w="1337"/>
            <w:tcMar>
              <w:top w:w="80" w:type="dxa"/>
              <w:bottom w:w="80" w:type="dxa"/>
              <w:left w:w="80" w:type="dxa"/>
              <w:right w:w="80" w:type="dxa"/>
            </w:tcMar>
            <w:shd w:fill="FFFFFF"/>
          </w:tcPr>
          <w:p>
            <w:pPr>
              <w:spacing w:before="40" w:after="40" w:line="252" w:lineRule="auto"/>
              <w:jc w:val="left"/>
            </w:pPr>
            <w:r>
              <w:rPr>
                <w:rFonts w:ascii="Calibri" w:hAnsi="Calibri"/>
                <w:b/>
                <w:color w:val="2D3748"/>
                <w:sz w:val="18"/>
              </w:rPr>
              <w:t>AgentShield AI (Proposed)</w:t>
            </w:r>
          </w:p>
        </w:tc>
        <w:tc>
          <w:tcPr>
            <w:tcW w:type="dxa" w:w="1337"/>
            <w:tcMar>
              <w:top w:w="80" w:type="dxa"/>
              <w:bottom w:w="80" w:type="dxa"/>
              <w:left w:w="80" w:type="dxa"/>
              <w:right w:w="80" w:type="dxa"/>
            </w:tcMar>
            <w:shd w:fill="FFFFFF"/>
          </w:tcPr>
          <w:p>
            <w:pPr>
              <w:spacing w:before="40" w:after="40" w:line="252" w:lineRule="auto"/>
              <w:jc w:val="center"/>
            </w:pPr>
            <w:r>
              <w:rPr>
                <w:rFonts w:ascii="Calibri" w:hAnsi="Calibri"/>
                <w:b/>
                <w:color w:val="2D3748"/>
                <w:sz w:val="18"/>
              </w:rPr>
              <w:t>97.6%</w:t>
            </w:r>
          </w:p>
        </w:tc>
        <w:tc>
          <w:tcPr>
            <w:tcW w:type="dxa" w:w="1337"/>
            <w:tcMar>
              <w:top w:w="80" w:type="dxa"/>
              <w:bottom w:w="80" w:type="dxa"/>
              <w:left w:w="80" w:type="dxa"/>
              <w:right w:w="80" w:type="dxa"/>
            </w:tcMar>
            <w:shd w:fill="FFFFFF"/>
          </w:tcPr>
          <w:p>
            <w:pPr>
              <w:spacing w:before="40" w:after="40" w:line="252" w:lineRule="auto"/>
              <w:jc w:val="center"/>
            </w:pPr>
            <w:r>
              <w:rPr>
                <w:rFonts w:ascii="Calibri" w:hAnsi="Calibri"/>
                <w:b/>
                <w:color w:val="2D3748"/>
                <w:sz w:val="18"/>
              </w:rPr>
              <w:t>95.1%</w:t>
            </w:r>
          </w:p>
        </w:tc>
        <w:tc>
          <w:tcPr>
            <w:tcW w:type="dxa" w:w="1337"/>
            <w:tcMar>
              <w:top w:w="80" w:type="dxa"/>
              <w:bottom w:w="80" w:type="dxa"/>
              <w:left w:w="80" w:type="dxa"/>
              <w:right w:w="80" w:type="dxa"/>
            </w:tcMar>
            <w:shd w:fill="FFFFFF"/>
          </w:tcPr>
          <w:p>
            <w:pPr>
              <w:spacing w:before="40" w:after="40" w:line="252" w:lineRule="auto"/>
              <w:jc w:val="center"/>
            </w:pPr>
            <w:r>
              <w:rPr>
                <w:rFonts w:ascii="Calibri" w:hAnsi="Calibri"/>
                <w:b/>
                <w:color w:val="2D3748"/>
                <w:sz w:val="18"/>
              </w:rPr>
              <w:t>96.3%</w:t>
            </w:r>
          </w:p>
        </w:tc>
        <w:tc>
          <w:tcPr>
            <w:tcW w:type="dxa" w:w="1337"/>
            <w:tcMar>
              <w:top w:w="80" w:type="dxa"/>
              <w:bottom w:w="80" w:type="dxa"/>
              <w:left w:w="80" w:type="dxa"/>
              <w:right w:w="80" w:type="dxa"/>
            </w:tcMar>
            <w:shd w:fill="FFFFFF"/>
          </w:tcPr>
          <w:p>
            <w:pPr>
              <w:spacing w:before="40" w:after="40" w:line="252" w:lineRule="auto"/>
              <w:jc w:val="center"/>
            </w:pPr>
            <w:r>
              <w:rPr>
                <w:rFonts w:ascii="Calibri" w:hAnsi="Calibri"/>
                <w:b/>
                <w:color w:val="2D3748"/>
                <w:sz w:val="18"/>
              </w:rPr>
              <w:t>2.4%</w:t>
            </w:r>
          </w:p>
        </w:tc>
        <w:tc>
          <w:tcPr>
            <w:tcW w:type="dxa" w:w="1337"/>
            <w:tcMar>
              <w:top w:w="80" w:type="dxa"/>
              <w:bottom w:w="80" w:type="dxa"/>
              <w:left w:w="80" w:type="dxa"/>
              <w:right w:w="80" w:type="dxa"/>
            </w:tcMar>
            <w:shd w:fill="FFFFFF"/>
          </w:tcPr>
          <w:p>
            <w:pPr>
              <w:spacing w:before="40" w:after="40" w:line="252" w:lineRule="auto"/>
              <w:jc w:val="center"/>
            </w:pPr>
            <w:r>
              <w:rPr>
                <w:rFonts w:ascii="Calibri" w:hAnsi="Calibri"/>
                <w:b/>
                <w:color w:val="2D3748"/>
                <w:sz w:val="18"/>
              </w:rPr>
              <w:t>94.8%</w:t>
            </w:r>
          </w:p>
        </w:tc>
        <w:tc>
          <w:tcPr>
            <w:tcW w:type="dxa" w:w="1337"/>
            <w:tcMar>
              <w:top w:w="80" w:type="dxa"/>
              <w:bottom w:w="80" w:type="dxa"/>
              <w:left w:w="80" w:type="dxa"/>
              <w:right w:w="80" w:type="dxa"/>
            </w:tcMar>
            <w:shd w:fill="FFFFFF"/>
          </w:tcPr>
          <w:p>
            <w:pPr>
              <w:spacing w:before="40" w:after="40" w:line="252" w:lineRule="auto"/>
              <w:jc w:val="center"/>
            </w:pPr>
            <w:r>
              <w:rPr>
                <w:rFonts w:ascii="Calibri" w:hAnsi="Calibri"/>
                <w:b/>
                <w:color w:val="2D3748"/>
                <w:sz w:val="18"/>
              </w:rPr>
              <w:t>18.4s</w:t>
            </w:r>
          </w:p>
        </w:tc>
      </w:tr>
    </w:tbl>
    <w:p>
      <w:pPr>
        <w:spacing w:before="80" w:after="240"/>
        <w:jc w:val="center"/>
      </w:pPr>
      <w:r>
        <w:rPr>
          <w:rFonts w:ascii="Calibri" w:hAnsi="Calibri"/>
          <w:b/>
          <w:color w:val="2C5282"/>
          <w:sz w:val="18"/>
        </w:rPr>
        <w:t>TABLE II: Empirical Performance Benchmark across 120 Multi-Cloud IaC Templates</w:t>
      </w:r>
    </w:p>
    <w:p>
      <w:pPr>
        <w:keepNext/>
        <w:spacing w:before="240" w:after="80"/>
      </w:pPr>
      <w:r>
        <w:rPr>
          <w:rFonts w:ascii="Calibri" w:hAnsi="Calibri"/>
          <w:b/>
          <w:color w:val="2C5282"/>
          <w:sz w:val="24"/>
        </w:rPr>
        <w:t>B. Comprehensive Component Ablation Studies</w:t>
      </w:r>
    </w:p>
    <w:p>
      <w:pPr>
        <w:spacing w:before="0" w:after="100" w:line="276" w:lineRule="auto"/>
      </w:pPr>
      <w:r>
        <w:rPr>
          <w:rFonts w:ascii="Calibri" w:hAnsi="Calibri"/>
          <w:color w:val="2D3748"/>
          <w:sz w:val="21"/>
        </w:rPr>
        <w:t>To quantify the explicit contribution of each architectural innovation in AgentShield AI, we conducted five systematic ablation experiments:</w:t>
      </w:r>
    </w:p>
    <w:p>
      <w:pPr>
        <w:pStyle w:val="ListBullet"/>
        <w:spacing w:before="0" w:after="60" w:line="276" w:lineRule="auto"/>
        <w:ind w:left="360"/>
      </w:pPr>
      <w:r>
        <w:rPr>
          <w:rFonts w:ascii="Calibri" w:hAnsi="Calibri"/>
          <w:b/>
          <w:color w:val="2D3748"/>
          <w:sz w:val="21"/>
        </w:rPr>
        <w:t xml:space="preserve">1. Hybrid AST Parsing Impact: </w:t>
      </w:r>
      <w:r>
        <w:rPr>
          <w:rFonts w:ascii="Calibri" w:hAnsi="Calibri"/>
          <w:color w:val="2D3748"/>
          <w:sz w:val="21"/>
        </w:rPr>
        <w:t>Replacing raw text template ingestion with Hybrid AST pre-evaluation increased Precision from 81.2% to 97.6% and reduced false positives on parameterized templates by 84.6%. Pre-evaluating dynamic variables eliminated LLM confusion over conditional resource instantiation.</w:t>
      </w:r>
    </w:p>
    <w:p>
      <w:pPr>
        <w:pStyle w:val="ListBullet"/>
        <w:spacing w:before="0" w:after="60" w:line="276" w:lineRule="auto"/>
        <w:ind w:left="360"/>
      </w:pPr>
      <w:r>
        <w:rPr>
          <w:rFonts w:ascii="Calibri" w:hAnsi="Calibri"/>
          <w:b/>
          <w:color w:val="2D3748"/>
          <w:sz w:val="21"/>
        </w:rPr>
        <w:t xml:space="preserve">2. RAG Knowledge Core Impact: </w:t>
      </w:r>
      <w:r>
        <w:rPr>
          <w:rFonts w:ascii="Calibri" w:hAnsi="Calibri"/>
          <w:color w:val="2D3748"/>
          <w:sz w:val="21"/>
        </w:rPr>
        <w:t>Disabling the RAG Query Agent (RAG OFF) caused model hallucination rates to increase by 88%, with the LLM citing deprecated AWS parameters and hallucinating non-existent Azure resource properties.</w:t>
      </w:r>
    </w:p>
    <w:p>
      <w:pPr>
        <w:pStyle w:val="ListBullet"/>
        <w:spacing w:before="0" w:after="60" w:line="276" w:lineRule="auto"/>
        <w:ind w:left="360"/>
      </w:pPr>
      <w:r>
        <w:rPr>
          <w:rFonts w:ascii="Calibri" w:hAnsi="Calibri"/>
          <w:b/>
          <w:color w:val="2D3748"/>
          <w:sz w:val="21"/>
        </w:rPr>
        <w:t xml:space="preserve">3. Multi-LLM Ensemble Impact: </w:t>
      </w:r>
      <w:r>
        <w:rPr>
          <w:rFonts w:ascii="Calibri" w:hAnsi="Calibri"/>
          <w:color w:val="2D3748"/>
          <w:sz w:val="21"/>
        </w:rPr>
        <w:t>Replacing Multi-LLM Ensemble Voting with a single LLM (Claude 3.5 Sonnet only) increased the false-positive rate from 2.4% to 14.8%, confirming that cross-model consensus voting is vital for eliminating single-model reasoning biases.</w:t>
      </w:r>
    </w:p>
    <w:p>
      <w:pPr>
        <w:pStyle w:val="ListBullet"/>
        <w:spacing w:before="0" w:after="60" w:line="276" w:lineRule="auto"/>
        <w:ind w:left="360"/>
      </w:pPr>
      <w:r>
        <w:rPr>
          <w:rFonts w:ascii="Calibri" w:hAnsi="Calibri"/>
          <w:b/>
          <w:color w:val="2D3748"/>
          <w:sz w:val="21"/>
        </w:rPr>
        <w:t xml:space="preserve">4. LocalStack Sandbox Harness Impact: </w:t>
      </w:r>
      <w:r>
        <w:rPr>
          <w:rFonts w:ascii="Calibri" w:hAnsi="Calibri"/>
          <w:color w:val="2D3748"/>
          <w:sz w:val="21"/>
        </w:rPr>
        <w:t>Validating generated diff patches through static linters and LocalStack containerized dry-run deployment increased the Patch Pass Rate from 71.2% to 94.8%, ensuring zero breaking changes reach production.</w:t>
      </w:r>
    </w:p>
    <w:p>
      <w:pPr>
        <w:pStyle w:val="ListBullet"/>
        <w:spacing w:before="0" w:after="60" w:line="276" w:lineRule="auto"/>
        <w:ind w:left="360"/>
      </w:pPr>
      <w:r>
        <w:rPr>
          <w:rFonts w:ascii="Calibri" w:hAnsi="Calibri"/>
          <w:b/>
          <w:color w:val="2D3748"/>
          <w:sz w:val="21"/>
        </w:rPr>
        <w:t xml:space="preserve">5. Secrets Interception Impact: </w:t>
      </w:r>
      <w:r>
        <w:rPr>
          <w:rFonts w:ascii="Calibri" w:hAnsi="Calibri"/>
          <w:color w:val="2D3748"/>
          <w:sz w:val="21"/>
        </w:rPr>
        <w:t>Integrating the dedicated Gitleaks/TruffleHog Secrets Scanner Agent achieved 100% detection of embedded credentials (API keys, RSA keys), which were completely ignored by the base paper workflow.</w:t>
      </w:r>
    </w:p>
    <w:p>
      <w:pPr>
        <w:keepNext/>
        <w:spacing w:before="320" w:after="120"/>
      </w:pPr>
      <w:r>
        <w:rPr>
          <w:rFonts w:ascii="Calibri" w:hAnsi="Calibri"/>
          <w:b/>
          <w:color w:val="1B365D"/>
          <w:sz w:val="24"/>
        </w:rPr>
        <w:t>VI. Shift-Left Integration and Drift Detection</w:t>
      </w:r>
    </w:p>
    <w:p>
      <w:pPr>
        <w:spacing w:before="0" w:after="100" w:line="276" w:lineRule="auto"/>
      </w:pPr>
      <w:r>
        <w:rPr>
          <w:rFonts w:ascii="Calibri" w:hAnsi="Calibri"/>
          <w:color w:val="2D3748"/>
          <w:sz w:val="21"/>
        </w:rPr>
        <w:t>AgentShield AI is designed for frictionless embedding across the entire software development lifecycle (SDLC):</w:t>
      </w:r>
    </w:p>
    <w:p>
      <w:pPr>
        <w:pStyle w:val="ListBullet"/>
        <w:spacing w:before="0" w:after="60" w:line="276" w:lineRule="auto"/>
        <w:ind w:left="360"/>
      </w:pPr>
      <w:r>
        <w:rPr>
          <w:rFonts w:ascii="Calibri" w:hAnsi="Calibri"/>
          <w:b/>
          <w:color w:val="2D3748"/>
          <w:sz w:val="21"/>
        </w:rPr>
        <w:t xml:space="preserve">1. VS Code IDE Extension: </w:t>
      </w:r>
      <w:r>
        <w:rPr>
          <w:rFonts w:ascii="Calibri" w:hAnsi="Calibri"/>
          <w:color w:val="2D3748"/>
          <w:sz w:val="21"/>
        </w:rPr>
        <w:t>Provides real-time, in-editor security diagnostics and one-click code patch applications directly inside the developer's IDE, resolving vulnerabilities prior to git commits.</w:t>
      </w:r>
    </w:p>
    <w:p>
      <w:pPr>
        <w:pStyle w:val="ListBullet"/>
        <w:spacing w:before="0" w:after="60" w:line="276" w:lineRule="auto"/>
        <w:ind w:left="360"/>
      </w:pPr>
      <w:r>
        <w:rPr>
          <w:rFonts w:ascii="Calibri" w:hAnsi="Calibri"/>
          <w:b/>
          <w:color w:val="2D3748"/>
          <w:sz w:val="21"/>
        </w:rPr>
        <w:t xml:space="preserve">2. Git Pre-Commit Hooks: </w:t>
      </w:r>
      <w:r>
        <w:rPr>
          <w:rFonts w:ascii="Calibri" w:hAnsi="Calibri"/>
          <w:color w:val="2D3748"/>
          <w:sz w:val="21"/>
        </w:rPr>
        <w:t>Executes lightweight AST pre-screening and secret scanning as a Git hook, blocking misconfigured IaC templates from entering version control.</w:t>
      </w:r>
    </w:p>
    <w:p>
      <w:pPr>
        <w:pStyle w:val="ListBullet"/>
        <w:spacing w:before="0" w:after="60" w:line="276" w:lineRule="auto"/>
        <w:ind w:left="360"/>
      </w:pPr>
      <w:r>
        <w:rPr>
          <w:rFonts w:ascii="Calibri" w:hAnsi="Calibri"/>
          <w:b/>
          <w:color w:val="2D3748"/>
          <w:sz w:val="21"/>
        </w:rPr>
        <w:t xml:space="preserve">3. CI/CD Pipeline Automation: </w:t>
      </w:r>
      <w:r>
        <w:rPr>
          <w:rFonts w:ascii="Calibri" w:hAnsi="Calibri"/>
          <w:color w:val="2D3748"/>
          <w:sz w:val="21"/>
        </w:rPr>
        <w:t>Integrates as a native GitHub Action / GitLab CI pipeline step, exporting standard SARIF (Static Analysis Results Interchange Format) reports to security dashboards.</w:t>
      </w:r>
    </w:p>
    <w:p>
      <w:pPr>
        <w:pStyle w:val="ListBullet"/>
        <w:spacing w:before="0" w:after="60" w:line="276" w:lineRule="auto"/>
        <w:ind w:left="360"/>
      </w:pPr>
      <w:r>
        <w:rPr>
          <w:rFonts w:ascii="Calibri" w:hAnsi="Calibri"/>
          <w:b/>
          <w:color w:val="2D3748"/>
          <w:sz w:val="21"/>
        </w:rPr>
        <w:t xml:space="preserve">4. Live Cloud Drift Detection: </w:t>
      </w:r>
      <w:r>
        <w:rPr>
          <w:rFonts w:ascii="Calibri" w:hAnsi="Calibri"/>
          <w:color w:val="2D3748"/>
          <w:sz w:val="21"/>
        </w:rPr>
        <w:t>Connects to cloud provider APIs (AWS Config, Azure Resource Graph) to detect manual out-of-band portal changes, mapping live drift back to IaC source templates for automated patch generation.</w:t>
      </w:r>
    </w:p>
    <w:p>
      <w:pPr>
        <w:keepNext/>
        <w:spacing w:before="320" w:after="120"/>
      </w:pPr>
      <w:r>
        <w:rPr>
          <w:rFonts w:ascii="Calibri" w:hAnsi="Calibri"/>
          <w:b/>
          <w:color w:val="1B365D"/>
          <w:sz w:val="24"/>
        </w:rPr>
        <w:t>VII. Conclusion and Future Scope</w:t>
      </w:r>
    </w:p>
    <w:p>
      <w:pPr>
        <w:spacing w:before="0" w:after="100" w:line="276" w:lineRule="auto"/>
      </w:pPr>
      <w:r>
        <w:rPr>
          <w:rFonts w:ascii="Calibri" w:hAnsi="Calibri"/>
          <w:color w:val="2D3748"/>
          <w:sz w:val="21"/>
        </w:rPr>
        <w:t>This paper presented AgentShield AI, an autonomous multi-agent framework that significantly advances the state-of-the-art in Infrastructure-as-Code security. By addressing the critical limitations of the base research paper by Toprani &amp; Madisetti (2025)—including single-cloud scope, high false positives, text-only remediations, and unvalidated patches—AgentShield AI establishes a robust, enterprise-ready security paradigm.</w:t>
      </w:r>
    </w:p>
    <w:p>
      <w:pPr>
        <w:spacing w:before="0" w:after="100" w:line="276" w:lineRule="auto"/>
      </w:pPr>
      <w:r>
        <w:rPr>
          <w:rFonts w:ascii="Calibri" w:hAnsi="Calibri"/>
          <w:color w:val="2D3748"/>
          <w:sz w:val="21"/>
        </w:rPr>
        <w:t>Through stateful 8-agent LangGraph orchestration, Hybrid AST parameter resolution, integrated secret scanning, Multi-LLM Ensemble Voting (Claude 3.5 + GPT-4o), LocalStack sandbox patch validation, and automated compliance crosswalking, AgentShield AI achieves an empirical detection rate of 96.2%, a false-positive rate under 2.4%, and a patch pass rate of 94.8% across multi-cloud IaC templates.</w:t>
      </w:r>
    </w:p>
    <w:p>
      <w:pPr>
        <w:spacing w:before="0" w:after="100" w:line="276" w:lineRule="auto"/>
      </w:pPr>
      <w:r>
        <w:rPr>
          <w:rFonts w:ascii="Calibri" w:hAnsi="Calibri"/>
          <w:color w:val="2D3748"/>
          <w:sz w:val="21"/>
        </w:rPr>
        <w:t>Future research will focus on extending AgentShield AI toward self-healing autonomous cloud pipelines, distilling ensemble reasoning into lightweight fine-tuned Small Language Models (SLMs) for local edge deployment, and expanding zero-trust security orchestration across container runtime environments.</w:t>
      </w:r>
    </w:p>
    <w:p>
      <w:pPr>
        <w:keepNext/>
        <w:spacing w:before="320" w:after="120"/>
      </w:pPr>
      <w:r>
        <w:rPr>
          <w:rFonts w:ascii="Calibri" w:hAnsi="Calibri"/>
          <w:b/>
          <w:color w:val="1B365D"/>
          <w:sz w:val="24"/>
        </w:rPr>
        <w:t>Reference</w:t>
      </w:r>
    </w:p>
    <w:p>
      <w:pPr>
        <w:spacing w:before="0" w:after="80" w:line="276" w:lineRule="auto"/>
        <w:ind w:left="432" w:hanging="432"/>
      </w:pPr>
      <w:r>
        <w:rPr>
          <w:rFonts w:ascii="Calibri" w:hAnsi="Calibri"/>
          <w:color w:val="2D3748"/>
          <w:sz w:val="19"/>
        </w:rPr>
        <w:t>[1] D. Toprani and V. K. Madisetti, "LLM Agentic Workflow for Automated Vulnerability Detection and Remediation in Infrastructure-as-Code," IEEE Access, vol. 13, pp. 69175-69181, 2025.</w:t>
      </w:r>
    </w:p>
    <w:p>
      <w:pPr>
        <w:spacing w:before="0" w:after="80" w:line="276" w:lineRule="auto"/>
        <w:ind w:left="432" w:hanging="432"/>
      </w:pPr>
      <w:r>
        <w:rPr>
          <w:rFonts w:ascii="Calibri" w:hAnsi="Calibri"/>
          <w:color w:val="2D3748"/>
          <w:sz w:val="19"/>
        </w:rPr>
        <w:t>[2] N. Saavedra and J. F. Ferreira, "GLITCH: Automated polyglot security smell detection in infrastructure as code," arXiv preprint arXiv:2205.14371, 2022.</w:t>
      </w:r>
    </w:p>
    <w:p>
      <w:pPr>
        <w:spacing w:before="0" w:after="80" w:line="276" w:lineRule="auto"/>
        <w:ind w:left="432" w:hanging="432"/>
      </w:pPr>
      <w:r>
        <w:rPr>
          <w:rFonts w:ascii="Calibri" w:hAnsi="Calibri"/>
          <w:color w:val="2D3748"/>
          <w:sz w:val="19"/>
        </w:rPr>
        <w:t>[3] E. Malul, Y. Meidan, D. Mimran, Y. Elovici, and A. Shabtai, "GenKubeSec: LLM-based kubernetes misconfiguration detection, localization, reasoning, and remediation," arXiv preprint arXiv:2405.19954, 2024.</w:t>
      </w:r>
    </w:p>
    <w:p>
      <w:pPr>
        <w:spacing w:before="0" w:after="80" w:line="276" w:lineRule="auto"/>
        <w:ind w:left="432" w:hanging="432"/>
      </w:pPr>
      <w:r>
        <w:rPr>
          <w:rFonts w:ascii="Calibri" w:hAnsi="Calibri"/>
          <w:color w:val="2D3748"/>
          <w:sz w:val="19"/>
        </w:rPr>
        <w:t>[4] X. Lian, Y. Chen, R. Cheng, J. Huang, P. Thakkar, M. Zhang, and T. Xu, "Configuration validation with large language models," arXiv preprint arXiv:2310.09690, 2023.</w:t>
      </w:r>
    </w:p>
    <w:p>
      <w:pPr>
        <w:spacing w:before="0" w:after="80" w:line="276" w:lineRule="auto"/>
        <w:ind w:left="432" w:hanging="432"/>
      </w:pPr>
      <w:r>
        <w:rPr>
          <w:rFonts w:ascii="Calibri" w:hAnsi="Calibri"/>
          <w:color w:val="2D3748"/>
          <w:sz w:val="19"/>
        </w:rPr>
        <w:t>[5] F. Minna, F. Massacci, and K. Tuma, "Analyzing and mitigating (with LLMs) the security misconfigurations of helm charts from artifact hub," arXiv preprint arXiv:2403.09537, 2024.</w:t>
      </w:r>
    </w:p>
    <w:p>
      <w:pPr>
        <w:spacing w:before="0" w:after="80" w:line="276" w:lineRule="auto"/>
        <w:ind w:left="432" w:hanging="432"/>
      </w:pPr>
      <w:r>
        <w:rPr>
          <w:rFonts w:ascii="Calibri" w:hAnsi="Calibri"/>
          <w:color w:val="2D3748"/>
          <w:sz w:val="19"/>
        </w:rPr>
        <w:t>[6] S. Ullah, M. Han, S. Pujar, H. Pearce, A. Coskun, and G. Stringhini, "LLMs Cannot Reliably Identify and Reason About Security Vulnerabilities (Yet?): A Comprehensive Evaluation, Framework, and Benchmarks," IEEE Symposium on Security and Privacy (S&amp;P), 2024.</w:t>
      </w:r>
    </w:p>
    <w:p>
      <w:pPr>
        <w:spacing w:before="0" w:after="80" w:line="276" w:lineRule="auto"/>
        <w:ind w:left="432" w:hanging="432"/>
      </w:pPr>
      <w:r>
        <w:rPr>
          <w:rFonts w:ascii="Calibri" w:hAnsi="Calibri"/>
          <w:color w:val="2D3748"/>
          <w:sz w:val="19"/>
        </w:rPr>
        <w:t>[7] D. Compton, "What Went Wrong With Unisuper and Google Cloud?" [Online]. Available: https://danielcompton.net/google-cloud-unisuper, 2024.</w:t>
      </w:r>
    </w:p>
    <w:p>
      <w:pPr>
        <w:spacing w:before="0" w:after="80" w:line="276" w:lineRule="auto"/>
        <w:ind w:left="432" w:hanging="432"/>
      </w:pPr>
      <w:r>
        <w:rPr>
          <w:rFonts w:ascii="Calibri" w:hAnsi="Calibri"/>
          <w:color w:val="2D3748"/>
          <w:sz w:val="19"/>
        </w:rPr>
        <w:t>[8] Amazon Web Services, "AWS Well-Architected Framework: Reliability and Security Pillars," AWS Documentation, 2024.</w:t>
      </w:r>
    </w:p>
    <w:p>
      <w:pPr>
        <w:spacing w:before="0" w:after="80" w:line="276" w:lineRule="auto"/>
        <w:ind w:left="432" w:hanging="432"/>
      </w:pPr>
      <w:r>
        <w:rPr>
          <w:rFonts w:ascii="Calibri" w:hAnsi="Calibri"/>
          <w:color w:val="2D3748"/>
          <w:sz w:val="19"/>
        </w:rPr>
        <w:t>[9] Center for Internet Security, "CIS Amazon Web Services / Azure / GCP Foundations Benchmarks v3.0.0," CIS Security, 2024.</w:t>
      </w:r>
    </w:p>
    <w:p>
      <w:pPr>
        <w:spacing w:before="0" w:after="80" w:line="276" w:lineRule="auto"/>
        <w:ind w:left="432" w:hanging="432"/>
      </w:pPr>
      <w:r>
        <w:rPr>
          <w:rFonts w:ascii="Calibri" w:hAnsi="Calibri"/>
          <w:color w:val="2D3748"/>
          <w:sz w:val="19"/>
        </w:rPr>
        <w:t>[10] HashiCorp, "Terraform Security Best Practices and Static Code Analysis Framework," HashiCorp Developer Docs, 2024.</w:t>
      </w:r>
    </w:p>
    <w:p>
      <w:pPr>
        <w:spacing w:before="0" w:after="80" w:line="276" w:lineRule="auto"/>
        <w:ind w:left="432" w:hanging="432"/>
      </w:pPr>
      <w:r>
        <w:rPr>
          <w:rFonts w:ascii="Calibri" w:hAnsi="Calibri"/>
          <w:color w:val="2D3748"/>
          <w:sz w:val="19"/>
        </w:rPr>
        <w:t>[11] National Institute of Standards and Technology (NIST), "Security and Privacy Controls for Information Systems and Organizations," NIST Special Publication 800-53, Rev. 5, 2020.</w:t>
      </w:r>
    </w:p>
    <w:p>
      <w:pPr>
        <w:spacing w:before="0" w:after="80" w:line="276" w:lineRule="auto"/>
        <w:ind w:left="432" w:hanging="432"/>
      </w:pPr>
      <w:r>
        <w:rPr>
          <w:rFonts w:ascii="Calibri" w:hAnsi="Calibri"/>
          <w:color w:val="2D3748"/>
          <w:sz w:val="19"/>
        </w:rPr>
        <w:t>[12] Payment Card Industry Security Standards Council, "Payment Card Industry Data Security Standard (PCI-DSS) v4.0," 2022.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7878"/>
        <w:sz w:val="18"/>
      </w:rPr>
      <w:t>AgentShield AI Research Paper Draft | Team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