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B365D"/>
          <w:sz w:val="40"/>
        </w:rPr>
        <w:t>AgentShield AI: Autonomous Multi-Agent Framework for Multi-Cloud Infrastructure-as-Code Security</w:t>
      </w:r>
    </w:p>
    <w:p>
      <w:pPr>
        <w:spacing w:before="0" w:after="200"/>
        <w:jc w:val="center"/>
      </w:pPr>
      <w:r>
        <w:rPr>
          <w:rFonts w:ascii="Times New Roman" w:hAnsi="Times New Roman"/>
          <w:i/>
          <w:color w:val="2C5282"/>
          <w:sz w:val="24"/>
        </w:rPr>
        <w:t>Context-Aware Vulnerability Detection, Automated Patch Remediation, and Regulatory Compliance</w:t>
      </w:r>
    </w:p>
    <w:p>
      <w:pPr>
        <w:spacing w:after="240"/>
        <w:jc w:val="center"/>
      </w:pPr>
      <w:r>
        <w:rPr>
          <w:rFonts w:ascii="Times New Roman" w:hAnsi="Times New Roman"/>
          <w:b/>
          <w:color w:val="000000"/>
          <w:sz w:val="20"/>
        </w:rPr>
        <w:t>Anisha Paturi (23BD1A050E), Parinamika Bhanu (23BD1A0518), Vahini Venkata (23BD1A051D), Sravani Janak (23BD1A051Y)</w:t>
        <w:br/>
      </w:r>
      <w:r>
        <w:rPr>
          <w:rFonts w:ascii="Times New Roman" w:hAnsi="Times New Roman"/>
          <w:i/>
          <w:color w:val="2C5282"/>
          <w:sz w:val="19"/>
        </w:rPr>
        <w:t>Team 13 — Department of Computer Science &amp; Engineering | Domain: Cyber Security + AI</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Pr>
          <w:p>
            <w:pPr>
              <w:spacing w:after="60"/>
            </w:pPr>
            <w:r>
              <w:rPr>
                <w:rFonts w:ascii="Times New Roman" w:hAnsi="Times New Roman"/>
                <w:b/>
                <w:color w:val="1B365D"/>
                <w:sz w:val="21"/>
              </w:rPr>
              <w:t>Abstract</w:t>
            </w:r>
          </w:p>
          <w:p>
            <w:pPr>
              <w:spacing w:line="259" w:lineRule="auto" w:after="80"/>
            </w:pPr>
            <w:r>
              <w:rPr>
                <w:rFonts w:ascii="Times New Roman" w:hAnsi="Times New Roman"/>
                <w:color w:val="000000"/>
                <w:sz w:val="18"/>
              </w:rPr>
              <w:t>Infrastructure-as-Code (IaC) templates—such as Terraform, AWS CloudFormation, Kubernetes Manifests, and Helm Charts—are essential for automated multi-cloud deployments. However, security misconfigurations and hardcoded credentials introduced at the template level frequently bypass traditional static linters, creating critical production vulnerabilities. Recent Large Language Model (LLM) workflows demonstrate semantic reasoning capabilities for IaC security (e.g., Toprani &amp; Madisetti, IEEE Access 2025 [1]); however, existing approaches are restricted to single-cloud scope (AWS CloudFormation only), exhibit high false-positive rates (~15%), output non-executable text suggestions, omit embedded secret scanning, and remain vulnerable to model hallucinations. This paper presents AgentShield AI, an autonomous multi-agent framework orchestrated via LangGraph for multi-cloud IaC security. AgentShield AI coordinates 8 specialized AI agents across a closed-loop workflow: Manager/Router, Hybrid AST Parser, Secrets Scanner, RAG Query Agent, Security Analyst Agent with Multi-LLM Ensemble Voting (Claude 3.5 Sonnet + GPT-4o), Human Security Audit Queue, Auto-Patch Remediation Agent, and Code &amp; Sandbox Validator Agent, operating alongside a Regulatory Compliance and Developer Feedback Engine. By integrating Abstract Syntax Tree (AST) parameter pre-evaluation, Gitleaks credential scanning, dual-model consensus voting, syntactically verified diff patch generation, LocalStack runtime sandbox testing, and automated compliance crosswalking (SOC 2, HIPAA, PCI-DSS, NIST 800-53), AgentShield AI eliminates single-model hallucinations and delivers zero-breakage code patches. Empirical evaluation across 2,450 multi-cloud IaC templates demonstrates a precision of 99.1%, recall of 98.4%, false-positive rate under 0.05%, sandbox patch pass rate of 97.8%, and average execution latency of 1.84s per module, significantly outperforming traditional static linters and baseline single-agent LLM workflows.</w:t>
            </w:r>
          </w:p>
          <w:p>
            <w:pPr>
              <w:spacing w:after="40"/>
            </w:pPr>
            <w:r>
              <w:rPr>
                <w:rFonts w:ascii="Times New Roman" w:hAnsi="Times New Roman"/>
                <w:b/>
                <w:color w:val="1B365D"/>
                <w:sz w:val="18"/>
              </w:rPr>
              <w:t xml:space="preserve">Keywords— </w:t>
            </w:r>
            <w:r>
              <w:rPr>
                <w:rFonts w:ascii="Times New Roman" w:hAnsi="Times New Roman"/>
                <w:i/>
                <w:color w:val="000000"/>
                <w:sz w:val="18"/>
              </w:rPr>
              <w:t>Infrastructure-as-Code (IaC), Multi-Agent AI Systems, Large Language Models (LLMs), LangGraph, Retrieval-Augmented Generation (RAG), Multi-Cloud Security, Automated Remediation, LocalStack Sandbox, DevSecOps.</w:t>
            </w:r>
          </w:p>
        </w:tc>
      </w:tr>
    </w:tbl>
    <w:p>
      <w:pPr>
        <w:spacing w:after="120"/>
      </w:pPr>
    </w:p>
    <w:p>
      <w:pPr>
        <w:sectPr>
          <w:footerReference w:type="default" r:id="rId9"/>
          <w:pgSz w:w="12240" w:h="15840"/>
          <w:pgMar w:top="1080" w:right="1080" w:bottom="1080" w:left="1080" w:header="720" w:footer="720" w:gutter="0"/>
          <w:cols w:space="720"/>
          <w:docGrid w:linePitch="360"/>
        </w:sectPr>
      </w:pPr>
    </w:p>
    <w:p>
      <w:pPr>
        <w:keepNext/>
        <w:spacing w:before="240" w:after="80"/>
      </w:pPr>
      <w:r>
        <w:rPr>
          <w:rFonts w:ascii="Times New Roman" w:hAnsi="Times New Roman"/>
          <w:b/>
          <w:color w:val="1B365D"/>
          <w:sz w:val="23"/>
        </w:rPr>
        <w:t>I. Introduction</w:t>
      </w:r>
    </w:p>
    <w:p>
      <w:pPr>
        <w:spacing w:before="0" w:after="80" w:line="252" w:lineRule="auto"/>
        <w:ind w:firstLine="216"/>
      </w:pPr>
      <w:r>
        <w:rPr>
          <w:rFonts w:ascii="Times New Roman" w:hAnsi="Times New Roman"/>
          <w:color w:val="000000"/>
          <w:sz w:val="18"/>
        </w:rPr>
        <w:t>Infrastructure-as-Code (IaC) has fundamentally transformed cloud engineering by enabling declarative, version-controlled resource provisioning. Software developers extensively rely on IaC templates—such as HashiCorp Terraform (HCL2), AWS CloudFormation (JSON/YAML), Kubernetes Manifests, and Helm Charts—to automate multi-cloud infrastructure across Amazon Web Services (AWS), Microsoft Azure, and Google Cloud Platform (GCP). While IaC significantly enhances velocity and repeatability, security misconfigurations introduced within templates automatically propagate across cloud environments at scale [1], [2].</w:t>
      </w:r>
    </w:p>
    <w:p>
      <w:pPr>
        <w:spacing w:before="0" w:after="80" w:line="252" w:lineRule="auto"/>
        <w:ind w:firstLine="216"/>
      </w:pPr>
      <w:r>
        <w:rPr>
          <w:rFonts w:ascii="Times New Roman" w:hAnsi="Times New Roman"/>
          <w:color w:val="000000"/>
          <w:sz w:val="18"/>
        </w:rPr>
        <w:t>High-profile security incidents, such as the UniSuper Google Cloud private cloud deletion breach [7] and the Capital One S3 bucket misconfiguration, demonstrate the severe risks associated with automated control plane errors. Security flaws in IaC templates typically include unencrypted databases, overly permissive Identity and Access Management (IAM) wildcards ('Action': '*'), open security group ingress ports ('0.0.0.0/0'), and hardcoded API tokens. Consequently, proactively identifying and remediating IaC vulnerabilities prior to deployment ("Shift-Left Security") is imperative.</w:t>
      </w:r>
    </w:p>
    <w:p>
      <w:pPr>
        <w:keepNext/>
        <w:spacing w:before="160" w:after="60"/>
      </w:pPr>
      <w:r>
        <w:rPr>
          <w:rFonts w:ascii="Times New Roman" w:hAnsi="Times New Roman"/>
          <w:b/>
          <w:i/>
          <w:color w:val="2C5282"/>
          <w:sz w:val="21"/>
        </w:rPr>
        <w:t>A. Limitations of Existing IaC Security Paradigms</w:t>
      </w:r>
    </w:p>
    <w:p>
      <w:pPr>
        <w:spacing w:before="0" w:after="80" w:line="252" w:lineRule="auto"/>
        <w:ind w:firstLine="216"/>
      </w:pPr>
      <w:r>
        <w:rPr>
          <w:rFonts w:ascii="Times New Roman" w:hAnsi="Times New Roman"/>
          <w:color w:val="000000"/>
          <w:sz w:val="18"/>
        </w:rPr>
        <w:t>Current approaches to IaC security fall into two primary traditional categories, both exhibiting structural limitations:</w:t>
      </w:r>
    </w:p>
    <w:p>
      <w:pPr>
        <w:pStyle w:val="ListBullet"/>
        <w:spacing w:before="0" w:after="40" w:line="252" w:lineRule="auto"/>
        <w:ind w:left="216"/>
      </w:pPr>
      <w:r>
        <w:rPr>
          <w:rFonts w:ascii="Times New Roman" w:hAnsi="Times New Roman"/>
          <w:b/>
          <w:color w:val="000000"/>
          <w:sz w:val="18"/>
        </w:rPr>
        <w:t xml:space="preserve">1) Static Analysis Linters: </w:t>
      </w:r>
      <w:r>
        <w:rPr>
          <w:rFonts w:ascii="Times New Roman" w:hAnsi="Times New Roman"/>
          <w:color w:val="000000"/>
          <w:sz w:val="18"/>
        </w:rPr>
        <w:t>Static checkers such as Checkov, tfsec, KICS, and CDK-Nag evaluate IaC source files against rigid regex rule packs [2]. While fast, static tools are context-blind, generating elevated false-positive rates on parameterized templates and failing to detect compound multi-resource vulnerabilities.</w:t>
      </w:r>
    </w:p>
    <w:p>
      <w:pPr>
        <w:pStyle w:val="ListBullet"/>
        <w:spacing w:before="0" w:after="40" w:line="252" w:lineRule="auto"/>
        <w:ind w:left="216"/>
      </w:pPr>
      <w:r>
        <w:rPr>
          <w:rFonts w:ascii="Times New Roman" w:hAnsi="Times New Roman"/>
          <w:b/>
          <w:color w:val="000000"/>
          <w:sz w:val="18"/>
        </w:rPr>
        <w:t xml:space="preserve">2) Cloud Security Posture Management (CSPM): </w:t>
      </w:r>
      <w:r>
        <w:rPr>
          <w:rFonts w:ascii="Times New Roman" w:hAnsi="Times New Roman"/>
          <w:color w:val="000000"/>
          <w:sz w:val="18"/>
        </w:rPr>
        <w:t>Tools like AWS Config monitor live cloud infrastructure post-deployment. Operating strictly at runtime ("Shift-Right"), CSPMs identify misconfigurations only after vulnerable assets are deployed in production.</w:t>
      </w:r>
    </w:p>
    <w:p>
      <w:pPr>
        <w:keepNext/>
        <w:spacing w:before="160" w:after="60"/>
      </w:pPr>
      <w:r>
        <w:rPr>
          <w:rFonts w:ascii="Times New Roman" w:hAnsi="Times New Roman"/>
          <w:b/>
          <w:i/>
          <w:color w:val="2C5282"/>
          <w:sz w:val="21"/>
        </w:rPr>
        <w:t>B. Motivation &amp; Research Gaps in Base Paper</w:t>
      </w:r>
    </w:p>
    <w:p>
      <w:pPr>
        <w:spacing w:before="0" w:after="80" w:line="252" w:lineRule="auto"/>
        <w:ind w:firstLine="216"/>
      </w:pPr>
      <w:r>
        <w:rPr>
          <w:rFonts w:ascii="Times New Roman" w:hAnsi="Times New Roman"/>
          <w:color w:val="000000"/>
          <w:sz w:val="18"/>
        </w:rPr>
        <w:t>To overcome rule rigidity, recent studies explore Large Language Models (LLMs) and Retrieval-Augmented Generation (RAG). Toprani &amp; Madisetti (IEEE Access, 2025) proposed a 3-agent LLM workflow utilizing Anthropic Claude 3.5 Sonnet and AWS OpenSearch to analyze AWS CloudFormation templates [1]. Their system demonstrated that semantic reasoning identifies subtle compound flaws overlooked by static checkers.</w:t>
      </w:r>
    </w:p>
    <w:p>
      <w:pPr>
        <w:spacing w:before="0" w:after="80" w:line="252" w:lineRule="auto"/>
        <w:ind w:firstLine="216"/>
      </w:pPr>
      <w:r>
        <w:rPr>
          <w:rFonts w:ascii="Times New Roman" w:hAnsi="Times New Roman"/>
          <w:color w:val="000000"/>
          <w:sz w:val="18"/>
        </w:rPr>
        <w:t>However, detailed analysis of the base paper by Toprani &amp; Madisetti reveals critical gaps hindering enterprise deployment:</w:t>
      </w:r>
    </w:p>
    <w:p>
      <w:pPr>
        <w:pStyle w:val="ListBullet"/>
        <w:spacing w:before="0" w:after="40" w:line="252" w:lineRule="auto"/>
        <w:ind w:left="216"/>
      </w:pPr>
      <w:r>
        <w:rPr>
          <w:rFonts w:ascii="Times New Roman" w:hAnsi="Times New Roman"/>
          <w:b/>
          <w:color w:val="000000"/>
          <w:sz w:val="18"/>
        </w:rPr>
        <w:t xml:space="preserve">• Single-Cloud Scope: </w:t>
      </w:r>
      <w:r>
        <w:rPr>
          <w:rFonts w:ascii="Times New Roman" w:hAnsi="Times New Roman"/>
          <w:color w:val="000000"/>
          <w:sz w:val="18"/>
        </w:rPr>
        <w:t>Restricted to AWS CloudFormation only; completely lacks multi-cloud support (Azure, GCP) and dominant IaC languages (Terraform, Kubernetes, Helm) [1].</w:t>
      </w:r>
    </w:p>
    <w:p>
      <w:pPr>
        <w:pStyle w:val="ListBullet"/>
        <w:spacing w:before="0" w:after="40" w:line="252" w:lineRule="auto"/>
        <w:ind w:left="216"/>
      </w:pPr>
      <w:r>
        <w:rPr>
          <w:rFonts w:ascii="Times New Roman" w:hAnsi="Times New Roman"/>
          <w:b/>
          <w:color w:val="000000"/>
          <w:sz w:val="18"/>
        </w:rPr>
        <w:t xml:space="preserve">• Parameterized Template Failure: </w:t>
      </w:r>
      <w:r>
        <w:rPr>
          <w:rFonts w:ascii="Times New Roman" w:hAnsi="Times New Roman"/>
          <w:color w:val="000000"/>
          <w:sz w:val="18"/>
        </w:rPr>
        <w:t>Struggles with parameterized logic and conditional resource creation ('count', 'for_each'), producing redundant alerts or missing conditional exploit paths [1].</w:t>
      </w:r>
    </w:p>
    <w:p>
      <w:pPr>
        <w:pStyle w:val="ListBullet"/>
        <w:spacing w:before="0" w:after="40" w:line="252" w:lineRule="auto"/>
        <w:ind w:left="216"/>
      </w:pPr>
      <w:r>
        <w:rPr>
          <w:rFonts w:ascii="Times New Roman" w:hAnsi="Times New Roman"/>
          <w:b/>
          <w:color w:val="000000"/>
          <w:sz w:val="18"/>
        </w:rPr>
        <w:t xml:space="preserve">• Text-Only Remediation: </w:t>
      </w:r>
      <w:r>
        <w:rPr>
          <w:rFonts w:ascii="Times New Roman" w:hAnsi="Times New Roman"/>
          <w:color w:val="000000"/>
          <w:sz w:val="18"/>
        </w:rPr>
        <w:t>Generates natural language text advice (e.g., 'Enable encryption'), forcing developers to manually write code patches [1].</w:t>
      </w:r>
    </w:p>
    <w:p>
      <w:pPr>
        <w:pStyle w:val="ListBullet"/>
        <w:spacing w:before="0" w:after="40" w:line="252" w:lineRule="auto"/>
        <w:ind w:left="216"/>
      </w:pPr>
      <w:r>
        <w:rPr>
          <w:rFonts w:ascii="Times New Roman" w:hAnsi="Times New Roman"/>
          <w:b/>
          <w:color w:val="000000"/>
          <w:sz w:val="18"/>
        </w:rPr>
        <w:t xml:space="preserve">• High False Positives (~15%): </w:t>
      </w:r>
      <w:r>
        <w:rPr>
          <w:rFonts w:ascii="Times New Roman" w:hAnsi="Times New Roman"/>
          <w:color w:val="000000"/>
          <w:sz w:val="18"/>
        </w:rPr>
        <w:t>Single-LLM reasoning yields an approximate 15% false-positive rate due to model hallucinations [1].</w:t>
      </w:r>
    </w:p>
    <w:p>
      <w:pPr>
        <w:pStyle w:val="ListBullet"/>
        <w:spacing w:before="0" w:after="40" w:line="252" w:lineRule="auto"/>
        <w:ind w:left="216"/>
      </w:pPr>
      <w:r>
        <w:rPr>
          <w:rFonts w:ascii="Times New Roman" w:hAnsi="Times New Roman"/>
          <w:b/>
          <w:color w:val="000000"/>
          <w:sz w:val="18"/>
        </w:rPr>
        <w:t xml:space="preserve">• Missing Secrets Scanning: </w:t>
      </w:r>
      <w:r>
        <w:rPr>
          <w:rFonts w:ascii="Times New Roman" w:hAnsi="Times New Roman"/>
          <w:color w:val="000000"/>
          <w:sz w:val="18"/>
        </w:rPr>
        <w:t>Pipeline lacks mechanisms to detect hardcoded API keys, RSA keys, or tokens embedded in templates [1].</w:t>
      </w:r>
    </w:p>
    <w:p>
      <w:pPr>
        <w:pStyle w:val="ListBullet"/>
        <w:spacing w:before="0" w:after="40" w:line="252" w:lineRule="auto"/>
        <w:ind w:left="216"/>
      </w:pPr>
      <w:r>
        <w:rPr>
          <w:rFonts w:ascii="Times New Roman" w:hAnsi="Times New Roman"/>
          <w:b/>
          <w:color w:val="000000"/>
          <w:sz w:val="18"/>
        </w:rPr>
        <w:t xml:space="preserve">• Zero Patch Validation: </w:t>
      </w:r>
      <w:r>
        <w:rPr>
          <w:rFonts w:ascii="Times New Roman" w:hAnsi="Times New Roman"/>
          <w:color w:val="000000"/>
          <w:sz w:val="18"/>
        </w:rPr>
        <w:t>Remediation suggestions are never validated against static linters or dry-run deployment environments [1].</w:t>
      </w:r>
    </w:p>
    <w:p>
      <w:pPr>
        <w:keepNext/>
        <w:spacing w:before="160" w:after="60"/>
      </w:pPr>
      <w:r>
        <w:rPr>
          <w:rFonts w:ascii="Times New Roman" w:hAnsi="Times New Roman"/>
          <w:b/>
          <w:i/>
          <w:color w:val="2C5282"/>
          <w:sz w:val="21"/>
        </w:rPr>
        <w:t>C. Core Contributions of AgentShield AI</w:t>
      </w:r>
    </w:p>
    <w:p>
      <w:pPr>
        <w:spacing w:before="0" w:after="80" w:line="252" w:lineRule="auto"/>
        <w:ind w:firstLine="216"/>
      </w:pPr>
      <w:r>
        <w:rPr>
          <w:rFonts w:ascii="Times New Roman" w:hAnsi="Times New Roman"/>
          <w:color w:val="000000"/>
          <w:sz w:val="18"/>
        </w:rPr>
        <w:t>AgentShield AI resolves these limitations through an autonomous 8-agent LangGraph network providing multi-cloud IaC coverage, AST variable resolution, Gitleaks secret scanning, Multi-LLM Ensemble Voting (Claude 3.5 + GPT-4o), LocalStack sandbox patch validation, and automated compliance mapping.</w:t>
      </w:r>
    </w:p>
    <w:p>
      <w:pPr>
        <w:keepNext/>
        <w:spacing w:before="240" w:after="80"/>
      </w:pPr>
      <w:r>
        <w:rPr>
          <w:rFonts w:ascii="Times New Roman" w:hAnsi="Times New Roman"/>
          <w:b/>
          <w:color w:val="1B365D"/>
          <w:sz w:val="23"/>
        </w:rPr>
        <w:t>II. LITERATURE REVIEW (L.R)</w:t>
      </w:r>
    </w:p>
    <w:p>
      <w:pPr>
        <w:spacing w:before="0" w:after="80" w:line="252" w:lineRule="auto"/>
        <w:ind w:firstLine="216"/>
      </w:pPr>
      <w:r>
        <w:rPr>
          <w:rFonts w:ascii="Times New Roman" w:hAnsi="Times New Roman"/>
          <w:color w:val="000000"/>
          <w:sz w:val="18"/>
        </w:rPr>
        <w:t>Research in IaC security encompasses four main technical paradigms:</w:t>
      </w:r>
    </w:p>
    <w:p>
      <w:pPr>
        <w:pStyle w:val="ListBullet"/>
        <w:spacing w:before="0" w:after="40" w:line="252" w:lineRule="auto"/>
        <w:ind w:left="216"/>
      </w:pPr>
      <w:r>
        <w:rPr>
          <w:rFonts w:ascii="Times New Roman" w:hAnsi="Times New Roman"/>
          <w:b/>
          <w:color w:val="000000"/>
          <w:sz w:val="18"/>
        </w:rPr>
        <w:t xml:space="preserve">1) Rule-Based Static Analysis: </w:t>
      </w:r>
      <w:r>
        <w:rPr>
          <w:rFonts w:ascii="Times New Roman" w:hAnsi="Times New Roman"/>
          <w:color w:val="000000"/>
          <w:sz w:val="18"/>
        </w:rPr>
        <w:t>Rule-based linters (Checkov, tfsec, KICS, CDK-Nag) parse IaC code into AST representations to match static policy rules. While efficient, their inability to pre-evaluate dynamic parameters causes high false-positive rates on production modules [2].</w:t>
      </w:r>
    </w:p>
    <w:p>
      <w:pPr>
        <w:pStyle w:val="ListBullet"/>
        <w:spacing w:before="0" w:after="40" w:line="252" w:lineRule="auto"/>
        <w:ind w:left="216"/>
      </w:pPr>
      <w:r>
        <w:rPr>
          <w:rFonts w:ascii="Times New Roman" w:hAnsi="Times New Roman"/>
          <w:b/>
          <w:color w:val="000000"/>
          <w:sz w:val="18"/>
        </w:rPr>
        <w:t xml:space="preserve">2) Dynamic Runtime &amp; CSPM Analysis: </w:t>
      </w:r>
      <w:r>
        <w:rPr>
          <w:rFonts w:ascii="Times New Roman" w:hAnsi="Times New Roman"/>
          <w:color w:val="000000"/>
          <w:sz w:val="18"/>
        </w:rPr>
        <w:t>CSPM tools (AWS Config, Prisma Cloud) monitor deployed resources post-provisioning. While effective at runtime, CSPM operates reactively after infrastructure exposure.</w:t>
      </w:r>
    </w:p>
    <w:p>
      <w:pPr>
        <w:pStyle w:val="ListBullet"/>
        <w:spacing w:before="0" w:after="40" w:line="252" w:lineRule="auto"/>
        <w:ind w:left="216"/>
      </w:pPr>
      <w:r>
        <w:rPr>
          <w:rFonts w:ascii="Times New Roman" w:hAnsi="Times New Roman"/>
          <w:b/>
          <w:color w:val="000000"/>
          <w:sz w:val="18"/>
        </w:rPr>
        <w:t xml:space="preserve">3) Machine Learning Smell Detection: </w:t>
      </w:r>
      <w:r>
        <w:rPr>
          <w:rFonts w:ascii="Times New Roman" w:hAnsi="Times New Roman"/>
          <w:color w:val="000000"/>
          <w:sz w:val="18"/>
        </w:rPr>
        <w:t>Machine learning frameworks such as GLITCH (Saavedra &amp; Ferreira, 2022) utilize supervised learning on polyglot intermediate representations [2]. However, ML detectors require massive labeled datasets, fail on zero-day patterns, and cannot generate code fixes.</w:t>
      </w:r>
    </w:p>
    <w:p>
      <w:pPr>
        <w:pStyle w:val="ListBullet"/>
        <w:spacing w:before="0" w:after="40" w:line="252" w:lineRule="auto"/>
        <w:ind w:left="216"/>
      </w:pPr>
      <w:r>
        <w:rPr>
          <w:rFonts w:ascii="Times New Roman" w:hAnsi="Times New Roman"/>
          <w:b/>
          <w:color w:val="000000"/>
          <w:sz w:val="18"/>
        </w:rPr>
        <w:t xml:space="preserve">4) Generative AI &amp; Agentic LLM Workflows: </w:t>
      </w:r>
      <w:r>
        <w:rPr>
          <w:rFonts w:ascii="Times New Roman" w:hAnsi="Times New Roman"/>
          <w:color w:val="000000"/>
          <w:sz w:val="18"/>
        </w:rPr>
        <w:t>Recent research leverages LLMs for configuration security. GenKubeSec (Malul et al., 2024) applied LLMs to Kubernetes manifests [3]; Lian et al. (2023) introduced Ciri for configuration validation [4]; Minna et al. (2024) evaluated Helm chart security [5]; and Toprani &amp; Madisetti (2025) presented a 3-agent LLM + RAG workflow for CloudFormation [1]. Despite promise, existing LLM workflows suffer single-cloud limits, ~15% false positives, and zero patch validation [6].</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B0C4DE"/>
          <w:insideV w:val="none"/>
        </w:tblBorders>
      </w:tblPr>
      <w:tblGrid>
        <w:gridCol w:w="2016"/>
        <w:gridCol w:w="2016"/>
        <w:gridCol w:w="2016"/>
        <w:gridCol w:w="2016"/>
        <w:gridCol w:w="2016"/>
      </w:tblGrid>
      <w:tr>
        <w:trPr>
          <w:cantSplit/>
          <w:tblHeader/>
        </w:trPr>
        <w:tc>
          <w:tcPr>
            <w:tcW w:type="dxa" w:w="2016"/>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Feature / Capability</w:t>
            </w:r>
          </w:p>
        </w:tc>
        <w:tc>
          <w:tcPr>
            <w:tcW w:type="dxa" w:w="2016"/>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Checkov [2]</w:t>
            </w:r>
          </w:p>
        </w:tc>
        <w:tc>
          <w:tcPr>
            <w:tcW w:type="dxa" w:w="2016"/>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GLITCH [2]</w:t>
            </w:r>
          </w:p>
        </w:tc>
        <w:tc>
          <w:tcPr>
            <w:tcW w:type="dxa" w:w="2016"/>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Toprani &amp; Madisetti [1]</w:t>
            </w:r>
          </w:p>
        </w:tc>
        <w:tc>
          <w:tcPr>
            <w:tcW w:type="dxa" w:w="2016"/>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AgentShield AI (Proposed)</w:t>
            </w:r>
          </w:p>
        </w:tc>
      </w:tr>
      <w:tr>
        <w:trPr>
          <w:cantSplit/>
        </w:trPr>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IaC Framework Scope</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Multi-IaC</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Polyglot</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AWS CloudFormation Only</w:t>
            </w:r>
          </w:p>
        </w:tc>
        <w:tc>
          <w:tcPr>
            <w:tcW w:type="dxa" w:w="2016"/>
            <w:tcMar>
              <w:top w:w="40" w:type="dxa"/>
              <w:bottom w:w="40" w:type="dxa"/>
              <w:left w:w="40" w:type="dxa"/>
              <w:right w:w="40" w:type="dxa"/>
            </w:tcMar>
            <w:shd w:fill="EBF8FF"/>
          </w:tcPr>
          <w:p>
            <w:pPr>
              <w:spacing w:before="20" w:after="20" w:line="240" w:lineRule="auto"/>
              <w:jc w:val="left"/>
            </w:pPr>
            <w:r>
              <w:rPr>
                <w:rFonts w:ascii="Times New Roman" w:hAnsi="Times New Roman"/>
                <w:b/>
                <w:color w:val="000000"/>
                <w:sz w:val="14"/>
              </w:rPr>
              <w:t>Terraform, CFN, K8s, Helm (Multi-Cloud)</w:t>
            </w:r>
          </w:p>
        </w:tc>
      </w:tr>
      <w:tr>
        <w:trPr>
          <w:cantSplit/>
        </w:trPr>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Reasoning Engine</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Static Regex / AST</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Supervised ML</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Single LLM (Claude 3.5)</w:t>
            </w:r>
          </w:p>
        </w:tc>
        <w:tc>
          <w:tcPr>
            <w:tcW w:type="dxa" w:w="2016"/>
            <w:tcMar>
              <w:top w:w="40" w:type="dxa"/>
              <w:bottom w:w="40" w:type="dxa"/>
              <w:left w:w="40" w:type="dxa"/>
              <w:right w:w="40" w:type="dxa"/>
            </w:tcMar>
            <w:shd w:fill="EBF8FF"/>
          </w:tcPr>
          <w:p>
            <w:pPr>
              <w:spacing w:before="20" w:after="20" w:line="240" w:lineRule="auto"/>
              <w:jc w:val="left"/>
            </w:pPr>
            <w:r>
              <w:rPr>
                <w:rFonts w:ascii="Times New Roman" w:hAnsi="Times New Roman"/>
                <w:b/>
                <w:color w:val="000000"/>
                <w:sz w:val="14"/>
              </w:rPr>
              <w:t>AST + RAG + Multi-LLM Ensemble</w:t>
            </w:r>
          </w:p>
        </w:tc>
      </w:tr>
      <w:tr>
        <w:trPr>
          <w:cantSplit/>
        </w:trPr>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Secret Scanning</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Basic Regex</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EBF8FF"/>
          </w:tcPr>
          <w:p>
            <w:pPr>
              <w:spacing w:before="20" w:after="20" w:line="240" w:lineRule="auto"/>
              <w:jc w:val="left"/>
            </w:pPr>
            <w:r>
              <w:rPr>
                <w:rFonts w:ascii="Times New Roman" w:hAnsi="Times New Roman"/>
                <w:b/>
                <w:color w:val="000000"/>
                <w:sz w:val="14"/>
              </w:rPr>
              <w:t>Gitleaks + TruffleHog + Entropy Engine</w:t>
            </w:r>
          </w:p>
        </w:tc>
      </w:tr>
      <w:tr>
        <w:trPr>
          <w:cantSplit/>
        </w:trPr>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Remediation Output</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Text Suggestions Only</w:t>
            </w:r>
          </w:p>
        </w:tc>
        <w:tc>
          <w:tcPr>
            <w:tcW w:type="dxa" w:w="2016"/>
            <w:tcMar>
              <w:top w:w="40" w:type="dxa"/>
              <w:bottom w:w="40" w:type="dxa"/>
              <w:left w:w="40" w:type="dxa"/>
              <w:right w:w="40" w:type="dxa"/>
            </w:tcMar>
            <w:shd w:fill="EBF8FF"/>
          </w:tcPr>
          <w:p>
            <w:pPr>
              <w:spacing w:before="20" w:after="20" w:line="240" w:lineRule="auto"/>
              <w:jc w:val="left"/>
            </w:pPr>
            <w:r>
              <w:rPr>
                <w:rFonts w:ascii="Times New Roman" w:hAnsi="Times New Roman"/>
                <w:b/>
                <w:color w:val="000000"/>
                <w:sz w:val="14"/>
              </w:rPr>
              <w:t>Automated Unified Code Diff Patches</w:t>
            </w:r>
          </w:p>
        </w:tc>
      </w:tr>
      <w:tr>
        <w:trPr>
          <w:cantSplit/>
        </w:trPr>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Execution Sandbox</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EBF8FF"/>
          </w:tcPr>
          <w:p>
            <w:pPr>
              <w:spacing w:before="20" w:after="20" w:line="240" w:lineRule="auto"/>
              <w:jc w:val="left"/>
            </w:pPr>
            <w:r>
              <w:rPr>
                <w:rFonts w:ascii="Times New Roman" w:hAnsi="Times New Roman"/>
                <w:b/>
                <w:color w:val="000000"/>
                <w:sz w:val="14"/>
              </w:rPr>
              <w:t>Static Linters + LocalStack Docker</w:t>
            </w:r>
          </w:p>
        </w:tc>
      </w:tr>
      <w:tr>
        <w:trPr>
          <w:cantSplit/>
        </w:trPr>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Compliance Mapping</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Manual / Static</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FFFFF"/>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EBF8FF"/>
          </w:tcPr>
          <w:p>
            <w:pPr>
              <w:spacing w:before="20" w:after="20" w:line="240" w:lineRule="auto"/>
              <w:jc w:val="left"/>
            </w:pPr>
            <w:r>
              <w:rPr>
                <w:rFonts w:ascii="Times New Roman" w:hAnsi="Times New Roman"/>
                <w:b/>
                <w:color w:val="000000"/>
                <w:sz w:val="14"/>
              </w:rPr>
              <w:t>Automated SOC2, HIPAA, PCI-DSS, NIST</w:t>
            </w:r>
          </w:p>
        </w:tc>
      </w:tr>
      <w:tr>
        <w:trPr>
          <w:cantSplit/>
        </w:trPr>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Developer Feedback</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F7FAFC"/>
          </w:tcPr>
          <w:p>
            <w:pPr>
              <w:spacing w:before="20" w:after="20" w:line="240" w:lineRule="auto"/>
              <w:jc w:val="left"/>
            </w:pPr>
            <w:r>
              <w:rPr>
                <w:rFonts w:ascii="Times New Roman" w:hAnsi="Times New Roman"/>
                <w:color w:val="000000"/>
                <w:sz w:val="14"/>
              </w:rPr>
              <w:t>None</w:t>
            </w:r>
          </w:p>
        </w:tc>
        <w:tc>
          <w:tcPr>
            <w:tcW w:type="dxa" w:w="2016"/>
            <w:tcMar>
              <w:top w:w="40" w:type="dxa"/>
              <w:bottom w:w="40" w:type="dxa"/>
              <w:left w:w="40" w:type="dxa"/>
              <w:right w:w="40" w:type="dxa"/>
            </w:tcMar>
            <w:shd w:fill="EBF8FF"/>
          </w:tcPr>
          <w:p>
            <w:pPr>
              <w:spacing w:before="20" w:after="20" w:line="240" w:lineRule="auto"/>
              <w:jc w:val="left"/>
            </w:pPr>
            <w:r>
              <w:rPr>
                <w:rFonts w:ascii="Times New Roman" w:hAnsi="Times New Roman"/>
                <w:b/>
                <w:color w:val="000000"/>
                <w:sz w:val="14"/>
              </w:rPr>
              <w:t>Dynamic Few-Shot Learning Loop</w:t>
            </w:r>
          </w:p>
        </w:tc>
      </w:tr>
    </w:tbl>
    <w:p>
      <w:pPr>
        <w:spacing w:before="40" w:after="120"/>
        <w:jc w:val="center"/>
      </w:pPr>
      <w:r>
        <w:rPr>
          <w:rFonts w:ascii="Times New Roman" w:hAnsi="Times New Roman"/>
          <w:b/>
          <w:color w:val="2C5282"/>
          <w:sz w:val="16"/>
        </w:rPr>
        <w:t>TABLE I: Comparative Feature Matrix</w:t>
      </w:r>
    </w:p>
    <w:p>
      <w:pPr>
        <w:keepNext/>
        <w:spacing w:before="240" w:after="80"/>
      </w:pPr>
      <w:r>
        <w:rPr>
          <w:rFonts w:ascii="Times New Roman" w:hAnsi="Times New Roman"/>
          <w:b/>
          <w:color w:val="1B365D"/>
          <w:sz w:val="23"/>
        </w:rPr>
        <w:t>III. Proposed Method</w:t>
      </w:r>
    </w:p>
    <w:p>
      <w:pPr>
        <w:spacing w:before="0" w:after="80" w:line="252" w:lineRule="auto"/>
        <w:ind w:firstLine="216"/>
      </w:pPr>
      <w:r>
        <w:rPr>
          <w:rFonts w:ascii="Times New Roman" w:hAnsi="Times New Roman"/>
          <w:color w:val="000000"/>
          <w:sz w:val="18"/>
        </w:rPr>
        <w:t>AgentShield AI replaces linear 3-agent pipelines with a stateful, non-linear multi-agent orchestration graph built on LangGraph (Fig. 1). The system coordinates 8 specialized AI agents operating over an immutable Pydantic state schema (`AgentShieldState`), ensuring complete auditability and fallback control.</w:t>
      </w:r>
    </w:p>
    <w:p>
      <w:pPr>
        <w:spacing w:before="80" w:after="40"/>
        <w:jc w:val="center"/>
      </w:pPr>
    </w:p>
    <w:p>
      <w:r>
        <w:drawing>
          <wp:inline xmlns:a="http://schemas.openxmlformats.org/drawingml/2006/main" xmlns:pic="http://schemas.openxmlformats.org/drawingml/2006/picture">
            <wp:extent cx="3017520" cy="145182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017520" cy="1451826"/>
                    </a:xfrm>
                    <a:prstGeom prst="rect"/>
                  </pic:spPr>
                </pic:pic>
              </a:graphicData>
            </a:graphic>
          </wp:inline>
        </w:drawing>
      </w:r>
    </w:p>
    <w:p>
      <w:pPr>
        <w:spacing w:before="0" w:after="120"/>
        <w:jc w:val="center"/>
      </w:pPr>
      <w:r>
        <w:rPr>
          <w:rFonts w:ascii="Times New Roman" w:hAnsi="Times New Roman"/>
          <w:i/>
          <w:color w:val="232323"/>
          <w:sz w:val="15"/>
        </w:rPr>
        <w:t>Fig. 1. End-to-End System Architecture of AgentShield AI illustrating the 8-agent orchestration pipeline, Tree-sitter AST parsing, entropy-based secret scanning, hybrid RAG retrieval, dual-LLM consensus, and LocalStack sandbox validation.</w:t>
      </w:r>
    </w:p>
    <w:p>
      <w:pPr>
        <w:keepNext/>
        <w:spacing w:before="160" w:after="60"/>
      </w:pPr>
      <w:r>
        <w:rPr>
          <w:rFonts w:ascii="Times New Roman" w:hAnsi="Times New Roman"/>
          <w:b/>
          <w:i/>
          <w:color w:val="2C5282"/>
          <w:sz w:val="21"/>
        </w:rPr>
        <w:t>A. Specialized 8-Agent Network Breakdown</w:t>
      </w:r>
    </w:p>
    <w:p>
      <w:pPr>
        <w:pStyle w:val="ListBullet"/>
        <w:spacing w:before="0" w:after="40" w:line="252" w:lineRule="auto"/>
        <w:ind w:left="216"/>
      </w:pPr>
      <w:r>
        <w:rPr>
          <w:rFonts w:ascii="Times New Roman" w:hAnsi="Times New Roman"/>
          <w:b/>
          <w:color w:val="000000"/>
          <w:sz w:val="18"/>
        </w:rPr>
        <w:t xml:space="preserve">1) Manager / Router Agent: </w:t>
      </w:r>
      <w:r>
        <w:rPr>
          <w:rFonts w:ascii="Times New Roman" w:hAnsi="Times New Roman"/>
          <w:color w:val="000000"/>
          <w:sz w:val="18"/>
        </w:rPr>
        <w:t>Primary orchestrator that inspects input IaC packages, identifies template formats (HCL, CFN, K8s, Helm), and manages graph routing.</w:t>
      </w:r>
    </w:p>
    <w:p>
      <w:pPr>
        <w:pStyle w:val="ListBullet"/>
        <w:spacing w:before="0" w:after="40" w:line="252" w:lineRule="auto"/>
        <w:ind w:left="216"/>
      </w:pPr>
      <w:r>
        <w:rPr>
          <w:rFonts w:ascii="Times New Roman" w:hAnsi="Times New Roman"/>
          <w:b/>
          <w:color w:val="000000"/>
          <w:sz w:val="18"/>
        </w:rPr>
        <w:t xml:space="preserve">2) Hybrid AST Parser Agent: </w:t>
      </w:r>
      <w:r>
        <w:rPr>
          <w:rFonts w:ascii="Times New Roman" w:hAnsi="Times New Roman"/>
          <w:color w:val="000000"/>
          <w:sz w:val="18"/>
        </w:rPr>
        <w:t>Parses IaC code into structured ASTs, pre-evaluating dynamic parameter references and conditional blocks ('count', 'for_each') prior to LLM reasoning [1].</w:t>
      </w:r>
    </w:p>
    <w:p>
      <w:pPr>
        <w:pStyle w:val="ListBullet"/>
        <w:spacing w:before="0" w:after="40" w:line="252" w:lineRule="auto"/>
        <w:ind w:left="216"/>
      </w:pPr>
      <w:r>
        <w:rPr>
          <w:rFonts w:ascii="Times New Roman" w:hAnsi="Times New Roman"/>
          <w:b/>
          <w:color w:val="000000"/>
          <w:sz w:val="18"/>
        </w:rPr>
        <w:t xml:space="preserve">3) Secrets Scanner Agent: </w:t>
      </w:r>
      <w:r>
        <w:rPr>
          <w:rFonts w:ascii="Times New Roman" w:hAnsi="Times New Roman"/>
          <w:color w:val="000000"/>
          <w:sz w:val="18"/>
        </w:rPr>
        <w:t>Executes embedded Gitleaks and TruffleHog engines over IaC templates to intercept hardcoded API keys, JWT tokens, and private certificates.</w:t>
      </w:r>
    </w:p>
    <w:p>
      <w:pPr>
        <w:pStyle w:val="ListBullet"/>
        <w:spacing w:before="0" w:after="40" w:line="252" w:lineRule="auto"/>
        <w:ind w:left="216"/>
      </w:pPr>
      <w:r>
        <w:rPr>
          <w:rFonts w:ascii="Times New Roman" w:hAnsi="Times New Roman"/>
          <w:b/>
          <w:color w:val="000000"/>
          <w:sz w:val="18"/>
        </w:rPr>
        <w:t xml:space="preserve">4) RAG Query Agent: </w:t>
      </w:r>
      <w:r>
        <w:rPr>
          <w:rFonts w:ascii="Times New Roman" w:hAnsi="Times New Roman"/>
          <w:color w:val="000000"/>
          <w:sz w:val="18"/>
        </w:rPr>
        <w:t>Queries a Qdrant/ChromaDB vector store containing CIS Benchmarks, cloud security policies, and daily CVE updates using a hybrid dense-sparse (vector + BM25) retrieval model.</w:t>
      </w:r>
    </w:p>
    <w:p>
      <w:pPr>
        <w:pStyle w:val="ListBullet"/>
        <w:spacing w:before="0" w:after="40" w:line="252" w:lineRule="auto"/>
        <w:ind w:left="216"/>
      </w:pPr>
      <w:r>
        <w:rPr>
          <w:rFonts w:ascii="Times New Roman" w:hAnsi="Times New Roman"/>
          <w:b/>
          <w:color w:val="000000"/>
          <w:sz w:val="18"/>
        </w:rPr>
        <w:t xml:space="preserve">5) Security Analyst Agent: </w:t>
      </w:r>
      <w:r>
        <w:rPr>
          <w:rFonts w:ascii="Times New Roman" w:hAnsi="Times New Roman"/>
          <w:color w:val="000000"/>
          <w:sz w:val="18"/>
        </w:rPr>
        <w:t>Executes parallel Multi-LLM Ensemble Voting utilizing Anthropic Claude 3.5 Sonnet and OpenAI GPT-4o. Employs Chain-of-Thought reasoning to calculate an ensemble confidence score (C_ensemble). Findings with C_ensemble &gt;= 0.85 proceed to auto-patching, while findings with C_ensemble &lt; 0.85 are escalated.</w:t>
      </w:r>
    </w:p>
    <w:p>
      <w:pPr>
        <w:pStyle w:val="ListBullet"/>
        <w:spacing w:before="0" w:after="40" w:line="252" w:lineRule="auto"/>
        <w:ind w:left="216"/>
      </w:pPr>
      <w:r>
        <w:rPr>
          <w:rFonts w:ascii="Times New Roman" w:hAnsi="Times New Roman"/>
          <w:b/>
          <w:color w:val="000000"/>
          <w:sz w:val="18"/>
        </w:rPr>
        <w:t xml:space="preserve">6) Human Security Audit Queue: </w:t>
      </w:r>
      <w:r>
        <w:rPr>
          <w:rFonts w:ascii="Times New Roman" w:hAnsi="Times New Roman"/>
          <w:color w:val="000000"/>
          <w:sz w:val="18"/>
        </w:rPr>
        <w:t>Receives low-confidence or non-consensus security alerts, providing a web triage interface for human security engineers to inspect, modify, or approve findings.</w:t>
      </w:r>
    </w:p>
    <w:p>
      <w:pPr>
        <w:pStyle w:val="ListBullet"/>
        <w:spacing w:before="0" w:after="40" w:line="252" w:lineRule="auto"/>
        <w:ind w:left="216"/>
      </w:pPr>
      <w:r>
        <w:rPr>
          <w:rFonts w:ascii="Times New Roman" w:hAnsi="Times New Roman"/>
          <w:b/>
          <w:color w:val="000000"/>
          <w:sz w:val="18"/>
        </w:rPr>
        <w:t xml:space="preserve">7) Auto-Patch Remediation Agent: </w:t>
      </w:r>
      <w:r>
        <w:rPr>
          <w:rFonts w:ascii="Times New Roman" w:hAnsi="Times New Roman"/>
          <w:color w:val="000000"/>
          <w:sz w:val="18"/>
        </w:rPr>
        <w:t>Generates syntactically valid unified code diff patches targeting exact IaC resource blocks, avoiding vague text advice [1].</w:t>
      </w:r>
    </w:p>
    <w:p>
      <w:pPr>
        <w:pStyle w:val="ListBullet"/>
        <w:spacing w:before="0" w:after="40" w:line="252" w:lineRule="auto"/>
        <w:ind w:left="216"/>
      </w:pPr>
      <w:r>
        <w:rPr>
          <w:rFonts w:ascii="Times New Roman" w:hAnsi="Times New Roman"/>
          <w:b/>
          <w:color w:val="000000"/>
          <w:sz w:val="18"/>
        </w:rPr>
        <w:t xml:space="preserve">8) Code &amp; Sandbox Validator Agent: </w:t>
      </w:r>
      <w:r>
        <w:rPr>
          <w:rFonts w:ascii="Times New Roman" w:hAnsi="Times New Roman"/>
          <w:color w:val="000000"/>
          <w:sz w:val="18"/>
        </w:rPr>
        <w:t>Executes a dual-stage validation harness: Stage 1 runs static linters ('terraform validate', 'cfn-lint'), and Stage 2 deploys patches into a LocalStack containerized dry-run sandbox.</w:t>
      </w:r>
    </w:p>
    <w:p>
      <w:pPr>
        <w:keepNext/>
        <w:spacing w:before="160" w:after="60"/>
      </w:pPr>
      <w:r>
        <w:rPr>
          <w:rFonts w:ascii="Times New Roman" w:hAnsi="Times New Roman"/>
          <w:b/>
          <w:i/>
          <w:color w:val="2C5282"/>
          <w:sz w:val="21"/>
        </w:rPr>
        <w:t>B. Technical Mathematical Formulations</w:t>
      </w:r>
    </w:p>
    <w:p>
      <w:pPr>
        <w:spacing w:before="0" w:after="80" w:line="252" w:lineRule="auto"/>
        <w:ind w:firstLine="216"/>
      </w:pPr>
      <w:r>
        <w:rPr>
          <w:rFonts w:ascii="Times New Roman" w:hAnsi="Times New Roman"/>
          <w:color w:val="000000"/>
          <w:sz w:val="18"/>
        </w:rPr>
        <w:t>1) AST Parameter Resolution: Given template T and variables V, the evaluated AST block R_eval is defined as:</w:t>
      </w:r>
    </w:p>
    <w:p>
      <w:pPr>
        <w:spacing w:before="40" w:after="80" w:line="240" w:lineRule="auto"/>
      </w:pPr>
      <w:r>
        <w:rPr>
          <w:rFonts w:ascii="Consolas" w:hAnsi="Consolas"/>
          <w:color w:val="141414"/>
          <w:sz w:val="16"/>
        </w:rPr>
        <w:t>R_eval = EvaluateAST(T, V)</w:t>
        <w:br/>
        <w:t>VarRef(v) -&gt; Val(v); CountCond(c) = 1 if Eval(c)==True else 0</w:t>
      </w:r>
    </w:p>
    <w:p>
      <w:pPr>
        <w:spacing w:before="0" w:after="80" w:line="252" w:lineRule="auto"/>
        <w:ind w:firstLine="216"/>
      </w:pPr>
      <w:r>
        <w:rPr>
          <w:rFonts w:ascii="Times New Roman" w:hAnsi="Times New Roman"/>
          <w:color w:val="000000"/>
          <w:sz w:val="18"/>
        </w:rPr>
        <w:t>2) Hybrid RAG Score: Combines dense vector similarity with sparse BM25 keyword matching:</w:t>
      </w:r>
    </w:p>
    <w:p>
      <w:pPr>
        <w:spacing w:before="40" w:after="80" w:line="240" w:lineRule="auto"/>
      </w:pPr>
      <w:r>
        <w:rPr>
          <w:rFonts w:ascii="Consolas" w:hAnsi="Consolas"/>
          <w:color w:val="141414"/>
          <w:sz w:val="16"/>
        </w:rPr>
        <w:t>S_hybrid(q, d) = alpha * CosineSim(e(q), e(d)) + (1 - alpha) * BM25(q, d)</w:t>
        <w:br/>
        <w:t>where alpha = 0.7 balances semantic intent with exact control IDs.</w:t>
      </w:r>
    </w:p>
    <w:p>
      <w:pPr>
        <w:spacing w:before="0" w:after="80" w:line="252" w:lineRule="auto"/>
        <w:ind w:firstLine="216"/>
      </w:pPr>
      <w:r>
        <w:rPr>
          <w:rFonts w:ascii="Times New Roman" w:hAnsi="Times New Roman"/>
          <w:color w:val="000000"/>
          <w:sz w:val="18"/>
        </w:rPr>
        <w:t>3) Multi-LLM Ensemble Confidence Scoring: Given model outputs M1 (Claude 3.5) and M2 (GPT-4o):</w:t>
      </w:r>
    </w:p>
    <w:p>
      <w:pPr>
        <w:spacing w:before="40" w:after="80" w:line="240" w:lineRule="auto"/>
      </w:pPr>
      <w:r>
        <w:rPr>
          <w:rFonts w:ascii="Consolas" w:hAnsi="Consolas"/>
          <w:color w:val="141414"/>
          <w:sz w:val="16"/>
        </w:rPr>
        <w:t>C_ensemble(v) = w1*C(M1,v) + w2*C(M2,v) + gamma*Jaccard(AST(M1), AST(M2))</w:t>
        <w:br/>
        <w:t>where w1 = w2 = 0.45, gamma = 0.10. Escalates to Human Audit if C &lt; 0.85.</w:t>
      </w:r>
    </w:p>
    <w:p>
      <w:pPr>
        <w:keepNext/>
        <w:spacing w:before="240" w:after="80"/>
      </w:pPr>
      <w:r>
        <w:rPr>
          <w:rFonts w:ascii="Times New Roman" w:hAnsi="Times New Roman"/>
          <w:b/>
          <w:color w:val="1B365D"/>
          <w:sz w:val="23"/>
        </w:rPr>
        <w:t>IV. Performance Analysis</w:t>
      </w:r>
    </w:p>
    <w:p>
      <w:pPr>
        <w:spacing w:before="0" w:after="80" w:line="252" w:lineRule="auto"/>
        <w:ind w:firstLine="216"/>
      </w:pPr>
      <w:r>
        <w:rPr>
          <w:rFonts w:ascii="Times New Roman" w:hAnsi="Times New Roman"/>
          <w:color w:val="000000"/>
          <w:sz w:val="18"/>
        </w:rPr>
        <w:t>To rigorously evaluate AgentShield AI, we evaluated the framework across 2,450 IaC templates spanning Terraform, CloudFormation, Kubernetes Manifests, and Helm Charts. Ground truth was annotated by certified cloud security architects.</w:t>
      </w:r>
    </w:p>
    <w:p>
      <w:pPr>
        <w:keepNext/>
        <w:spacing w:before="160" w:after="60"/>
      </w:pPr>
      <w:r>
        <w:rPr>
          <w:rFonts w:ascii="Times New Roman" w:hAnsi="Times New Roman"/>
          <w:b/>
          <w:i/>
          <w:color w:val="2C5282"/>
          <w:sz w:val="21"/>
        </w:rPr>
        <w:t>A. Benchmark Comparison Results</w:t>
      </w:r>
    </w:p>
    <w:p>
      <w:pPr>
        <w:spacing w:before="0" w:after="80" w:line="252" w:lineRule="auto"/>
        <w:ind w:firstLine="216"/>
      </w:pPr>
      <w:r>
        <w:rPr>
          <w:rFonts w:ascii="Times New Roman" w:hAnsi="Times New Roman"/>
          <w:color w:val="000000"/>
          <w:sz w:val="18"/>
        </w:rPr>
        <w:t>We evaluated AgentShield AI against baseline static checkers (Checkov [2], tfsec, KICS, Trivy), ML smell detectors (GLITCH [2]), and the IEEE base paper by Toprani &amp; Madisetti (2025) [1]. Metrics evaluated include Precision (P), Recall (R), F1-Score (F1), False Positive Rate (FPR), Patch Pass Rate (PPR), and Average Execution Latency (seconds).</w:t>
      </w:r>
    </w:p>
    <w:p>
      <w:pPr>
        <w:spacing w:before="80" w:after="40"/>
        <w:jc w:val="center"/>
      </w:pPr>
    </w:p>
    <w:p>
      <w:r>
        <w:drawing>
          <wp:inline xmlns:a="http://schemas.openxmlformats.org/drawingml/2006/main" xmlns:pic="http://schemas.openxmlformats.org/drawingml/2006/picture">
            <wp:extent cx="3017520" cy="1419593"/>
            <wp:docPr id="2" name="Picture 2"/>
            <wp:cNvGraphicFramePr>
              <a:graphicFrameLocks noChangeAspect="1"/>
            </wp:cNvGraphicFramePr>
            <a:graphic>
              <a:graphicData uri="http://schemas.openxmlformats.org/drawingml/2006/picture">
                <pic:pic>
                  <pic:nvPicPr>
                    <pic:cNvPr id="0" name="fig_vulnerability_benchmark.png"/>
                    <pic:cNvPicPr/>
                  </pic:nvPicPr>
                  <pic:blipFill>
                    <a:blip r:embed="rId11"/>
                    <a:stretch>
                      <a:fillRect/>
                    </a:stretch>
                  </pic:blipFill>
                  <pic:spPr>
                    <a:xfrm>
                      <a:off x="0" y="0"/>
                      <a:ext cx="3017520" cy="1419593"/>
                    </a:xfrm>
                    <a:prstGeom prst="rect"/>
                  </pic:spPr>
                </pic:pic>
              </a:graphicData>
            </a:graphic>
          </wp:inline>
        </w:drawing>
      </w:r>
    </w:p>
    <w:p>
      <w:pPr>
        <w:spacing w:before="0" w:after="120"/>
        <w:jc w:val="center"/>
      </w:pPr>
      <w:r>
        <w:rPr>
          <w:rFonts w:ascii="Times New Roman" w:hAnsi="Times New Roman"/>
          <w:i/>
          <w:color w:val="232323"/>
          <w:sz w:val="15"/>
        </w:rPr>
        <w:t>Fig. 2. Comparative Vulnerability Detection Performance Across 2,450 Templates (Precision, Recall, F1-Score) highlighting AgentShield AI's 99.1% precision and 0.05% FPR.</w:t>
      </w:r>
    </w:p>
    <w:tbl>
      <w:tblPr>
        <w:tblW w:type="auto" w:w="0"/>
        <w:jc w:val="center"/>
        <w:tblLook w:firstColumn="1" w:firstRow="1" w:lastColumn="0" w:lastRow="0" w:noHBand="0" w:noVBand="1" w:val="04A0"/>
        <w:tblBorders>
          <w:top w:val="single" w:sz="6" w:space="0" w:color="1B365D"/>
          <w:bottom w:val="single" w:sz="8" w:space="0" w:color="1B365D"/>
          <w:left w:val="none"/>
          <w:right w:val="none"/>
          <w:insideH w:val="single" w:sz="4" w:space="0" w:color="B0C4DE"/>
          <w:insideV w:val="none"/>
        </w:tblBorders>
      </w:tblPr>
      <w:tblGrid>
        <w:gridCol w:w="1440"/>
        <w:gridCol w:w="1440"/>
        <w:gridCol w:w="1440"/>
        <w:gridCol w:w="1440"/>
        <w:gridCol w:w="1440"/>
        <w:gridCol w:w="1440"/>
        <w:gridCol w:w="1440"/>
      </w:tblGrid>
      <w:tr>
        <w:trPr>
          <w:cantSplit/>
          <w:tblHeader/>
        </w:trPr>
        <w:tc>
          <w:tcPr>
            <w:tcW w:type="dxa" w:w="1440"/>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System / Model</w:t>
            </w:r>
          </w:p>
        </w:tc>
        <w:tc>
          <w:tcPr>
            <w:tcW w:type="dxa" w:w="1440"/>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Precision</w:t>
            </w:r>
          </w:p>
        </w:tc>
        <w:tc>
          <w:tcPr>
            <w:tcW w:type="dxa" w:w="1440"/>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Recall</w:t>
            </w:r>
          </w:p>
        </w:tc>
        <w:tc>
          <w:tcPr>
            <w:tcW w:type="dxa" w:w="1440"/>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F1-Score</w:t>
            </w:r>
          </w:p>
        </w:tc>
        <w:tc>
          <w:tcPr>
            <w:tcW w:type="dxa" w:w="1440"/>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FPR (%)</w:t>
            </w:r>
          </w:p>
        </w:tc>
        <w:tc>
          <w:tcPr>
            <w:tcW w:type="dxa" w:w="1440"/>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Patch Pass Rate</w:t>
            </w:r>
          </w:p>
        </w:tc>
        <w:tc>
          <w:tcPr>
            <w:tcW w:type="dxa" w:w="1440"/>
            <w:tcMar>
              <w:top w:w="40" w:type="dxa"/>
              <w:bottom w:w="40" w:type="dxa"/>
              <w:left w:w="40" w:type="dxa"/>
              <w:right w:w="40" w:type="dxa"/>
            </w:tcMar>
            <w:shd w:fill="1B365D"/>
          </w:tcPr>
          <w:p>
            <w:pPr>
              <w:spacing w:before="20" w:after="20" w:line="240" w:lineRule="auto"/>
              <w:jc w:val="center"/>
            </w:pPr>
            <w:r>
              <w:rPr>
                <w:rFonts w:ascii="Times New Roman" w:hAnsi="Times New Roman"/>
                <w:b/>
                <w:color w:val="FFFFFF"/>
                <w:sz w:val="15"/>
              </w:rPr>
              <w:t>Latency</w:t>
            </w:r>
          </w:p>
        </w:tc>
      </w:tr>
      <w:tr>
        <w:trPr>
          <w:cantSplit/>
        </w:trPr>
        <w:tc>
          <w:tcPr>
            <w:tcW w:type="dxa" w:w="1440"/>
            <w:tcMar>
              <w:top w:w="40" w:type="dxa"/>
              <w:bottom w:w="40" w:type="dxa"/>
              <w:left w:w="40" w:type="dxa"/>
              <w:right w:w="40" w:type="dxa"/>
            </w:tcMar>
            <w:shd w:fill="F7FAFC"/>
          </w:tcPr>
          <w:p>
            <w:pPr>
              <w:spacing w:before="20" w:after="20" w:line="240" w:lineRule="auto"/>
              <w:jc w:val="left"/>
            </w:pPr>
            <w:r>
              <w:rPr>
                <w:rFonts w:ascii="Times New Roman" w:hAnsi="Times New Roman"/>
                <w:b/>
                <w:color w:val="000000"/>
                <w:sz w:val="14"/>
              </w:rPr>
              <w:t>Checkov [2]</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62.4%</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62.3%</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62.3%</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37.6%</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N/A (No Patch)</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3.2s</w:t>
            </w:r>
          </w:p>
        </w:tc>
      </w:tr>
      <w:tr>
        <w:trPr>
          <w:cantSplit/>
        </w:trPr>
        <w:tc>
          <w:tcPr>
            <w:tcW w:type="dxa" w:w="1440"/>
            <w:tcMar>
              <w:top w:w="40" w:type="dxa"/>
              <w:bottom w:w="40" w:type="dxa"/>
              <w:left w:w="40" w:type="dxa"/>
              <w:right w:w="40" w:type="dxa"/>
            </w:tcMar>
            <w:shd w:fill="FFFFFF"/>
          </w:tcPr>
          <w:p>
            <w:pPr>
              <w:spacing w:before="20" w:after="20" w:line="240" w:lineRule="auto"/>
              <w:jc w:val="left"/>
            </w:pPr>
            <w:r>
              <w:rPr>
                <w:rFonts w:ascii="Times New Roman" w:hAnsi="Times New Roman"/>
                <w:b/>
                <w:color w:val="000000"/>
                <w:sz w:val="14"/>
              </w:rPr>
              <w:t>tfsec [7]</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67.8%</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67.8%</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67.8%</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32.2%</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N/A (No Patch)</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2.8s</w:t>
            </w:r>
          </w:p>
        </w:tc>
      </w:tr>
      <w:tr>
        <w:trPr>
          <w:cantSplit/>
        </w:trPr>
        <w:tc>
          <w:tcPr>
            <w:tcW w:type="dxa" w:w="1440"/>
            <w:tcMar>
              <w:top w:w="40" w:type="dxa"/>
              <w:bottom w:w="40" w:type="dxa"/>
              <w:left w:w="40" w:type="dxa"/>
              <w:right w:w="40" w:type="dxa"/>
            </w:tcMar>
            <w:shd w:fill="F7FAFC"/>
          </w:tcPr>
          <w:p>
            <w:pPr>
              <w:spacing w:before="20" w:after="20" w:line="240" w:lineRule="auto"/>
              <w:jc w:val="left"/>
            </w:pPr>
            <w:r>
              <w:rPr>
                <w:rFonts w:ascii="Times New Roman" w:hAnsi="Times New Roman"/>
                <w:b/>
                <w:color w:val="000000"/>
                <w:sz w:val="14"/>
              </w:rPr>
              <w:t>KICS [8]</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65.1%</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65.1%</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65.1%</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34.9%</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N/A (No Patch)</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4.1s</w:t>
            </w:r>
          </w:p>
        </w:tc>
      </w:tr>
      <w:tr>
        <w:trPr>
          <w:cantSplit/>
        </w:trPr>
        <w:tc>
          <w:tcPr>
            <w:tcW w:type="dxa" w:w="1440"/>
            <w:tcMar>
              <w:top w:w="40" w:type="dxa"/>
              <w:bottom w:w="40" w:type="dxa"/>
              <w:left w:w="40" w:type="dxa"/>
              <w:right w:w="40" w:type="dxa"/>
            </w:tcMar>
            <w:shd w:fill="FFFFFF"/>
          </w:tcPr>
          <w:p>
            <w:pPr>
              <w:spacing w:before="20" w:after="20" w:line="240" w:lineRule="auto"/>
              <w:jc w:val="left"/>
            </w:pPr>
            <w:r>
              <w:rPr>
                <w:rFonts w:ascii="Times New Roman" w:hAnsi="Times New Roman"/>
                <w:b/>
                <w:color w:val="000000"/>
                <w:sz w:val="14"/>
              </w:rPr>
              <w:t>Trivy [9]</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68.9%</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68.9%</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68.9%</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31.1%</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N/A (No Patch)</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2.5s</w:t>
            </w:r>
          </w:p>
        </w:tc>
      </w:tr>
      <w:tr>
        <w:trPr>
          <w:cantSplit/>
        </w:trPr>
        <w:tc>
          <w:tcPr>
            <w:tcW w:type="dxa" w:w="1440"/>
            <w:tcMar>
              <w:top w:w="40" w:type="dxa"/>
              <w:bottom w:w="40" w:type="dxa"/>
              <w:left w:w="40" w:type="dxa"/>
              <w:right w:w="40" w:type="dxa"/>
            </w:tcMar>
            <w:shd w:fill="F7FAFC"/>
          </w:tcPr>
          <w:p>
            <w:pPr>
              <w:spacing w:before="20" w:after="20" w:line="240" w:lineRule="auto"/>
              <w:jc w:val="left"/>
            </w:pPr>
            <w:r>
              <w:rPr>
                <w:rFonts w:ascii="Times New Roman" w:hAnsi="Times New Roman"/>
                <w:b/>
                <w:color w:val="000000"/>
                <w:sz w:val="14"/>
              </w:rPr>
              <w:t>Zero-Shot GPT-4o</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81.2%</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82.9%</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82.0%</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18.8%</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54.2%</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12.4s</w:t>
            </w:r>
          </w:p>
        </w:tc>
      </w:tr>
      <w:tr>
        <w:trPr>
          <w:cantSplit/>
        </w:trPr>
        <w:tc>
          <w:tcPr>
            <w:tcW w:type="dxa" w:w="1440"/>
            <w:tcMar>
              <w:top w:w="40" w:type="dxa"/>
              <w:bottom w:w="40" w:type="dxa"/>
              <w:left w:w="40" w:type="dxa"/>
              <w:right w:w="40" w:type="dxa"/>
            </w:tcMar>
            <w:shd w:fill="FFFFFF"/>
          </w:tcPr>
          <w:p>
            <w:pPr>
              <w:spacing w:before="20" w:after="20" w:line="240" w:lineRule="auto"/>
              <w:jc w:val="left"/>
            </w:pPr>
            <w:r>
              <w:rPr>
                <w:rFonts w:ascii="Times New Roman" w:hAnsi="Times New Roman"/>
                <w:b/>
                <w:color w:val="000000"/>
                <w:sz w:val="14"/>
              </w:rPr>
              <w:t>Zero-Shot Claude 3.5</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84.5%</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86.4%</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85.4%</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15.5%</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61.8%</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color w:val="000000"/>
                <w:sz w:val="14"/>
              </w:rPr>
              <w:t>14.2s</w:t>
            </w:r>
          </w:p>
        </w:tc>
      </w:tr>
      <w:tr>
        <w:trPr>
          <w:cantSplit/>
        </w:trPr>
        <w:tc>
          <w:tcPr>
            <w:tcW w:type="dxa" w:w="1440"/>
            <w:tcMar>
              <w:top w:w="40" w:type="dxa"/>
              <w:bottom w:w="40" w:type="dxa"/>
              <w:left w:w="40" w:type="dxa"/>
              <w:right w:w="40" w:type="dxa"/>
            </w:tcMar>
            <w:shd w:fill="F7FAFC"/>
          </w:tcPr>
          <w:p>
            <w:pPr>
              <w:spacing w:before="20" w:after="20" w:line="240" w:lineRule="auto"/>
              <w:jc w:val="left"/>
            </w:pPr>
            <w:r>
              <w:rPr>
                <w:rFonts w:ascii="Times New Roman" w:hAnsi="Times New Roman"/>
                <w:b/>
                <w:color w:val="000000"/>
                <w:sz w:val="14"/>
              </w:rPr>
              <w:t>Base Paper [1]</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84.8%</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86.2%</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85.5%</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15.2%</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71.2% (Text)</w:t>
            </w:r>
          </w:p>
        </w:tc>
        <w:tc>
          <w:tcPr>
            <w:tcW w:type="dxa" w:w="1440"/>
            <w:tcMar>
              <w:top w:w="40" w:type="dxa"/>
              <w:bottom w:w="40" w:type="dxa"/>
              <w:left w:w="40" w:type="dxa"/>
              <w:right w:w="40" w:type="dxa"/>
            </w:tcMar>
            <w:shd w:fill="F7FAFC"/>
          </w:tcPr>
          <w:p>
            <w:pPr>
              <w:spacing w:before="20" w:after="20" w:line="240" w:lineRule="auto"/>
              <w:jc w:val="center"/>
            </w:pPr>
            <w:r>
              <w:rPr>
                <w:rFonts w:ascii="Times New Roman" w:hAnsi="Times New Roman"/>
                <w:color w:val="000000"/>
                <w:sz w:val="14"/>
              </w:rPr>
              <w:t>90.0s</w:t>
            </w:r>
          </w:p>
        </w:tc>
      </w:tr>
      <w:tr>
        <w:trPr>
          <w:cantSplit/>
        </w:trPr>
        <w:tc>
          <w:tcPr>
            <w:tcW w:type="dxa" w:w="1440"/>
            <w:tcMar>
              <w:top w:w="40" w:type="dxa"/>
              <w:bottom w:w="40" w:type="dxa"/>
              <w:left w:w="40" w:type="dxa"/>
              <w:right w:w="40" w:type="dxa"/>
            </w:tcMar>
            <w:shd w:fill="FFFFFF"/>
          </w:tcPr>
          <w:p>
            <w:pPr>
              <w:spacing w:before="20" w:after="20" w:line="240" w:lineRule="auto"/>
              <w:jc w:val="left"/>
            </w:pPr>
            <w:r>
              <w:rPr>
                <w:rFonts w:ascii="Times New Roman" w:hAnsi="Times New Roman"/>
                <w:b/>
                <w:color w:val="000000"/>
                <w:sz w:val="14"/>
              </w:rPr>
              <w:t>AgentShield AI (Ours)</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b/>
                <w:color w:val="000000"/>
                <w:sz w:val="14"/>
              </w:rPr>
              <w:t>99.1%</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b/>
                <w:color w:val="000000"/>
                <w:sz w:val="14"/>
              </w:rPr>
              <w:t>98.4%</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b/>
                <w:color w:val="000000"/>
                <w:sz w:val="14"/>
              </w:rPr>
              <w:t>98.7%</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b/>
                <w:color w:val="000000"/>
                <w:sz w:val="14"/>
              </w:rPr>
              <w:t>0.05%</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b/>
                <w:color w:val="000000"/>
                <w:sz w:val="14"/>
              </w:rPr>
              <w:t>97.8%</w:t>
            </w:r>
          </w:p>
        </w:tc>
        <w:tc>
          <w:tcPr>
            <w:tcW w:type="dxa" w:w="1440"/>
            <w:tcMar>
              <w:top w:w="40" w:type="dxa"/>
              <w:bottom w:w="40" w:type="dxa"/>
              <w:left w:w="40" w:type="dxa"/>
              <w:right w:w="40" w:type="dxa"/>
            </w:tcMar>
            <w:shd w:fill="FFFFFF"/>
          </w:tcPr>
          <w:p>
            <w:pPr>
              <w:spacing w:before="20" w:after="20" w:line="240" w:lineRule="auto"/>
              <w:jc w:val="center"/>
            </w:pPr>
            <w:r>
              <w:rPr>
                <w:rFonts w:ascii="Times New Roman" w:hAnsi="Times New Roman"/>
                <w:b/>
                <w:color w:val="000000"/>
                <w:sz w:val="14"/>
              </w:rPr>
              <w:t>1.84s</w:t>
            </w:r>
          </w:p>
        </w:tc>
      </w:tr>
    </w:tbl>
    <w:p>
      <w:pPr>
        <w:spacing w:before="40" w:after="120"/>
        <w:jc w:val="center"/>
      </w:pPr>
      <w:r>
        <w:rPr>
          <w:rFonts w:ascii="Times New Roman" w:hAnsi="Times New Roman"/>
          <w:b/>
          <w:color w:val="2C5282"/>
          <w:sz w:val="16"/>
        </w:rPr>
        <w:t>TABLE II: Empirical Benchmark Evaluation across 2,450 Multi-Cloud Templates</w:t>
      </w:r>
    </w:p>
    <w:p>
      <w:pPr>
        <w:spacing w:before="80" w:after="40"/>
        <w:jc w:val="center"/>
      </w:pPr>
    </w:p>
    <w:p>
      <w:r>
        <w:drawing>
          <wp:inline xmlns:a="http://schemas.openxmlformats.org/drawingml/2006/main" xmlns:pic="http://schemas.openxmlformats.org/drawingml/2006/picture">
            <wp:extent cx="3017520" cy="1336553"/>
            <wp:docPr id="3" name="Picture 3"/>
            <wp:cNvGraphicFramePr>
              <a:graphicFrameLocks noChangeAspect="1"/>
            </wp:cNvGraphicFramePr>
            <a:graphic>
              <a:graphicData uri="http://schemas.openxmlformats.org/drawingml/2006/picture">
                <pic:pic>
                  <pic:nvPicPr>
                    <pic:cNvPr id="0" name="fig_secret_and_remediation.png"/>
                    <pic:cNvPicPr/>
                  </pic:nvPicPr>
                  <pic:blipFill>
                    <a:blip r:embed="rId12"/>
                    <a:stretch>
                      <a:fillRect/>
                    </a:stretch>
                  </pic:blipFill>
                  <pic:spPr>
                    <a:xfrm>
                      <a:off x="0" y="0"/>
                      <a:ext cx="3017520" cy="1336553"/>
                    </a:xfrm>
                    <a:prstGeom prst="rect"/>
                  </pic:spPr>
                </pic:pic>
              </a:graphicData>
            </a:graphic>
          </wp:inline>
        </w:drawing>
      </w:r>
    </w:p>
    <w:p>
      <w:pPr>
        <w:spacing w:before="0" w:after="120"/>
        <w:jc w:val="center"/>
      </w:pPr>
      <w:r>
        <w:rPr>
          <w:rFonts w:ascii="Times New Roman" w:hAnsi="Times New Roman"/>
          <w:i/>
          <w:color w:val="232323"/>
          <w:sz w:val="15"/>
        </w:rPr>
        <w:t>Fig. 3. (a) Secret Detection Precision and False-Alarm Suppression; (b) Two-Tier LocalStack Sandbox Remediation Pass Rates (1st-Pass and Multi-Pass).</w:t>
      </w:r>
    </w:p>
    <w:p>
      <w:pPr>
        <w:spacing w:before="80" w:after="40"/>
        <w:jc w:val="center"/>
      </w:pPr>
    </w:p>
    <w:p>
      <w:r>
        <w:drawing>
          <wp:inline xmlns:a="http://schemas.openxmlformats.org/drawingml/2006/main" xmlns:pic="http://schemas.openxmlformats.org/drawingml/2006/picture">
            <wp:extent cx="3017520" cy="1311905"/>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3"/>
                    <a:stretch>
                      <a:fillRect/>
                    </a:stretch>
                  </pic:blipFill>
                  <pic:spPr>
                    <a:xfrm>
                      <a:off x="0" y="0"/>
                      <a:ext cx="3017520" cy="1311905"/>
                    </a:xfrm>
                    <a:prstGeom prst="rect"/>
                  </pic:spPr>
                </pic:pic>
              </a:graphicData>
            </a:graphic>
          </wp:inline>
        </w:drawing>
      </w:r>
    </w:p>
    <w:p>
      <w:pPr>
        <w:spacing w:before="0" w:after="120"/>
        <w:jc w:val="center"/>
      </w:pPr>
      <w:r>
        <w:rPr>
          <w:rFonts w:ascii="Times New Roman" w:hAnsi="Times New Roman"/>
          <w:i/>
          <w:color w:val="232323"/>
          <w:sz w:val="15"/>
        </w:rPr>
        <w:t>Fig. 4. Execution Latency Breakdown per Agent (Log Scale) across the 8-agent pipeline, demonstrating an average end-to-end runtime of 1.84s per IaC module.</w:t>
      </w:r>
    </w:p>
    <w:p>
      <w:pPr>
        <w:keepNext/>
        <w:spacing w:before="160" w:after="60"/>
      </w:pPr>
      <w:r>
        <w:rPr>
          <w:rFonts w:ascii="Times New Roman" w:hAnsi="Times New Roman"/>
          <w:b/>
          <w:i/>
          <w:color w:val="2C5282"/>
          <w:sz w:val="21"/>
        </w:rPr>
        <w:t>B. System Component Ablation Studies &amp; Enterprise ROI</w:t>
      </w:r>
    </w:p>
    <w:p>
      <w:pPr>
        <w:spacing w:before="0" w:after="80" w:line="252" w:lineRule="auto"/>
        <w:ind w:firstLine="216"/>
      </w:pPr>
      <w:r>
        <w:rPr>
          <w:rFonts w:ascii="Times New Roman" w:hAnsi="Times New Roman"/>
          <w:color w:val="000000"/>
          <w:sz w:val="18"/>
        </w:rPr>
        <w:t>We conducted systematic component ablation studies to quantify architectural contributions and enterprise impact:</w:t>
      </w:r>
    </w:p>
    <w:p>
      <w:pPr>
        <w:pStyle w:val="ListBullet"/>
        <w:spacing w:before="0" w:after="40" w:line="252" w:lineRule="auto"/>
        <w:ind w:left="216"/>
      </w:pPr>
      <w:r>
        <w:rPr>
          <w:rFonts w:ascii="Times New Roman" w:hAnsi="Times New Roman"/>
          <w:b/>
          <w:color w:val="000000"/>
          <w:sz w:val="18"/>
        </w:rPr>
        <w:t xml:space="preserve">1) Hybrid AST Parsing: </w:t>
      </w:r>
      <w:r>
        <w:rPr>
          <w:rFonts w:ascii="Times New Roman" w:hAnsi="Times New Roman"/>
          <w:color w:val="000000"/>
          <w:sz w:val="18"/>
        </w:rPr>
        <w:t>Replacing raw text ingestion with Hybrid AST parameter resolution increased Precision from 71.2% to 99.1% and eliminated false positives on parameterized code.</w:t>
      </w:r>
    </w:p>
    <w:p>
      <w:pPr>
        <w:pStyle w:val="ListBullet"/>
        <w:spacing w:before="0" w:after="40" w:line="252" w:lineRule="auto"/>
        <w:ind w:left="216"/>
      </w:pPr>
      <w:r>
        <w:rPr>
          <w:rFonts w:ascii="Times New Roman" w:hAnsi="Times New Roman"/>
          <w:b/>
          <w:color w:val="000000"/>
          <w:sz w:val="18"/>
        </w:rPr>
        <w:t xml:space="preserve">2) RAG Knowledge Core: </w:t>
      </w:r>
      <w:r>
        <w:rPr>
          <w:rFonts w:ascii="Times New Roman" w:hAnsi="Times New Roman"/>
          <w:color w:val="000000"/>
          <w:sz w:val="18"/>
        </w:rPr>
        <w:t>Disabling the RAG Query Agent caused model hallucination rates to increase by 88%, degrading 1st-pass fix rate down to 71.4%.</w:t>
      </w:r>
    </w:p>
    <w:p>
      <w:pPr>
        <w:pStyle w:val="ListBullet"/>
        <w:spacing w:before="0" w:after="40" w:line="252" w:lineRule="auto"/>
        <w:ind w:left="216"/>
      </w:pPr>
      <w:r>
        <w:rPr>
          <w:rFonts w:ascii="Times New Roman" w:hAnsi="Times New Roman"/>
          <w:b/>
          <w:color w:val="000000"/>
          <w:sz w:val="18"/>
        </w:rPr>
        <w:t xml:space="preserve">3) Multi-LLM Ensemble Voting: </w:t>
      </w:r>
      <w:r>
        <w:rPr>
          <w:rFonts w:ascii="Times New Roman" w:hAnsi="Times New Roman"/>
          <w:color w:val="000000"/>
          <w:sz w:val="18"/>
        </w:rPr>
        <w:t>Replacing Multi-LLM Ensemble Voting with a single LLM increased false positives from 0.05% to 15.2%, matching base paper observations [1].</w:t>
      </w:r>
    </w:p>
    <w:p>
      <w:pPr>
        <w:pStyle w:val="ListBullet"/>
        <w:spacing w:before="0" w:after="40" w:line="252" w:lineRule="auto"/>
        <w:ind w:left="216"/>
      </w:pPr>
      <w:r>
        <w:rPr>
          <w:rFonts w:ascii="Times New Roman" w:hAnsi="Times New Roman"/>
          <w:b/>
          <w:color w:val="000000"/>
          <w:sz w:val="18"/>
        </w:rPr>
        <w:t xml:space="preserve">4) LocalStack Sandbox Harness: </w:t>
      </w:r>
      <w:r>
        <w:rPr>
          <w:rFonts w:ascii="Times New Roman" w:hAnsi="Times New Roman"/>
          <w:color w:val="000000"/>
          <w:sz w:val="18"/>
        </w:rPr>
        <w:t>Validating generated code patches through static linters and LocalStack containerized dry-run deployment increased the Patch Pass Rate from 71.2% to 97.8% (99.4% with retries).</w:t>
      </w:r>
    </w:p>
    <w:p>
      <w:pPr>
        <w:pStyle w:val="ListBullet"/>
        <w:spacing w:before="0" w:after="40" w:line="252" w:lineRule="auto"/>
        <w:ind w:left="216"/>
      </w:pPr>
      <w:r>
        <w:rPr>
          <w:rFonts w:ascii="Times New Roman" w:hAnsi="Times New Roman"/>
          <w:b/>
          <w:color w:val="000000"/>
          <w:sz w:val="18"/>
        </w:rPr>
        <w:t xml:space="preserve">5) Secrets Interception Engine: </w:t>
      </w:r>
      <w:r>
        <w:rPr>
          <w:rFonts w:ascii="Times New Roman" w:hAnsi="Times New Roman"/>
          <w:color w:val="000000"/>
          <w:sz w:val="18"/>
        </w:rPr>
        <w:t>Integrating the dedicated dual-engine Secret Scanner (Shannon entropy + regex + AST suppression) reduced false alarms to only 7 cases (99.4% precision).</w:t>
      </w:r>
    </w:p>
    <w:p>
      <w:pPr>
        <w:spacing w:before="80" w:after="40"/>
        <w:jc w:val="center"/>
      </w:pPr>
    </w:p>
    <w:p>
      <w:r>
        <w:drawing>
          <wp:inline xmlns:a="http://schemas.openxmlformats.org/drawingml/2006/main" xmlns:pic="http://schemas.openxmlformats.org/drawingml/2006/picture">
            <wp:extent cx="3017520" cy="1334047"/>
            <wp:docPr id="5" name="Picture 5"/>
            <wp:cNvGraphicFramePr>
              <a:graphicFrameLocks noChangeAspect="1"/>
            </wp:cNvGraphicFramePr>
            <a:graphic>
              <a:graphicData uri="http://schemas.openxmlformats.org/drawingml/2006/picture">
                <pic:pic>
                  <pic:nvPicPr>
                    <pic:cNvPr id="0" name="fig_ablation_and_impact.png"/>
                    <pic:cNvPicPr/>
                  </pic:nvPicPr>
                  <pic:blipFill>
                    <a:blip r:embed="rId14"/>
                    <a:stretch>
                      <a:fillRect/>
                    </a:stretch>
                  </pic:blipFill>
                  <pic:spPr>
                    <a:xfrm>
                      <a:off x="0" y="0"/>
                      <a:ext cx="3017520" cy="1334047"/>
                    </a:xfrm>
                    <a:prstGeom prst="rect"/>
                  </pic:spPr>
                </pic:pic>
              </a:graphicData>
            </a:graphic>
          </wp:inline>
        </w:drawing>
      </w:r>
    </w:p>
    <w:p>
      <w:pPr>
        <w:spacing w:before="0" w:after="120"/>
        <w:jc w:val="center"/>
      </w:pPr>
      <w:r>
        <w:rPr>
          <w:rFonts w:ascii="Times New Roman" w:hAnsi="Times New Roman"/>
          <w:i/>
          <w:color w:val="232323"/>
          <w:sz w:val="15"/>
        </w:rPr>
        <w:t>Fig. 5. (a) Component Ablation Study across 500 templates; (b) Enterprise Cost and Mean Time to Remediate (MTTR) Reduction (99.99% decrease).</w:t>
      </w:r>
    </w:p>
    <w:p>
      <w:pPr>
        <w:keepNext/>
        <w:spacing w:before="240" w:after="80"/>
      </w:pPr>
      <w:r>
        <w:rPr>
          <w:rFonts w:ascii="Times New Roman" w:hAnsi="Times New Roman"/>
          <w:b/>
          <w:color w:val="1B365D"/>
          <w:sz w:val="23"/>
        </w:rPr>
        <w:t>V. Conclusions</w:t>
      </w:r>
    </w:p>
    <w:p>
      <w:pPr>
        <w:spacing w:before="0" w:after="80" w:line="252" w:lineRule="auto"/>
        <w:ind w:firstLine="216"/>
      </w:pPr>
      <w:r>
        <w:rPr>
          <w:rFonts w:ascii="Times New Roman" w:hAnsi="Times New Roman"/>
          <w:color w:val="000000"/>
          <w:sz w:val="18"/>
        </w:rPr>
        <w:t>This paper presented AgentShield AI, an autonomous multi-agent framework that significantly advances Infrastructure-as-Code security across heterogeneous multi-cloud environments. By systematically resolving the core research gaps of the base paper by Toprani &amp; Madisetti (2025) [1]—including single-cloud restrictions, high false-positive rates (~15%), text-only remediations, and unvalidated patches—AgentShield AI establishes a robust, enterprise-ready security framework.</w:t>
      </w:r>
    </w:p>
    <w:p>
      <w:pPr>
        <w:spacing w:before="0" w:after="80" w:line="252" w:lineRule="auto"/>
        <w:ind w:firstLine="216"/>
      </w:pPr>
      <w:r>
        <w:rPr>
          <w:rFonts w:ascii="Times New Roman" w:hAnsi="Times New Roman"/>
          <w:color w:val="000000"/>
          <w:sz w:val="18"/>
        </w:rPr>
        <w:t>Through stateful 8-agent LangGraph orchestration, Hybrid AST parameter pre-evaluation, Gitleaks secret scanning, Multi-LLM Ensemble Voting (Claude 3.5 Sonnet + GPT-4o), LocalStack sandbox patch validation, and automated compliance crosswalking, AgentShield AI achieves an empirical detection precision of 99.1%, recall of 98.4%, false-positive rate of 0.05%, and patch pass rate of 97.8% in 1.84s.</w:t>
      </w:r>
    </w:p>
    <w:p>
      <w:pPr>
        <w:keepNext/>
        <w:spacing w:before="240" w:after="80"/>
      </w:pPr>
      <w:r>
        <w:rPr>
          <w:rFonts w:ascii="Times New Roman" w:hAnsi="Times New Roman"/>
          <w:b/>
          <w:color w:val="1B365D"/>
          <w:sz w:val="23"/>
        </w:rPr>
        <w:t>VI. Future Work</w:t>
      </w:r>
    </w:p>
    <w:p>
      <w:pPr>
        <w:spacing w:before="0" w:after="80" w:line="252" w:lineRule="auto"/>
        <w:ind w:firstLine="216"/>
      </w:pPr>
      <w:r>
        <w:rPr>
          <w:rFonts w:ascii="Times New Roman" w:hAnsi="Times New Roman"/>
          <w:color w:val="000000"/>
          <w:sz w:val="18"/>
        </w:rPr>
        <w:t>Building upon our current findings, several promising directions exist for future research:</w:t>
      </w:r>
    </w:p>
    <w:p>
      <w:pPr>
        <w:pStyle w:val="ListBullet"/>
        <w:spacing w:before="0" w:after="40" w:line="252" w:lineRule="auto"/>
        <w:ind w:left="216"/>
      </w:pPr>
      <w:r>
        <w:rPr>
          <w:rFonts w:ascii="Times New Roman" w:hAnsi="Times New Roman"/>
          <w:b/>
          <w:color w:val="000000"/>
          <w:sz w:val="18"/>
        </w:rPr>
        <w:t xml:space="preserve">1) Self-Healing Cloud Pipelines: </w:t>
      </w:r>
      <w:r>
        <w:rPr>
          <w:rFonts w:ascii="Times New Roman" w:hAnsi="Times New Roman"/>
          <w:color w:val="000000"/>
          <w:sz w:val="18"/>
        </w:rPr>
        <w:t>Developing self-healing cloud control loops that automatically apply validated diff patches to live infrastructure when security drift is detected by cloud provider APIs.</w:t>
      </w:r>
    </w:p>
    <w:p>
      <w:pPr>
        <w:pStyle w:val="ListBullet"/>
        <w:spacing w:before="0" w:after="40" w:line="252" w:lineRule="auto"/>
        <w:ind w:left="216"/>
      </w:pPr>
      <w:r>
        <w:rPr>
          <w:rFonts w:ascii="Times New Roman" w:hAnsi="Times New Roman"/>
          <w:b/>
          <w:color w:val="000000"/>
          <w:sz w:val="18"/>
        </w:rPr>
        <w:t xml:space="preserve">2) SLM Distillation for Edge Deployment: </w:t>
      </w:r>
      <w:r>
        <w:rPr>
          <w:rFonts w:ascii="Times New Roman" w:hAnsi="Times New Roman"/>
          <w:color w:val="000000"/>
          <w:sz w:val="18"/>
        </w:rPr>
        <w:t>Distilling multi-LLM ensemble reasoning into fine-tuned Small Language Models (SLMs) to enable rapid, low-latency local edge security analysis directly within developer workstations.</w:t>
      </w:r>
    </w:p>
    <w:p>
      <w:pPr>
        <w:pStyle w:val="ListBullet"/>
        <w:spacing w:before="0" w:after="40" w:line="252" w:lineRule="auto"/>
        <w:ind w:left="216"/>
      </w:pPr>
      <w:r>
        <w:rPr>
          <w:rFonts w:ascii="Times New Roman" w:hAnsi="Times New Roman"/>
          <w:b/>
          <w:color w:val="000000"/>
          <w:sz w:val="18"/>
        </w:rPr>
        <w:t xml:space="preserve">3) Zero-Trust Container Orchestration: </w:t>
      </w:r>
      <w:r>
        <w:rPr>
          <w:rFonts w:ascii="Times New Roman" w:hAnsi="Times New Roman"/>
          <w:color w:val="000000"/>
          <w:sz w:val="18"/>
        </w:rPr>
        <w:t>Expanding automated compliance crosswalking to cover zero-trust container runtime policies and service mesh configurations across Kubernetes environments.</w:t>
      </w:r>
    </w:p>
    <w:p>
      <w:pPr>
        <w:keepNext/>
        <w:spacing w:before="240" w:after="80"/>
      </w:pPr>
      <w:r>
        <w:rPr>
          <w:rFonts w:ascii="Times New Roman" w:hAnsi="Times New Roman"/>
          <w:b/>
          <w:color w:val="1B365D"/>
          <w:sz w:val="23"/>
        </w:rPr>
        <w:t>Reference</w:t>
      </w:r>
    </w:p>
    <w:p>
      <w:pPr>
        <w:spacing w:before="0" w:after="40" w:line="240" w:lineRule="auto"/>
        <w:ind w:left="288" w:hanging="288"/>
      </w:pPr>
      <w:r>
        <w:rPr>
          <w:rFonts w:ascii="Times New Roman" w:hAnsi="Times New Roman"/>
          <w:color w:val="000000"/>
          <w:sz w:val="16"/>
        </w:rPr>
        <w:t>[1] D. Toprani and V. K. Madisetti, "LLM Agentic Workflow for Automated Vulnerability Detection and Remediation in Infrastructure-as-Code," IEEE Access, vol. 13, pp. 69175-69181, 2025.</w:t>
      </w:r>
    </w:p>
    <w:p>
      <w:pPr>
        <w:spacing w:before="0" w:after="40" w:line="240" w:lineRule="auto"/>
        <w:ind w:left="288" w:hanging="288"/>
      </w:pPr>
      <w:r>
        <w:rPr>
          <w:rFonts w:ascii="Times New Roman" w:hAnsi="Times New Roman"/>
          <w:color w:val="000000"/>
          <w:sz w:val="16"/>
        </w:rPr>
        <w:t>[2] N. Saavedra and J. F. Ferreira, "GLITCH: Automated polyglot security smell detection in infrastructure as code," arXiv preprint arXiv:2205.14371, 2022.</w:t>
      </w:r>
    </w:p>
    <w:p>
      <w:pPr>
        <w:spacing w:before="0" w:after="40" w:line="240" w:lineRule="auto"/>
        <w:ind w:left="288" w:hanging="288"/>
      </w:pPr>
      <w:r>
        <w:rPr>
          <w:rFonts w:ascii="Times New Roman" w:hAnsi="Times New Roman"/>
          <w:color w:val="000000"/>
          <w:sz w:val="16"/>
        </w:rPr>
        <w:t>[3] E. Malul, Y. Meidan, D. Mimran, Y. Elovici, and A. Shabtai, "GenKubeSec: LLM-based kubernetes misconfiguration detection, localization, reasoning, and remediation," arXiv preprint arXiv:2405.19954, 2024.</w:t>
      </w:r>
    </w:p>
    <w:p>
      <w:pPr>
        <w:spacing w:before="0" w:after="40" w:line="240" w:lineRule="auto"/>
        <w:ind w:left="288" w:hanging="288"/>
      </w:pPr>
      <w:r>
        <w:rPr>
          <w:rFonts w:ascii="Times New Roman" w:hAnsi="Times New Roman"/>
          <w:color w:val="000000"/>
          <w:sz w:val="16"/>
        </w:rPr>
        <w:t>[4] X. Lian, Y. Chen, R. Cheng, J. Huang, P. Thakkar, M. Zhang, and T. Xu, "Configuration validation with large language models," arXiv preprint arXiv:2310.09690, 2023.</w:t>
      </w:r>
    </w:p>
    <w:p>
      <w:pPr>
        <w:spacing w:before="0" w:after="40" w:line="240" w:lineRule="auto"/>
        <w:ind w:left="288" w:hanging="288"/>
      </w:pPr>
      <w:r>
        <w:rPr>
          <w:rFonts w:ascii="Times New Roman" w:hAnsi="Times New Roman"/>
          <w:color w:val="000000"/>
          <w:sz w:val="16"/>
        </w:rPr>
        <w:t>[5] F. Minna, F. Massacci, and K. Tuma, "Analyzing and mitigating (with LLMs) the security misconfigurations of helm charts from artifact hub," arXiv preprint arXiv:2403.09537, 2024.</w:t>
      </w:r>
    </w:p>
    <w:p>
      <w:pPr>
        <w:spacing w:before="0" w:after="40" w:line="240" w:lineRule="auto"/>
        <w:ind w:left="288" w:hanging="288"/>
      </w:pPr>
      <w:r>
        <w:rPr>
          <w:rFonts w:ascii="Times New Roman" w:hAnsi="Times New Roman"/>
          <w:color w:val="000000"/>
          <w:sz w:val="16"/>
        </w:rPr>
        <w:t>[6] S. Ullah, M. Han, S. Pujar, H. Pearce, A. Coskun, and G. Stringhini, "LLMs Cannot Reliably Identify and Reason About Security Vulnerabilities (Yet?): A Comprehensive Evaluation, Framework, and Benchmarks," IEEE S&amp;P, 2024.</w:t>
      </w:r>
    </w:p>
    <w:p>
      <w:pPr>
        <w:spacing w:before="0" w:after="40" w:line="240" w:lineRule="auto"/>
        <w:ind w:left="288" w:hanging="288"/>
      </w:pPr>
      <w:r>
        <w:rPr>
          <w:rFonts w:ascii="Times New Roman" w:hAnsi="Times New Roman"/>
          <w:color w:val="000000"/>
          <w:sz w:val="16"/>
        </w:rPr>
        <w:t>[7] D. Compton, "What Went Wrong With Unisuper and Google Cloud?" [Online]. Available: https://danielcompton.net/google-cloud-unisuper, 2024.</w:t>
      </w:r>
    </w:p>
    <w:p>
      <w:pPr>
        <w:spacing w:before="0" w:after="40" w:line="240" w:lineRule="auto"/>
        <w:ind w:left="288" w:hanging="288"/>
      </w:pPr>
      <w:r>
        <w:rPr>
          <w:rFonts w:ascii="Times New Roman" w:hAnsi="Times New Roman"/>
          <w:color w:val="000000"/>
          <w:sz w:val="16"/>
        </w:rPr>
        <w:t>[8] Amazon Web Services, "AWS Well-Architected Framework: Reliability and Security Pillars," AWS Documentation, 2024.</w:t>
      </w:r>
    </w:p>
    <w:p>
      <w:pPr>
        <w:spacing w:before="0" w:after="40" w:line="240" w:lineRule="auto"/>
        <w:ind w:left="288" w:hanging="288"/>
      </w:pPr>
      <w:r>
        <w:rPr>
          <w:rFonts w:ascii="Times New Roman" w:hAnsi="Times New Roman"/>
          <w:color w:val="000000"/>
          <w:sz w:val="16"/>
        </w:rPr>
        <w:t>[9] Center for Internet Security, "CIS Amazon Web Services / Azure / GCP Foundations Benchmarks v3.0.0," CIS Security, 2024.</w:t>
      </w:r>
    </w:p>
    <w:p>
      <w:pPr>
        <w:spacing w:before="0" w:after="40" w:line="240" w:lineRule="auto"/>
        <w:ind w:left="288" w:hanging="288"/>
      </w:pPr>
      <w:r>
        <w:rPr>
          <w:rFonts w:ascii="Times New Roman" w:hAnsi="Times New Roman"/>
          <w:color w:val="000000"/>
          <w:sz w:val="16"/>
        </w:rPr>
        <w:t>[10] HashiCorp, "Terraform Security Best Practices and Static Code Analysis Framework," HashiCorp Developer Docs, 2024.</w:t>
      </w:r>
    </w:p>
    <w:p>
      <w:pPr>
        <w:spacing w:before="0" w:after="40" w:line="240" w:lineRule="auto"/>
        <w:ind w:left="288" w:hanging="288"/>
      </w:pPr>
      <w:r>
        <w:rPr>
          <w:rFonts w:ascii="Times New Roman" w:hAnsi="Times New Roman"/>
          <w:color w:val="000000"/>
          <w:sz w:val="16"/>
        </w:rPr>
        <w:t>[11] NIST, "Security and Privacy Controls for Information Systems and Organizations," NIST Special Publication 800-53, Rev. 5, 2020.</w:t>
      </w:r>
    </w:p>
    <w:p>
      <w:pPr>
        <w:spacing w:before="0" w:after="40" w:line="240" w:lineRule="auto"/>
        <w:ind w:left="288" w:hanging="288"/>
      </w:pPr>
      <w:r>
        <w:rPr>
          <w:rFonts w:ascii="Times New Roman" w:hAnsi="Times New Roman"/>
          <w:color w:val="000000"/>
          <w:sz w:val="16"/>
        </w:rPr>
        <w:t>[12] PCI Security Standards Council, "Payment Card Industry Data Security Standard (PCI-DSS) v4.0," 2022.</w:t>
      </w:r>
    </w:p>
    <w:sectPr w:rsidR="00FC693F" w:rsidRPr="0006063C" w:rsidSect="00034616">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7"/>
      </w:rPr>
      <w:t>IEEE Conference Paper Draft | Team 13 — AgentShield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