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00" w:line="240" w:lineRule="auto"/>
        <w:jc w:val="center"/>
      </w:pPr>
      <w:r>
        <w:rPr>
          <w:rFonts w:ascii="Times New Roman" w:hAnsi="Times New Roman" w:cs="Times New Roman"/>
          <w:b w:val="0"/>
          <w:i/>
          <w:color w:val="464646"/>
          <w:sz w:val="17"/>
        </w:rPr>
        <w:t>2026 5th International Conference on Automation, Computing and Renewable Systems (ICACRS)</w:t>
        <w:br/>
        <w:t>IEEE Conference Record #70751 | ISBN: 979-8-3195-2973-2 | Pudukkottai, India</w:t>
      </w:r>
    </w:p>
    <w:p>
      <w:pPr>
        <w:pStyle w:val="Title"/>
        <w:spacing w:before="200" w:after="200" w:line="264" w:lineRule="auto"/>
        <w:jc w:val="center"/>
      </w:pPr>
      <w:r>
        <w:rPr>
          <w:rFonts w:ascii="Times New Roman" w:hAnsi="Times New Roman" w:cs="Times New Roman"/>
          <w:b/>
          <w:i w:val="0"/>
          <w:sz w:val="40"/>
        </w:rPr>
        <w:t>AgentShield AI: An Autonomous Multi-Agent Framework for Syntactic Verification, Secret Interception, and Sandbox-Validated Remediation in Multi-Cloud Infrastructure-as-Code</w:t>
      </w:r>
    </w:p>
    <w:p>
      <w:pPr>
        <w:spacing w:before="80" w:after="60" w:line="240" w:lineRule="auto"/>
        <w:jc w:val="center"/>
      </w:pPr>
      <w:r>
        <w:rPr>
          <w:rFonts w:ascii="Times New Roman" w:hAnsi="Times New Roman" w:cs="Times New Roman"/>
          <w:b/>
          <w:i w:val="0"/>
          <w:sz w:val="22"/>
        </w:rPr>
        <w:t>K. Vishal Reddy, Anisha Paturi, Parinamika Bhanu Ch, Venkata Vahini Ch, Sravani Janak</w:t>
      </w:r>
    </w:p>
    <w:p>
      <w:pPr>
        <w:spacing w:before="0" w:after="40" w:line="240" w:lineRule="auto"/>
        <w:jc w:val="center"/>
      </w:pPr>
      <w:r>
        <w:rPr>
          <w:rFonts w:ascii="Times New Roman" w:hAnsi="Times New Roman" w:cs="Times New Roman"/>
          <w:b w:val="0"/>
          <w:i w:val="0"/>
          <w:sz w:val="19"/>
        </w:rPr>
        <w:t>Department of Computer Science and Engineering, Keshav Memorial Institute of Technology, Hyderabad, Telangana, India</w:t>
      </w:r>
    </w:p>
    <w:p>
      <w:pPr>
        <w:spacing w:before="0" w:after="240" w:line="240" w:lineRule="auto"/>
        <w:jc w:val="center"/>
      </w:pPr>
      <w:r>
        <w:rPr>
          <w:rFonts w:ascii="Times New Roman" w:hAnsi="Times New Roman" w:cs="Times New Roman"/>
          <w:b w:val="0"/>
          <w:i/>
          <w:color w:val="3C3C3C"/>
          <w:sz w:val="18"/>
        </w:rPr>
        <w:t>Corresponding Author: paturi.anisha@gmail.com  |  Track 2: Robotics and Automation (Agents &amp; Multi-Agent Systems)</w:t>
      </w:r>
    </w:p>
    <w:p>
      <w:pPr>
        <w:spacing w:before="120" w:after="120" w:line="252" w:lineRule="auto"/>
        <w:jc w:val="both"/>
      </w:pPr>
      <w:r/>
      <w:r>
        <w:rPr>
          <w:rFonts w:ascii="Times New Roman" w:hAnsi="Times New Roman" w:cs="Times New Roman"/>
          <w:b/>
          <w:i/>
          <w:sz w:val="18"/>
        </w:rPr>
        <w:t>Abstract</w:t>
      </w:r>
      <w:r>
        <w:rPr>
          <w:rFonts w:ascii="Times New Roman" w:hAnsi="Times New Roman" w:cs="Times New Roman"/>
          <w:b/>
          <w:i w:val="0"/>
          <w:sz w:val="18"/>
        </w:rPr>
        <w:t xml:space="preserve">— </w:t>
      </w:r>
      <w:r>
        <w:rPr>
          <w:rFonts w:ascii="Times New Roman" w:hAnsi="Times New Roman" w:cs="Times New Roman"/>
          <w:b w:val="0"/>
          <w:i w:val="0"/>
          <w:sz w:val="18"/>
        </w:rPr>
        <w:t>Infrastructure-As-Code (IaC) templates like Terraform, AWS CloudFormation, Kubernetes manifests, and Helm charts play an essential role in provisioning enterprise multi-cloud environments. However, security misconfigurations, credential leakage, and over-permissive access policies that appear at the template stage routinely bypass static linters, resulting in severe runtime vulnerabilities. Existing Large Language Model (LLM) security tools remain limited to single-cloud scopes, demonstrate high false-positive rates (15%–32%), provide non-executable textual recommendations, fail to detect obfuscated secrets, and frequently produce broken syntax patches. In this paper, we present AgentShield AI, an 8-agent autonomous framework powered by LangGraph and engineered for comprehensive multi-cloud Infrastructure-as-Code protection. AgentShield AI coordinates eight specialized agents operating in an asynchronous, event-driven workflow: Manager/Router, Hybrid Concrete Syntax Tree (CST) Parser, Zero-Egress Secrets Scanner, Hybrid Dense-Sparse RAG Query Agent, Security Analyst Agent with Multi-LLM Ensemble Voting (Claude 3.5 Sonnet + GPT-4o), Human Security Audit Queue, Auto-Patch Remediation Agent, and Code &amp; Sandbox Validator Agent with a two-stage validation harness. Hallucination risks are eliminated by integrating Tree-sitter dynamic parameter pre-resolution, hybrid sparse retrieval, dual-engine Shannon entropy secret scanning, consensus confidence scoring, and containerized LocalStack/Azurite dry-run validation. Evaluated across 2,450 multi-cloud IaC modules, AgentShield AI achieves 99.1% detection accuracy, 98.4% recall, a false-positive rate below 0.05%, a 97.8% first-pass sandbox remediation success rate, and an average execution latency of 1.84 seconds per template.</w:t>
      </w:r>
    </w:p>
    <w:p>
      <w:pPr>
        <w:spacing w:before="0" w:after="280" w:line="252" w:lineRule="auto"/>
        <w:jc w:val="both"/>
        <w:sectPr>
          <w:pgSz w:w="11906" w:h="16838"/>
          <w:pgMar w:top="1080" w:right="900" w:bottom="1440" w:left="900" w:header="720" w:footer="720" w:gutter="0"/>
          <w:cols w:num="1" w:space="720"/>
          <w:footerReference w:type="default" r:id="rId21"/>
          <w:type w:val="continuous"/>
        </w:sectPr>
      </w:pPr>
      <w:r/>
      <w:r>
        <w:rPr>
          <w:rFonts w:ascii="Times New Roman" w:hAnsi="Times New Roman" w:cs="Times New Roman"/>
          <w:b/>
          <w:i/>
          <w:sz w:val="18"/>
        </w:rPr>
        <w:t>Index Terms</w:t>
      </w:r>
      <w:r>
        <w:rPr>
          <w:rFonts w:ascii="Times New Roman" w:hAnsi="Times New Roman" w:cs="Times New Roman"/>
          <w:b/>
          <w:i w:val="0"/>
          <w:sz w:val="18"/>
        </w:rPr>
        <w:t xml:space="preserve">— </w:t>
      </w:r>
      <w:r>
        <w:rPr>
          <w:rFonts w:ascii="Times New Roman" w:hAnsi="Times New Roman" w:cs="Times New Roman"/>
          <w:b w:val="0"/>
          <w:i w:val="0"/>
          <w:sz w:val="18"/>
        </w:rPr>
        <w:t>Infrastructure-as-Code (IaC), Multi-Agent Systems, Multi-Cloud Security, Large Language Models (LLMs), Secret Detection, LocalStack Sandbox, Automated Remediation, Concrete Syntax Trees, DevSecOps.</w:t>
      </w:r>
    </w:p>
    <w:p>
      <w:pPr>
        <w:pStyle w:val="ListParagraph"/>
        <w:keepNext/>
        <w:spacing w:before="240" w:after="80" w:line="240" w:lineRule="auto"/>
        <w:jc w:val="center"/>
        <w:numPr>
          <w:ilvl w:val="0"/>
          <w:numId w:val="20"/>
        </w:numPr>
      </w:pPr>
      <w:r>
        <w:rPr>
          <w:rFonts w:ascii="Times New Roman" w:hAnsi="Times New Roman" w:cs="Times New Roman"/>
          <w:b/>
          <w:i w:val="0"/>
          <w:sz w:val="20"/>
        </w:rPr>
        <w:t>I. INTRODUCTION</w:t>
      </w:r>
    </w:p>
    <w:p>
      <w:pPr>
        <w:spacing w:before="0" w:after="80" w:line="252" w:lineRule="auto"/>
        <w:jc w:val="both"/>
      </w:pPr>
      <w:r>
        <w:rPr>
          <w:rFonts w:ascii="Times New Roman" w:hAnsi="Times New Roman" w:cs="Times New Roman"/>
          <w:b w:val="0"/>
          <w:i w:val="0"/>
          <w:color w:val="141414"/>
          <w:sz w:val="20"/>
        </w:rPr>
        <w:t>As outlined in [1], infrastructure as code (IaC) has revolutionized the field of cloud architecture and engineering. Similar to other code-based abstractions, IaC offers engineers the ability to provision and manage computing infrastructure in a product or service at scale. Tools such as Terraform, AWS CloudFormation, and Kubernetes offer engineers domain-specific infrastructure as code (IaC) capability [3]-[5].</w:t>
      </w:r>
    </w:p>
    <w:p>
      <w:pPr>
        <w:spacing w:before="0" w:after="80" w:line="252" w:lineRule="auto"/>
        <w:jc w:val="both"/>
      </w:pPr>
      <w:r>
        <w:rPr>
          <w:rFonts w:ascii="Times New Roman" w:hAnsi="Times New Roman" w:cs="Times New Roman"/>
          <w:b w:val="0"/>
          <w:i w:val="0"/>
          <w:color w:val="141414"/>
          <w:sz w:val="20"/>
        </w:rPr>
        <w:t>There are security concerns associated with the widespread adoption of IaC. IaC codification of infrastructure introduces multiple opportunities for security configuration errors and gaps. For example, IaC definitions may include secrets, keys and other credentials [5].</w:t>
      </w:r>
    </w:p>
    <w:p>
      <w:pPr>
        <w:spacing w:before="0" w:after="80" w:line="252" w:lineRule="auto"/>
        <w:jc w:val="both"/>
      </w:pPr>
      <w:r>
        <w:rPr>
          <w:rFonts w:ascii="Times New Roman" w:hAnsi="Times New Roman" w:cs="Times New Roman"/>
          <w:b w:val="0"/>
          <w:i w:val="0"/>
          <w:color w:val="141414"/>
          <w:sz w:val="20"/>
        </w:rPr>
        <w:t>There are two main strategies for mitigating IaC security concerns. The first strategy involves using IaC codification and processing tools and frameworks to introduce encodings and codifications for best practices and security controls [6]-[9]. The second strategy is the use of Cloud Security Posture Management (CSPM) tools.</w:t>
      </w:r>
    </w:p>
    <w:p>
      <w:pPr>
        <w:spacing w:before="0" w:after="80" w:line="252" w:lineRule="auto"/>
        <w:jc w:val="both"/>
      </w:pPr>
      <w:r>
        <w:rPr>
          <w:rFonts w:ascii="Times New Roman" w:hAnsi="Times New Roman" w:cs="Times New Roman"/>
          <w:b w:val="0"/>
          <w:i w:val="0"/>
          <w:color w:val="141414"/>
          <w:sz w:val="20"/>
        </w:rPr>
        <w:t>There have been recent studies that integrate artificial intelligence and security to audit IaC configurations. These studies have primarily focused on the AWS cloud platform [15]-[19].</w:t>
      </w:r>
    </w:p>
    <w:p>
      <w:pPr>
        <w:pStyle w:val="ListParagraph"/>
        <w:keepNext/>
        <w:spacing w:before="160" w:after="60" w:line="240" w:lineRule="auto"/>
        <w:jc w:val="left"/>
        <w:numPr>
          <w:ilvl w:val="1"/>
          <w:numId w:val="20"/>
        </w:numPr>
      </w:pPr>
      <w:r>
        <w:rPr>
          <w:rFonts w:ascii="Times New Roman" w:hAnsi="Times New Roman" w:cs="Times New Roman"/>
          <w:b/>
          <w:i/>
          <w:sz w:val="20"/>
        </w:rPr>
        <w:t>A. Soft Infrastructure Threats</w:t>
      </w:r>
    </w:p>
    <w:p>
      <w:pPr>
        <w:spacing w:before="0" w:after="80" w:line="252" w:lineRule="auto"/>
        <w:jc w:val="both"/>
      </w:pPr>
      <w:r>
        <w:rPr>
          <w:rFonts w:ascii="Times New Roman" w:hAnsi="Times New Roman" w:cs="Times New Roman"/>
          <w:b w:val="0"/>
          <w:i w:val="0"/>
          <w:color w:val="141414"/>
          <w:sz w:val="20"/>
        </w:rPr>
        <w:t>Software-Defined Infrastructure (SDI) allows for high automation of enterprise computing. With SDI, the infrastructure is programmable with code, and changes to the code are automatically deployed with CI/CD tools. Given the similarities with software development, infrastructure config code (IaC) is treated as source code.</w:t>
      </w:r>
    </w:p>
    <w:p>
      <w:pPr>
        <w:spacing w:before="0" w:after="80" w:line="252" w:lineRule="auto"/>
        <w:jc w:val="both"/>
      </w:pPr>
      <w:r>
        <w:rPr>
          <w:rFonts w:ascii="Times New Roman" w:hAnsi="Times New Roman" w:cs="Times New Roman"/>
          <w:b w:val="0"/>
          <w:i w:val="0"/>
          <w:color w:val="141414"/>
          <w:sz w:val="20"/>
        </w:rPr>
        <w:t>Given the rise in adoption of Cloud Computing, a variety of architectural misconfigurations of IaC have been reported and validated [4] [5]. Other studies have reported code repositories have accidentally disclosed sensitive information at high rates (e.g. 65% public code repositories reported in [6]).</w:t>
      </w:r>
    </w:p>
    <w:p>
      <w:pPr>
        <w:spacing w:before="0" w:after="80" w:line="252" w:lineRule="auto"/>
        <w:jc w:val="both"/>
      </w:pPr>
      <w:r>
        <w:rPr>
          <w:rFonts w:ascii="Times New Roman" w:hAnsi="Times New Roman" w:cs="Times New Roman"/>
          <w:b w:val="0"/>
          <w:i w:val="0"/>
          <w:color w:val="141414"/>
          <w:sz w:val="20"/>
        </w:rPr>
        <w:t>Some of the IaC misconfigurations are:</w:t>
      </w:r>
    </w:p>
    <w:p>
      <w:pPr>
        <w:spacing w:before="0" w:after="80" w:line="252" w:lineRule="auto"/>
        <w:jc w:val="both"/>
      </w:pPr>
      <w:r>
        <w:rPr>
          <w:rFonts w:ascii="Times New Roman" w:hAnsi="Times New Roman" w:cs="Times New Roman"/>
          <w:b w:val="0"/>
          <w:i w:val="0"/>
          <w:color w:val="141414"/>
          <w:sz w:val="20"/>
        </w:rPr>
        <w:t>(i) IaC has defined configuration rules for security groups to control ingress traffic. However, in some cases these rules allow administrative traffic over the Internet (e.g. SSH, RDP, Kubernetes API).</w:t>
      </w:r>
    </w:p>
    <w:p>
      <w:pPr>
        <w:spacing w:before="0" w:after="80" w:line="252" w:lineRule="auto"/>
        <w:jc w:val="both"/>
      </w:pPr>
      <w:r>
        <w:rPr>
          <w:rFonts w:ascii="Times New Roman" w:hAnsi="Times New Roman" w:cs="Times New Roman"/>
          <w:b w:val="0"/>
          <w:i w:val="0"/>
          <w:color w:val="141414"/>
          <w:sz w:val="20"/>
        </w:rPr>
        <w:t>(ii) Sensitive data stored on cloud storage and block storage are unprotected.</w:t>
      </w:r>
    </w:p>
    <w:p>
      <w:pPr>
        <w:spacing w:before="0" w:after="80" w:line="252" w:lineRule="auto"/>
        <w:jc w:val="both"/>
      </w:pPr>
      <w:r>
        <w:rPr>
          <w:rFonts w:ascii="Times New Roman" w:hAnsi="Times New Roman" w:cs="Times New Roman"/>
          <w:b w:val="0"/>
          <w:i w:val="0"/>
          <w:color w:val="141414"/>
          <w:sz w:val="20"/>
        </w:rPr>
        <w:t>(iii) IaC defines and grants access control to cloud resources. Improper configuration allows access to all resources.</w:t>
      </w:r>
    </w:p>
    <w:p>
      <w:pPr>
        <w:spacing w:before="0" w:after="80" w:line="252" w:lineRule="auto"/>
        <w:jc w:val="both"/>
      </w:pPr>
      <w:r>
        <w:rPr>
          <w:rFonts w:ascii="Times New Roman" w:hAnsi="Times New Roman" w:cs="Times New Roman"/>
          <w:b w:val="0"/>
          <w:i w:val="0"/>
          <w:color w:val="141414"/>
          <w:sz w:val="20"/>
        </w:rPr>
        <w:t>(iv) Sensitive information (e.g. application secrets, access tokens, etc.) are stored in code repos.</w:t>
      </w:r>
    </w:p>
    <w:p>
      <w:pPr>
        <w:spacing w:before="0" w:after="80" w:line="252" w:lineRule="auto"/>
        <w:jc w:val="both"/>
      </w:pPr>
      <w:r>
        <w:rPr>
          <w:rFonts w:ascii="Times New Roman" w:hAnsi="Times New Roman" w:cs="Times New Roman"/>
          <w:b w:val="0"/>
          <w:i w:val="0"/>
          <w:color w:val="141414"/>
          <w:sz w:val="20"/>
        </w:rPr>
        <w:t>There are other threats like shared or hard-coded admin passwords and use of out-dated or deprecated IaC constructs.</w:t>
      </w:r>
    </w:p>
    <w:p>
      <w:pPr>
        <w:pStyle w:val="ListParagraph"/>
        <w:keepNext/>
        <w:spacing w:before="160" w:after="60" w:line="240" w:lineRule="auto"/>
        <w:jc w:val="left"/>
        <w:numPr>
          <w:ilvl w:val="1"/>
          <w:numId w:val="20"/>
        </w:numPr>
      </w:pPr>
      <w:r>
        <w:rPr>
          <w:rFonts w:ascii="Times New Roman" w:hAnsi="Times New Roman" w:cs="Times New Roman"/>
          <w:b/>
          <w:i/>
          <w:sz w:val="20"/>
        </w:rPr>
        <w:t>B. Failure Modes of Traditional Tools and Open-Loop LLMs</w:t>
      </w:r>
    </w:p>
    <w:p>
      <w:pPr>
        <w:spacing w:before="0" w:after="80" w:line="252" w:lineRule="auto"/>
        <w:jc w:val="both"/>
      </w:pPr>
      <w:r>
        <w:rPr>
          <w:rFonts w:ascii="Times New Roman" w:hAnsi="Times New Roman" w:cs="Times New Roman"/>
          <w:b w:val="0"/>
          <w:i w:val="0"/>
          <w:color w:val="141414"/>
          <w:sz w:val="20"/>
        </w:rPr>
        <w:t>To illustrate the reason new methods are needed we provide cases for conventional IaC tooling.</w:t>
      </w:r>
    </w:p>
    <w:p>
      <w:pPr>
        <w:spacing w:before="0" w:after="80" w:line="252" w:lineRule="auto"/>
        <w:jc w:val="both"/>
      </w:pPr>
      <w:r>
        <w:rPr>
          <w:rFonts w:ascii="Times New Roman" w:hAnsi="Times New Roman" w:cs="Times New Roman"/>
          <w:b/>
          <w:i w:val="0"/>
          <w:color w:val="0F172A"/>
          <w:sz w:val="20"/>
        </w:rPr>
        <w:t xml:space="preserve">Case 1: Alert Fatigue and Syntactic Myopia: </w:t>
      </w:r>
      <w:r>
        <w:rPr>
          <w:rFonts w:ascii="Times New Roman" w:hAnsi="Times New Roman" w:cs="Times New Roman"/>
          <w:b w:val="0"/>
          <w:i w:val="0"/>
          <w:color w:val="141414"/>
          <w:sz w:val="20"/>
        </w:rPr>
        <w:t>Tools such as Checkov, tfsec, KICS, Trivy, and others, rely on syntactic analysis. Therefore, they primarily analyze expressions. As a result, tools report false positives at rate between 32.4% to 47.9% and generate a large number of alerts. The tools ultimately lose developers' trust, and alert fatigue sets in.</w:t>
      </w:r>
    </w:p>
    <w:p>
      <w:pPr>
        <w:spacing w:before="0" w:after="80" w:line="252" w:lineRule="auto"/>
        <w:jc w:val="both"/>
      </w:pPr>
      <w:r>
        <w:rPr>
          <w:rFonts w:ascii="Times New Roman" w:hAnsi="Times New Roman" w:cs="Times New Roman"/>
          <w:b/>
          <w:i w:val="0"/>
          <w:color w:val="0F172A"/>
          <w:sz w:val="20"/>
        </w:rPr>
        <w:t xml:space="preserve">Case 2: Diagnostic Gap: </w:t>
      </w:r>
      <w:r>
        <w:rPr>
          <w:rFonts w:ascii="Times New Roman" w:hAnsi="Times New Roman" w:cs="Times New Roman"/>
          <w:b w:val="0"/>
          <w:i w:val="0"/>
          <w:color w:val="141414"/>
          <w:sz w:val="20"/>
        </w:rPr>
        <w:t>Static analysis tools identify security issues in code. However, it is the responsibility of the security team to integrate the recommended remediations. This can lead to a considerable delay between the discovery and remediation of the issue. On average, it takes 24.6 days to resolve a security issue identified by the automated tools [20].</w:t>
      </w:r>
    </w:p>
    <w:p>
      <w:pPr>
        <w:spacing w:before="0" w:after="80" w:line="252" w:lineRule="auto"/>
        <w:jc w:val="both"/>
      </w:pPr>
      <w:r>
        <w:rPr>
          <w:rFonts w:ascii="Times New Roman" w:hAnsi="Times New Roman" w:cs="Times New Roman"/>
          <w:b/>
          <w:i w:val="0"/>
          <w:color w:val="0F172A"/>
          <w:sz w:val="20"/>
        </w:rPr>
        <w:t xml:space="preserve">Case 3: Hallucinations and Dependency Breaking: </w:t>
      </w:r>
      <w:r>
        <w:rPr>
          <w:rFonts w:ascii="Times New Roman" w:hAnsi="Times New Roman" w:cs="Times New Roman"/>
          <w:b w:val="0"/>
          <w:i w:val="0"/>
          <w:color w:val="141414"/>
          <w:sz w:val="20"/>
        </w:rPr>
        <w:t>GPTs and other LLMs can learn to synthesize code. However, during code generation, GPTs and LLMs can hallucinate code and create dependencies which break during integration. This can result in application failures.</w:t>
      </w:r>
    </w:p>
    <w:p>
      <w:pPr>
        <w:spacing w:before="0" w:after="80" w:line="252" w:lineRule="auto"/>
        <w:jc w:val="both"/>
      </w:pPr>
      <w:r>
        <w:rPr>
          <w:rFonts w:ascii="Times New Roman" w:hAnsi="Times New Roman" w:cs="Times New Roman"/>
          <w:b/>
          <w:i w:val="0"/>
          <w:color w:val="0F172A"/>
          <w:sz w:val="20"/>
        </w:rPr>
        <w:t xml:space="preserve">Case 4: Secret Detection: </w:t>
      </w:r>
      <w:r>
        <w:rPr>
          <w:rFonts w:ascii="Times New Roman" w:hAnsi="Times New Roman" w:cs="Times New Roman"/>
          <w:b w:val="0"/>
          <w:i w:val="0"/>
          <w:color w:val="141414"/>
          <w:sz w:val="20"/>
        </w:rPr>
        <w:t>Secret detection relies on entropy. While tools can help detect secrets, they can create a large number of false positives. Hexadecimal codes, UUIDs, and Base64 codes can be identified as secrets.</w:t>
      </w:r>
    </w:p>
    <w:p>
      <w:pPr>
        <w:pStyle w:val="ListParagraph"/>
        <w:keepNext/>
        <w:spacing w:before="160" w:after="60" w:line="240" w:lineRule="auto"/>
        <w:jc w:val="left"/>
        <w:numPr>
          <w:ilvl w:val="1"/>
          <w:numId w:val="20"/>
        </w:numPr>
      </w:pPr>
      <w:r>
        <w:rPr>
          <w:rFonts w:ascii="Times New Roman" w:hAnsi="Times New Roman" w:cs="Times New Roman"/>
          <w:b/>
          <w:i/>
          <w:sz w:val="20"/>
        </w:rPr>
        <w:t>C. Research Contributions</w:t>
      </w:r>
    </w:p>
    <w:p>
      <w:pPr>
        <w:spacing w:before="0" w:after="80" w:line="252" w:lineRule="auto"/>
        <w:jc w:val="both"/>
      </w:pPr>
      <w:r>
        <w:rPr>
          <w:rFonts w:ascii="Times New Roman" w:hAnsi="Times New Roman" w:cs="Times New Roman"/>
          <w:b w:val="0"/>
          <w:i w:val="0"/>
          <w:color w:val="141414"/>
          <w:sz w:val="20"/>
        </w:rPr>
        <w:t>This research presents AgentShield AI, a closed-loop system built on LangGraph. It uses specific agents to resolve IaC security issues. The main contributions of the research are:</w:t>
      </w:r>
    </w:p>
    <w:p>
      <w:pPr>
        <w:spacing w:before="0" w:after="80" w:line="252" w:lineRule="auto"/>
        <w:ind w:left="360" w:hanging="360"/>
        <w:jc w:val="both"/>
      </w:pPr>
      <w:r>
        <w:rPr>
          <w:rFonts w:ascii="Times New Roman" w:hAnsi="Times New Roman" w:cs="Times New Roman"/>
          <w:b w:val="0"/>
          <w:i w:val="0"/>
          <w:sz w:val="20"/>
        </w:rPr>
        <w:t>1) 8-Agent Closed-Loop Orchestration: An asynchronous, event-driven LangGraph pipeline coordinating eight specialized agents spanning ingestion, parsing, scanning, auditing, consensus reasoning, and patch verification.</w:t>
      </w:r>
    </w:p>
    <w:p>
      <w:pPr>
        <w:spacing w:before="0" w:after="80" w:line="252" w:lineRule="auto"/>
        <w:ind w:left="360" w:hanging="360"/>
        <w:jc w:val="both"/>
      </w:pPr>
      <w:r>
        <w:rPr>
          <w:rFonts w:ascii="Times New Roman" w:hAnsi="Times New Roman" w:cs="Times New Roman"/>
          <w:b w:val="0"/>
          <w:i w:val="0"/>
          <w:sz w:val="20"/>
        </w:rPr>
        <w:t>2) Scope-Aware CST Parameter Resolution: Employs Tree-sitter Concrete Syntax Trees with dynamic scope-binding to resolve variable indirection, locals, and modules across Terraform, CloudFormation, and Kubernetes.</w:t>
      </w:r>
    </w:p>
    <w:p>
      <w:pPr>
        <w:spacing w:before="0" w:after="80" w:line="252" w:lineRule="auto"/>
        <w:ind w:left="360" w:hanging="360"/>
        <w:jc w:val="both"/>
      </w:pPr>
      <w:r>
        <w:rPr>
          <w:rFonts w:ascii="Times New Roman" w:hAnsi="Times New Roman" w:cs="Times New Roman"/>
          <w:b w:val="0"/>
          <w:i w:val="0"/>
          <w:sz w:val="20"/>
        </w:rPr>
        <w:t>3) Dual-Engine Secret Interception: Unifies Shannon entropy modeling with regex token matching to intercept embedded credentials in zero-egress isolation with zero leakage.</w:t>
      </w:r>
    </w:p>
    <w:p>
      <w:pPr>
        <w:spacing w:before="0" w:after="80" w:line="252" w:lineRule="auto"/>
        <w:ind w:left="360" w:hanging="360"/>
        <w:jc w:val="both"/>
      </w:pPr>
      <w:r>
        <w:rPr>
          <w:rFonts w:ascii="Times New Roman" w:hAnsi="Times New Roman" w:cs="Times New Roman"/>
          <w:b w:val="0"/>
          <w:i w:val="0"/>
          <w:sz w:val="20"/>
        </w:rPr>
        <w:t>4) Hybrid Dense-Sparse RAG Compliance Engine: Combines dense vector embeddings with sparse BM25 retrieval over 12,400 CIS Benchmark and NIST SP 800-53 controls via Reciprocal Rank Fusion (RRF).</w:t>
      </w:r>
    </w:p>
    <w:p>
      <w:pPr>
        <w:spacing w:before="0" w:after="80" w:line="252" w:lineRule="auto"/>
        <w:ind w:left="360" w:hanging="360"/>
        <w:jc w:val="both"/>
      </w:pPr>
      <w:r>
        <w:rPr>
          <w:rFonts w:ascii="Times New Roman" w:hAnsi="Times New Roman" w:cs="Times New Roman"/>
          <w:b w:val="0"/>
          <w:i w:val="0"/>
          <w:sz w:val="20"/>
        </w:rPr>
        <w:t>5) Calibrated Multi-LLM Ensemble Consensus: Synthesizes parallel reasoning from Claude 3.5 Sonnet and GPT-4o with confidence score thresholding and human auditor escalation for low-confidence detections.</w:t>
      </w:r>
    </w:p>
    <w:p>
      <w:pPr>
        <w:spacing w:before="0" w:after="80" w:line="252" w:lineRule="auto"/>
        <w:ind w:left="360" w:hanging="360"/>
        <w:jc w:val="both"/>
      </w:pPr>
      <w:r>
        <w:rPr>
          <w:rFonts w:ascii="Times New Roman" w:hAnsi="Times New Roman" w:cs="Times New Roman"/>
          <w:b w:val="0"/>
          <w:i w:val="0"/>
          <w:sz w:val="20"/>
        </w:rPr>
        <w:t>6) Two-Tier Sandbox Patch Verification: Enforces zero-break code commits by pairing static AST syntactic validation with containerized LocalStack and Azurite dry-run execution prior to repository push.</w:t>
      </w:r>
    </w:p>
    <w:p>
      <w:pPr>
        <w:pStyle w:val="ListParagraph"/>
        <w:keepNext/>
        <w:spacing w:before="240" w:after="80" w:line="240" w:lineRule="auto"/>
        <w:jc w:val="center"/>
        <w:numPr>
          <w:ilvl w:val="0"/>
          <w:numId w:val="20"/>
        </w:numPr>
      </w:pPr>
      <w:r>
        <w:rPr>
          <w:rFonts w:ascii="Times New Roman" w:hAnsi="Times New Roman" w:cs="Times New Roman"/>
          <w:b/>
          <w:i w:val="0"/>
          <w:sz w:val="20"/>
        </w:rPr>
        <w:t>II. RELATED WORK AND COMPARATIVE LANDSCAPE</w:t>
      </w:r>
    </w:p>
    <w:p>
      <w:pPr>
        <w:spacing w:before="0" w:after="80" w:line="252" w:lineRule="auto"/>
        <w:jc w:val="both"/>
      </w:pPr>
      <w:r>
        <w:rPr>
          <w:rFonts w:ascii="Times New Roman" w:hAnsi="Times New Roman" w:cs="Times New Roman"/>
          <w:b w:val="0"/>
          <w:i w:val="0"/>
          <w:color w:val="141414"/>
          <w:sz w:val="20"/>
        </w:rPr>
        <w:t>Security verification tools for IaC can be broken into several categories. They are usually static linters, policy-as-code engines, formal verifiers, secret detectors, or neural repair tools.</w:t>
      </w:r>
    </w:p>
    <w:p>
      <w:pPr>
        <w:pStyle w:val="ListParagraph"/>
        <w:keepNext/>
        <w:spacing w:before="160" w:after="60" w:line="240" w:lineRule="auto"/>
        <w:jc w:val="left"/>
        <w:numPr>
          <w:ilvl w:val="1"/>
          <w:numId w:val="20"/>
        </w:numPr>
      </w:pPr>
      <w:r>
        <w:rPr>
          <w:rFonts w:ascii="Times New Roman" w:hAnsi="Times New Roman" w:cs="Times New Roman"/>
          <w:b/>
          <w:i/>
          <w:sz w:val="20"/>
        </w:rPr>
        <w:t>A. Static Linters and Policy-as-Code Engines</w:t>
      </w:r>
    </w:p>
    <w:p>
      <w:pPr>
        <w:spacing w:before="0" w:after="80" w:line="252" w:lineRule="auto"/>
        <w:jc w:val="both"/>
      </w:pPr>
      <w:r>
        <w:rPr>
          <w:rFonts w:ascii="Times New Roman" w:hAnsi="Times New Roman" w:cs="Times New Roman"/>
          <w:b w:val="0"/>
          <w:i w:val="0"/>
          <w:color w:val="141414"/>
          <w:sz w:val="20"/>
        </w:rPr>
        <w:t>Some of the earliest generation of tools relied on primitive pattern matching. Checkov parses Terraform HCL into a Python abstract syntax tree and applies match rules. tfSec parses Terraform HCL into Go structs looking for common anti-patterns. KICS parses multiple flavors of IaC into JSON then feeds them into Open Policy Agent for rules evaluation. Trivy works by scanning both container images and IaC config files for CVE matches.</w:t>
      </w:r>
    </w:p>
    <w:p>
      <w:pPr>
        <w:spacing w:before="0" w:after="80" w:line="252" w:lineRule="auto"/>
        <w:jc w:val="both"/>
      </w:pPr>
      <w:r>
        <w:rPr>
          <w:rFonts w:ascii="Times New Roman" w:hAnsi="Times New Roman" w:cs="Times New Roman"/>
          <w:b w:val="0"/>
          <w:i w:val="0"/>
          <w:color w:val="141414"/>
          <w:sz w:val="20"/>
        </w:rPr>
        <w:t>The major downside to static tools is none of them understand variable value propagation across modules. That omission creates failure-to-discover rates between 32-48% of true positives (false alarms). Policy-as-code tools like Open Policy Agent (OPA) and Sentinel give engineering teams freedom to author their own rules. The drawback to writing custom policy rules is most teams struggle to keep those rulesets up to date with cloud provider API changes. Updating rules to support new cloud APIs is difficult to maintain teams.</w:t>
      </w:r>
    </w:p>
    <w:p>
      <w:pPr>
        <w:pStyle w:val="ListParagraph"/>
        <w:keepNext/>
        <w:spacing w:before="160" w:after="60" w:line="240" w:lineRule="auto"/>
        <w:jc w:val="left"/>
        <w:numPr>
          <w:ilvl w:val="1"/>
          <w:numId w:val="20"/>
        </w:numPr>
      </w:pPr>
      <w:r>
        <w:rPr>
          <w:rFonts w:ascii="Times New Roman" w:hAnsi="Times New Roman" w:cs="Times New Roman"/>
          <w:b/>
          <w:i/>
          <w:sz w:val="20"/>
        </w:rPr>
        <w:t>B. Formal Verification and SMT Solvers</w:t>
      </w:r>
    </w:p>
    <w:p>
      <w:pPr>
        <w:spacing w:before="0" w:after="80" w:line="252" w:lineRule="auto"/>
        <w:jc w:val="both"/>
      </w:pPr>
      <w:r>
        <w:rPr>
          <w:rFonts w:ascii="Times New Roman" w:hAnsi="Times New Roman" w:cs="Times New Roman"/>
          <w:b w:val="0"/>
          <w:i w:val="0"/>
          <w:color w:val="141414"/>
          <w:sz w:val="20"/>
        </w:rPr>
        <w:t>Formal verification attempts to mathematically prove a policy will always uphold certain conditions. AWS Zelkova converts IAM policies into SMT formulas then tries to prove they can reach a state of “Unauthorized”. Cloud-SMR attempts the same process but for network security configurations.</w:t>
      </w:r>
    </w:p>
    <w:p>
      <w:pPr>
        <w:spacing w:before="0" w:after="80" w:line="252" w:lineRule="auto"/>
        <w:jc w:val="both"/>
      </w:pPr>
      <w:r>
        <w:rPr>
          <w:rFonts w:ascii="Times New Roman" w:hAnsi="Times New Roman" w:cs="Times New Roman"/>
          <w:b w:val="0"/>
          <w:i w:val="0"/>
          <w:sz w:val="20"/>
        </w:rPr>
        <w:t>Formal verification is sound, but it lacks scalability in practical deployments. An empirical analysis of a multi-cloud deployment comprising hundreds of microservices required over 3 hours of SMT solver computation. Furthermore, formal verification is purely diagnostic—it identifies policy violations but cannot synthesize actionable remediation.</w:t>
      </w:r>
    </w:p>
    <w:p>
      <w:pPr>
        <w:pStyle w:val="ListParagraph"/>
        <w:keepNext/>
        <w:spacing w:before="160" w:after="60" w:line="240" w:lineRule="auto"/>
        <w:jc w:val="left"/>
        <w:numPr>
          <w:ilvl w:val="1"/>
          <w:numId w:val="20"/>
        </w:numPr>
      </w:pPr>
      <w:r>
        <w:rPr>
          <w:rFonts w:ascii="Times New Roman" w:hAnsi="Times New Roman" w:cs="Times New Roman"/>
          <w:b/>
          <w:i/>
          <w:sz w:val="20"/>
        </w:rPr>
        <w:t>C. Statistical Secret Detection and Entropy Modeling</w:t>
      </w:r>
    </w:p>
    <w:p>
      <w:pPr>
        <w:spacing w:before="0" w:after="80" w:line="252" w:lineRule="auto"/>
        <w:jc w:val="both"/>
      </w:pPr>
      <w:r>
        <w:rPr>
          <w:rFonts w:ascii="Times New Roman" w:hAnsi="Times New Roman" w:cs="Times New Roman"/>
          <w:b w:val="0"/>
          <w:i w:val="0"/>
          <w:color w:val="141414"/>
          <w:sz w:val="20"/>
        </w:rPr>
        <w:t>Credential scanning tools are almost exclusively regex matchers. Gitleaks and TruffleHog blast codebases with regex queries that look for AWS KeyIDs, GitHub tokens, password annotations, etc. There have also been studies showing Shannon entropy is effective at detecting secrets that don’t have a well-defined format.</w:t>
      </w:r>
    </w:p>
    <w:p>
      <w:pPr>
        <w:spacing w:before="0" w:after="80" w:line="252" w:lineRule="auto"/>
        <w:jc w:val="both"/>
      </w:pPr>
      <w:r>
        <w:rPr>
          <w:rFonts w:ascii="Times New Roman" w:hAnsi="Times New Roman" w:cs="Times New Roman"/>
          <w:b w:val="0"/>
          <w:i w:val="0"/>
          <w:color w:val="141414"/>
          <w:sz w:val="20"/>
        </w:rPr>
        <w:t>Entropy is noisy and produces false positives on JWT tokens, UUIDs, commit hashes, and Base64-encoded data. AgentShield AI overcomes this limitation with a hybrid approach. We use sliding entropy in conjunction with Tree-sitter scoping queries to dismiss printable identifiers.</w:t>
      </w:r>
    </w:p>
    <w:p>
      <w:pPr>
        <w:pStyle w:val="ListParagraph"/>
        <w:keepNext/>
        <w:spacing w:before="160" w:after="60" w:line="240" w:lineRule="auto"/>
        <w:jc w:val="left"/>
        <w:numPr>
          <w:ilvl w:val="1"/>
          <w:numId w:val="20"/>
        </w:numPr>
      </w:pPr>
      <w:r>
        <w:rPr>
          <w:rFonts w:ascii="Times New Roman" w:hAnsi="Times New Roman" w:cs="Times New Roman"/>
          <w:b/>
          <w:i/>
          <w:sz w:val="20"/>
        </w:rPr>
        <w:t>D. Neural Program Repair and Frontier LLM Fixes</w:t>
      </w:r>
    </w:p>
    <w:p>
      <w:pPr>
        <w:spacing w:before="0" w:after="80" w:line="252" w:lineRule="auto"/>
        <w:jc w:val="both"/>
      </w:pPr>
      <w:r>
        <w:rPr>
          <w:rFonts w:ascii="Times New Roman" w:hAnsi="Times New Roman" w:cs="Times New Roman"/>
          <w:b w:val="0"/>
          <w:i w:val="0"/>
          <w:color w:val="141414"/>
          <w:sz w:val="20"/>
        </w:rPr>
        <w:t>The rising popularity of LLMs has led to a surge in “auto-apply” vulnerability remediation tools. Toprani and Madisetti pioneered the graph-prompt technique using zero-shot Terraform fixes with GPT-3. Their sandbox was unable to run compiler checks or Terraform deployment validations. When deploying GPT-3 fixed configs into AWS: 28.8% of those configs failed due to hallucinated Terraform attributes and provider dependencies.</w:t>
      </w:r>
    </w:p>
    <w:p>
      <w:pPr>
        <w:spacing w:before="0" w:after="80" w:line="252" w:lineRule="auto"/>
        <w:jc w:val="both"/>
      </w:pPr>
      <w:r>
        <w:rPr>
          <w:rFonts w:ascii="Times New Roman" w:hAnsi="Times New Roman" w:cs="Times New Roman"/>
          <w:b w:val="0"/>
          <w:i w:val="0"/>
          <w:color w:val="141414"/>
          <w:sz w:val="20"/>
        </w:rPr>
        <w:t>Alsaid et al. analyzed numerous pairs of LLM-generated fixes that passed standard linting tools and discovered 71.4% had undiscovered bypasses when deployed into real AWS environments. Mengistu et al. introduced TerraRepair which showed dependency context drastically reduces hallucinations.</w:t>
      </w:r>
    </w:p>
    <w:p>
      <w:pPr>
        <w:spacing w:before="0" w:after="80" w:line="252" w:lineRule="auto"/>
        <w:jc w:val="both"/>
      </w:pPr>
      <w:r>
        <w:rPr>
          <w:rFonts w:ascii="Times New Roman" w:hAnsi="Times New Roman" w:cs="Times New Roman"/>
          <w:b w:val="0"/>
          <w:i w:val="0"/>
          <w:color w:val="141414"/>
          <w:sz w:val="20"/>
        </w:rPr>
        <w:t>AgentShield AI expands upon TerraRepair’s premise by adding a dual-LLM consensus voting overlay as well as containerized LocalStack/Azurite dry-run validation.</w:t>
      </w:r>
    </w:p>
    <w:p>
      <w:pPr>
        <w:spacing w:before="160" w:after="80" w:line="240" w:lineRule="auto"/>
        <w:jc w:val="center"/>
      </w:pPr>
      <w:r>
        <w:rPr>
          <w:rFonts w:ascii="Times New Roman" w:hAnsi="Times New Roman" w:cs="Times New Roman"/>
          <w:b/>
          <w:i w:val="0"/>
          <w:sz w:val="18"/>
        </w:rPr>
        <w:t>TABLE II: STATE-OF-THE-ART COMPARATIVE FEATURE MATRIX ACROSS IAC SECURITY FRAMEWORKS</w:t>
      </w:r>
    </w:p>
    <w:tbl>
      <w:tblPr>
        <w:tblW w:type="auto" w:w="0"/>
        <w:tblLook w:firstColumn="1" w:firstRow="1" w:lastColumn="0" w:lastRow="0" w:noHBand="0" w:noVBand="1" w:val="04A0"/>
        <w:jc w:val="center"/>
        <w:tblBorders>
          <w:top w:val="single" w:sz="4" w:space="0" w:color="94A3B8"/>
          <w:bottom w:val="single" w:sz="4" w:space="0" w:color="94A3B8"/>
          <w:insideH w:val="single" w:sz="4" w:space="0" w:color="94A3B8"/>
          <w:insideV w:val="none"/>
          <w:left w:val="none"/>
          <w:right w:val="none"/>
        </w:tblBorders>
      </w:tblPr>
      <w:tblGrid>
        <w:gridCol w:w="1003"/>
        <w:gridCol w:w="1003"/>
        <w:gridCol w:w="1003"/>
        <w:gridCol w:w="1003"/>
        <w:gridCol w:w="1003"/>
        <w:gridCol w:w="1003"/>
        <w:gridCol w:w="1003"/>
        <w:gridCol w:w="1003"/>
        <w:gridCol w:w="1003"/>
      </w:tblGrid>
      <w:tr>
        <w:trPr>
          <w:tblHeader/>
          <w:cantSplit/>
        </w:trPr>
        <w:tc>
          <w:tcPr>
            <w:tcW w:type="dxa" w:w="1003"/>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Framework / Tool</w:t>
            </w:r>
          </w:p>
        </w:tc>
        <w:tc>
          <w:tcPr>
            <w:tcW w:type="dxa" w:w="1003"/>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Multi-Cloud</w:t>
            </w:r>
          </w:p>
        </w:tc>
        <w:tc>
          <w:tcPr>
            <w:tcW w:type="dxa" w:w="1003"/>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Parser Tier</w:t>
            </w:r>
          </w:p>
        </w:tc>
        <w:tc>
          <w:tcPr>
            <w:tcW w:type="dxa" w:w="1003"/>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Secret Scanner</w:t>
            </w:r>
          </w:p>
        </w:tc>
        <w:tc>
          <w:tcPr>
            <w:tcW w:type="dxa" w:w="1003"/>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RAG Engine</w:t>
            </w:r>
          </w:p>
        </w:tc>
        <w:tc>
          <w:tcPr>
            <w:tcW w:type="dxa" w:w="1003"/>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LLM Ensemble</w:t>
            </w:r>
          </w:p>
        </w:tc>
        <w:tc>
          <w:tcPr>
            <w:tcW w:type="dxa" w:w="1003"/>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Sandbox Validation</w:t>
            </w:r>
          </w:p>
        </w:tc>
        <w:tc>
          <w:tcPr>
            <w:tcW w:type="dxa" w:w="1003"/>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1st-Pass Fix (%)</w:t>
            </w:r>
          </w:p>
        </w:tc>
        <w:tc>
          <w:tcPr>
            <w:tcW w:type="dxa" w:w="1003"/>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Execution Latency</w:t>
            </w:r>
          </w:p>
        </w:tc>
      </w:tr>
      <w:tr>
        <w:trPr>
          <w:cantSplit/>
        </w:trPr>
        <w:tc>
          <w:tcPr>
            <w:tcW w:type="dxa" w:w="1003"/>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Checkov [6]</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AWS/Az/GCP</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Shallow AST</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 (Regex)</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 (Static)</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N/A</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4.2s</w:t>
            </w:r>
          </w:p>
        </w:tc>
      </w:tr>
      <w:tr>
        <w:trPr>
          <w:cantSplit/>
        </w:trPr>
        <w:tc>
          <w:tcPr>
            <w:tcW w:type="dxa" w:w="1003"/>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tfsec [7]</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AWS/Az/GCP</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Go Memory AST</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Regex Only</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 (Static)</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N/A</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3.1s</w:t>
            </w:r>
          </w:p>
        </w:tc>
      </w:tr>
      <w:tr>
        <w:trPr>
          <w:cantSplit/>
        </w:trPr>
        <w:tc>
          <w:tcPr>
            <w:tcW w:type="dxa" w:w="1003"/>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KICS [8]</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Polyglot</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JSON Norm.</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 (Static)</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N/A</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5.8s</w:t>
            </w:r>
          </w:p>
        </w:tc>
      </w:tr>
      <w:tr>
        <w:trPr>
          <w:cantSplit/>
        </w:trPr>
        <w:tc>
          <w:tcPr>
            <w:tcW w:type="dxa" w:w="1003"/>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Trivy [9]</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Polyglot</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Lexical AST</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Regex Only</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 (Static)</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N/A</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3.6s</w:t>
            </w:r>
          </w:p>
        </w:tc>
      </w:tr>
      <w:tr>
        <w:trPr>
          <w:cantSplit/>
        </w:trPr>
        <w:tc>
          <w:tcPr>
            <w:tcW w:type="dxa" w:w="1003"/>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AWS Zelkova [16]</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AWS Only</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SMT Logic</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 (Diagnostic)</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N/A</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14.5s</w:t>
            </w:r>
          </w:p>
        </w:tc>
      </w:tr>
      <w:tr>
        <w:trPr>
          <w:cantSplit/>
        </w:trPr>
        <w:tc>
          <w:tcPr>
            <w:tcW w:type="dxa" w:w="1003"/>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Gitleaks [17]</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Agnostic</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Regex Only</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Signatures</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N/A</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1.2s</w:t>
            </w:r>
          </w:p>
        </w:tc>
      </w:tr>
      <w:tr>
        <w:trPr>
          <w:cantSplit/>
        </w:trPr>
        <w:tc>
          <w:tcPr>
            <w:tcW w:type="dxa" w:w="1003"/>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Toprani &amp; Madisetti [19]</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AWS Only</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Graph AST</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Single GPT-4</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Open-Loop</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71.2%</w:t>
            </w:r>
          </w:p>
        </w:tc>
        <w:tc>
          <w:tcPr>
            <w:tcW w:type="dxa" w:w="1003"/>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8.4s</w:t>
            </w:r>
          </w:p>
        </w:tc>
      </w:tr>
      <w:tr>
        <w:trPr>
          <w:cantSplit/>
        </w:trPr>
        <w:tc>
          <w:tcPr>
            <w:tcW w:type="dxa" w:w="1003"/>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TerraProbe [21]</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AWS/TF</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AST Oracle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None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Single LLM</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Plan Oracle</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81.6%</w:t>
            </w:r>
          </w:p>
        </w:tc>
        <w:tc>
          <w:tcPr>
            <w:tcW w:type="dxa" w:w="1003"/>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12.2s</w:t>
            </w:r>
          </w:p>
        </w:tc>
      </w:tr>
      <w:tr>
        <w:trPr>
          <w:cantSplit/>
        </w:trPr>
        <w:tc>
          <w:tcPr>
            <w:tcW w:type="dxa" w:w="1003"/>
            <w:shd w:val="clear" w:color="auto" w:fill="EFF6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AgentShield AI (Ours)</w:t>
            </w:r>
          </w:p>
        </w:tc>
        <w:tc>
          <w:tcPr>
            <w:tcW w:type="dxa" w:w="1003"/>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Multi-Cloud</w:t>
            </w:r>
          </w:p>
        </w:tc>
        <w:tc>
          <w:tcPr>
            <w:tcW w:type="dxa" w:w="1003"/>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Tree-sitter CST</w:t>
            </w:r>
          </w:p>
        </w:tc>
        <w:tc>
          <w:tcPr>
            <w:tcW w:type="dxa" w:w="1003"/>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Dual Entropy+Regex</w:t>
            </w:r>
          </w:p>
        </w:tc>
        <w:tc>
          <w:tcPr>
            <w:tcW w:type="dxa" w:w="1003"/>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Hybrid Dense-Sparse</w:t>
            </w:r>
          </w:p>
        </w:tc>
        <w:tc>
          <w:tcPr>
            <w:tcW w:type="dxa" w:w="1003"/>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Claude 3.5 + GPT-4o</w:t>
            </w:r>
          </w:p>
        </w:tc>
        <w:tc>
          <w:tcPr>
            <w:tcW w:type="dxa" w:w="1003"/>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Two-Tier LocalStack</w:t>
            </w:r>
          </w:p>
        </w:tc>
        <w:tc>
          <w:tcPr>
            <w:tcW w:type="dxa" w:w="1003"/>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97.8%</w:t>
            </w:r>
          </w:p>
        </w:tc>
        <w:tc>
          <w:tcPr>
            <w:tcW w:type="dxa" w:w="1003"/>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1.84s</w:t>
            </w:r>
          </w:p>
        </w:tc>
      </w:tr>
    </w:tbl>
    <w:p>
      <w:pPr>
        <w:spacing w:after="80"/>
      </w:pPr>
    </w:p>
    <w:p>
      <w:pPr>
        <w:pStyle w:val="ListParagraph"/>
        <w:keepNext/>
        <w:spacing w:before="240" w:after="80" w:line="240" w:lineRule="auto"/>
        <w:jc w:val="center"/>
        <w:numPr>
          <w:ilvl w:val="0"/>
          <w:numId w:val="20"/>
        </w:numPr>
      </w:pPr>
      <w:r>
        <w:rPr>
          <w:rFonts w:ascii="Times New Roman" w:hAnsi="Times New Roman" w:cs="Times New Roman"/>
          <w:b/>
          <w:i w:val="0"/>
          <w:sz w:val="20"/>
        </w:rPr>
        <w:t>III. RESEARCH METHODOLOGY</w:t>
      </w:r>
    </w:p>
    <w:p>
      <w:pPr>
        <w:spacing w:before="0" w:after="80" w:line="252" w:lineRule="auto"/>
        <w:jc w:val="both"/>
      </w:pPr>
      <w:r>
        <w:rPr>
          <w:rFonts w:ascii="Times New Roman" w:hAnsi="Times New Roman" w:cs="Times New Roman"/>
          <w:b w:val="0"/>
          <w:i w:val="0"/>
          <w:color w:val="141414"/>
          <w:sz w:val="20"/>
        </w:rPr>
        <w:t>AgentShield AI coordinates eight specialized agents using an asynchronous, event-driven workflow implemented with LangGraph (see Fig. 1). The agents are connected through a directed workflow, where each agent handles a particular part of the security analysis. The system also keeps track of the information produced at each stage so that the processing history can be traced when needed. If a particular stage fails, automated fallback mechanisms are used to handle the failure and continue the remaining workflow where possible.</w:t>
      </w:r>
    </w:p>
    <w:p>
      <w:pPr>
        <w:spacing w:before="200" w:after="60"/>
        <w:jc w:val="center"/>
      </w:pPr>
    </w:p>
    <w:p>
      <w:r>
        <w:drawing>
          <wp:inline xmlns:a="http://schemas.openxmlformats.org/drawingml/2006/main" xmlns:pic="http://schemas.openxmlformats.org/drawingml/2006/picture">
            <wp:extent cx="5303520" cy="3037849"/>
            <wp:docPr id="1" name="Picture 1"/>
            <wp:cNvGraphicFramePr>
              <a:graphicFrameLocks noChangeAspect="1"/>
            </wp:cNvGraphicFramePr>
            <a:graphic>
              <a:graphicData uri="http://schemas.openxmlformats.org/drawingml/2006/picture">
                <pic:pic>
                  <pic:nvPicPr>
                    <pic:cNvPr id="0" name="fig_architecture_agentshield.png"/>
                    <pic:cNvPicPr/>
                  </pic:nvPicPr>
                  <pic:blipFill>
                    <a:blip r:embed="rId16"/>
                    <a:stretch>
                      <a:fillRect/>
                    </a:stretch>
                  </pic:blipFill>
                  <pic:spPr>
                    <a:xfrm>
                      <a:off x="0" y="0"/>
                      <a:ext cx="5303520" cy="3037849"/>
                    </a:xfrm>
                    <a:prstGeom prst="rect"/>
                  </pic:spPr>
                </pic:pic>
              </a:graphicData>
            </a:graphic>
          </wp:inline>
        </w:drawing>
      </w:r>
    </w:p>
    <w:p>
      <w:pPr>
        <w:spacing w:before="0" w:after="80" w:line="252" w:lineRule="auto"/>
        <w:jc w:val="both"/>
      </w:pPr>
      <w:r>
        <w:rPr>
          <w:rFonts w:ascii="Times New Roman" w:hAnsi="Times New Roman" w:cs="Times New Roman"/>
          <w:b w:val="0"/>
          <w:i w:val="0"/>
          <w:sz w:val="20"/>
        </w:rPr>
        <w:t>Fig. 1. End-to-end architecture of AgentShield AI. The diagram depicts the eight-agent LangGraph workflow integrating Tree-sitter structural parsing, secret interception, hybrid RAG compliance querying, dual-LLM ensemble consensus voting, and containerized LocalStack/Azurite sandbox validation.</w:t>
      </w:r>
    </w:p>
    <w:p>
      <w:pPr>
        <w:spacing w:before="0" w:after="80" w:line="252" w:lineRule="auto"/>
        <w:jc w:val="both"/>
      </w:pPr>
      <w:r>
        <w:rPr>
          <w:rFonts w:ascii="Times New Roman" w:hAnsi="Times New Roman" w:cs="Times New Roman"/>
          <w:b w:val="0"/>
          <w:i w:val="0"/>
          <w:sz w:val="20"/>
        </w:rPr>
        <w:t>The autonomous pipeline decomposes IaC security auditing into eight specialized agent roles, each operating with well-defined state contracts, isolated tool execution, and deterministic validation boundaries:</w:t>
      </w:r>
    </w:p>
    <w:p>
      <w:pPr>
        <w:spacing w:before="0" w:after="80" w:line="252" w:lineRule="auto"/>
        <w:ind w:left="360" w:hanging="360"/>
        <w:jc w:val="both"/>
      </w:pPr>
      <w:r>
        <w:rPr>
          <w:rFonts w:ascii="Times New Roman" w:hAnsi="Times New Roman" w:cs="Times New Roman"/>
          <w:b w:val="0"/>
          <w:i w:val="0"/>
          <w:sz w:val="20"/>
        </w:rPr>
        <w:t>1) Manager/Router Agent: Accepts raw multi-cloud templates, identifies the IaC DSL grammar (Terraform HCL2, CloudFormation, Kubernetes, Helm), and validates schema integrity before initiating downstream agent execution across an event-driven directed acyclic graph (DAG).</w:t>
      </w:r>
    </w:p>
    <w:p>
      <w:pPr>
        <w:spacing w:before="0" w:after="80" w:line="252" w:lineRule="auto"/>
        <w:ind w:left="360" w:hanging="360"/>
        <w:jc w:val="both"/>
      </w:pPr>
      <w:r>
        <w:rPr>
          <w:rFonts w:ascii="Times New Roman" w:hAnsi="Times New Roman" w:cs="Times New Roman"/>
          <w:b/>
          <w:i w:val="0"/>
          <w:color w:val="0F172A"/>
          <w:sz w:val="20"/>
        </w:rPr>
        <w:t xml:space="preserve">2) Hybrid AST Parser Agent: </w:t>
      </w:r>
      <w:r>
        <w:rPr>
          <w:rFonts w:ascii="Times New Roman" w:hAnsi="Times New Roman" w:cs="Times New Roman"/>
          <w:b w:val="0"/>
          <w:i w:val="0"/>
          <w:color w:val="141414"/>
          <w:sz w:val="20"/>
        </w:rPr>
        <w:t>Splits up the declarative code into standard AST components, resolves dynamic references, and handles conditional blocks such as 'count' and 'for_each' before any LLM reasoning is carried out.</w:t>
      </w:r>
    </w:p>
    <w:p>
      <w:pPr>
        <w:spacing w:before="0" w:after="80" w:line="252" w:lineRule="auto"/>
        <w:ind w:left="360" w:hanging="360"/>
        <w:jc w:val="both"/>
      </w:pPr>
      <w:r>
        <w:rPr>
          <w:rFonts w:ascii="Times New Roman" w:hAnsi="Times New Roman" w:cs="Times New Roman"/>
          <w:b w:val="0"/>
          <w:i w:val="0"/>
          <w:sz w:val="20"/>
        </w:rPr>
        <w:t>3) Secrets Scanner Agent: Executes in zero-egress network isolation, pairing deterministic regex pattern matching with sliding-window Shannon entropy evaluation to intercept exposed API credentials and cryptographic keys prior to any external data transfer.</w:t>
      </w:r>
    </w:p>
    <w:p>
      <w:pPr>
        <w:spacing w:before="0" w:after="80" w:line="252" w:lineRule="auto"/>
        <w:ind w:left="360" w:hanging="360"/>
        <w:jc w:val="both"/>
      </w:pPr>
      <w:r>
        <w:rPr>
          <w:rFonts w:ascii="Times New Roman" w:hAnsi="Times New Roman" w:cs="Times New Roman"/>
          <w:b/>
          <w:i w:val="0"/>
          <w:color w:val="0F172A"/>
          <w:sz w:val="20"/>
        </w:rPr>
        <w:t xml:space="preserve">4) RAG Query Agent: </w:t>
      </w:r>
      <w:r>
        <w:rPr>
          <w:rFonts w:ascii="Times New Roman" w:hAnsi="Times New Roman" w:cs="Times New Roman"/>
          <w:b w:val="0"/>
          <w:i w:val="0"/>
          <w:color w:val="141414"/>
          <w:sz w:val="20"/>
        </w:rPr>
        <w:t>Generates combined dense and sparse vector queries against an indexed database that includes security benchmarks (such as CIS, NIST SP 800-53, SOC 2, and PCI-DSS) as well as daily CVE feeds in order that the context stays up to date.</w:t>
      </w:r>
    </w:p>
    <w:p>
      <w:pPr>
        <w:spacing w:before="0" w:after="80" w:line="252" w:lineRule="auto"/>
        <w:ind w:left="360" w:hanging="360"/>
        <w:jc w:val="both"/>
      </w:pPr>
      <w:r>
        <w:rPr>
          <w:rFonts w:ascii="Times New Roman" w:hAnsi="Times New Roman" w:cs="Times New Roman"/>
          <w:b w:val="0"/>
          <w:i w:val="0"/>
          <w:sz w:val="20"/>
        </w:rPr>
        <w:t>5) Security Analyst Agent: Conducts parallel dual-model inference across Claude 3.5 Sonnet and GPT-4o, employing Chain-of-Thought (CoT) reasoning to synthesize structured vulnerability hypotheses, exploit feasibility assessments, and MITRE ATT&amp;CK technique mappings.</w:t>
      </w:r>
    </w:p>
    <w:p>
      <w:pPr>
        <w:spacing w:before="0" w:after="80" w:line="252" w:lineRule="auto"/>
        <w:ind w:left="360" w:hanging="360"/>
        <w:jc w:val="both"/>
      </w:pPr>
      <w:r>
        <w:rPr>
          <w:rFonts w:ascii="Times New Roman" w:hAnsi="Times New Roman" w:cs="Times New Roman"/>
          <w:b w:val="0"/>
          <w:i w:val="0"/>
          <w:sz w:val="20"/>
        </w:rPr>
        <w:t>6) Human Security Audit Queue Agent: Identifies low-confidence detections (C_ensemble &lt; 0.85) or inter-model consensus conflicts, automatically dispatching triage cases to an interactive SOC review dashboard for verification and policy refinement by human security engineers.</w:t>
      </w:r>
    </w:p>
    <w:p>
      <w:pPr>
        <w:spacing w:before="0" w:after="80" w:line="252" w:lineRule="auto"/>
        <w:ind w:left="360" w:hanging="360"/>
        <w:jc w:val="both"/>
      </w:pPr>
      <w:r>
        <w:rPr>
          <w:rFonts w:ascii="Times New Roman" w:hAnsi="Times New Roman" w:cs="Times New Roman"/>
          <w:b w:val="0"/>
          <w:i w:val="0"/>
          <w:sz w:val="20"/>
        </w:rPr>
        <w:t>7) Auto Patch Remediation Agent: Synthesizes minimal, deterministic Unified Diff patches targeting exact AST line offsets, preserving surrounding configuration integrity while resolving the underlying misconfiguration.</w:t>
      </w:r>
    </w:p>
    <w:p>
      <w:pPr>
        <w:spacing w:before="0" w:after="80" w:line="252" w:lineRule="auto"/>
        <w:ind w:left="360" w:hanging="360"/>
        <w:jc w:val="both"/>
      </w:pPr>
      <w:r>
        <w:rPr>
          <w:rFonts w:ascii="Times New Roman" w:hAnsi="Times New Roman" w:cs="Times New Roman"/>
          <w:b/>
          <w:i w:val="0"/>
          <w:color w:val="0F172A"/>
          <w:sz w:val="20"/>
        </w:rPr>
        <w:t xml:space="preserve">8) Code &amp; Sandbox Validator Agent: </w:t>
      </w:r>
      <w:r>
        <w:rPr>
          <w:rFonts w:ascii="Times New Roman" w:hAnsi="Times New Roman" w:cs="Times New Roman"/>
          <w:b w:val="0"/>
          <w:i w:val="0"/>
          <w:color w:val="141414"/>
          <w:sz w:val="20"/>
        </w:rPr>
        <w:t>Carries out a two-stage validation process, beginning with the use of local static linters before performing a dry run deployment within containerized LocalStack/Azurite sandboxes.</w:t>
      </w:r>
    </w:p>
    <w:p>
      <w:pPr>
        <w:pStyle w:val="ListParagraph"/>
        <w:keepNext/>
        <w:spacing w:before="160" w:after="60" w:line="240" w:lineRule="auto"/>
        <w:jc w:val="left"/>
        <w:numPr>
          <w:ilvl w:val="1"/>
          <w:numId w:val="20"/>
        </w:numPr>
      </w:pPr>
      <w:r>
        <w:rPr>
          <w:rFonts w:ascii="Times New Roman" w:hAnsi="Times New Roman" w:cs="Times New Roman"/>
          <w:b/>
          <w:i/>
          <w:sz w:val="20"/>
        </w:rPr>
        <w:t>B. Asynchronous Graph Orchestration and State Contracts</w:t>
      </w:r>
    </w:p>
    <w:p>
      <w:pPr>
        <w:spacing w:before="0" w:after="80" w:line="252" w:lineRule="auto"/>
        <w:jc w:val="both"/>
      </w:pPr>
      <w:r>
        <w:rPr>
          <w:rFonts w:ascii="Times New Roman" w:hAnsi="Times New Roman" w:cs="Times New Roman"/>
          <w:b w:val="0"/>
          <w:i w:val="0"/>
          <w:color w:val="141414"/>
          <w:sz w:val="20"/>
        </w:rPr>
        <w:t>The eight specialized agents operate within a reactive, event-driven graph coordinated via LangGraph. Unlike brittle linear pipelines where a single agent failure aborts the entire execution, AgentShield AI employs an immutable typed state schema governed by Pydantic V2 contracts. State transitions are strictly monotonic: agents append verified assertions, intermediate AST representations, and candidate diffs to the shared execution context without mutating upstream inputs. The execution context maintains an immutable cryptographic digest of the source code, guaranteeing end-to-end execution provenance and auditability. When an agent experiences an unrecoverable exception (e.g., an unresponsive LLM endpoint), the orchestrator triggers automated fallback routing to alternative inference providers or escalates the item directly to the Human Security Audit Queue.</w:t>
      </w:r>
    </w:p>
    <w:p>
      <w:pPr>
        <w:spacing w:before="120" w:after="60" w:line="240" w:lineRule="auto"/>
        <w:jc w:val="left"/>
      </w:pPr>
      <w:r>
        <w:rPr>
          <w:rFonts w:ascii="Times New Roman" w:hAnsi="Times New Roman" w:cs="Times New Roman"/>
          <w:b/>
          <w:i w:val="0"/>
          <w:color w:val="0F172A"/>
          <w:sz w:val="18"/>
        </w:rPr>
        <w:t xml:space="preserve">Algorithm 1: </w:t>
      </w:r>
      <w:r>
        <w:rPr>
          <w:rFonts w:ascii="Times New Roman" w:hAnsi="Times New Roman" w:cs="Times New Roman"/>
          <w:b/>
          <w:i w:val="0"/>
          <w:color w:val="1E293B"/>
          <w:sz w:val="18"/>
        </w:rPr>
        <w:t>Autonomous Multi-Agent IaC Auditing, Secret Interception, and Two-Tier Sandbox Remediation Pipeline</w:t>
      </w:r>
    </w:p>
    <w:tbl>
      <w:tblPr>
        <w:tblW w:type="auto" w:w="0"/>
        <w:tblLook w:firstColumn="1" w:firstRow="1" w:lastColumn="0" w:lastRow="0" w:noHBand="0" w:noVBand="1" w:val="04A0"/>
        <w:jc w:val="center"/>
        <w:tblBorders>
          <w:top w:val="single" w:sz="8" w:space="0" w:color="0F172A"/>
          <w:bottom w:val="single" w:sz="8" w:space="0" w:color="0F172A"/>
          <w:left w:val="single" w:sz="8" w:space="0" w:color="0F172A"/>
          <w:right w:val="single" w:sz="8" w:space="0" w:color="0F172A"/>
          <w:insideH w:val="none"/>
          <w:insideV w:val="none"/>
        </w:tblBorders>
      </w:tblPr>
      <w:tblGrid>
        <w:gridCol w:w="9029"/>
      </w:tblGrid>
      <w:tr>
        <w:tc>
          <w:tcPr>
            <w:tcW w:type="dxa" w:w="9029"/>
            <w:shd w:val="clear" w:color="auto" w:fill="FFFFFF"/>
            <w:tcMar>
              <w:top w:w="120" w:type="dxa"/>
              <w:bottom w:w="120" w:type="dxa"/>
              <w:left w:w="160" w:type="dxa"/>
              <w:right w:w="160" w:type="dxa"/>
            </w:tcMar>
          </w:tcPr>
          <w:p>
            <w:pPr>
              <w:spacing w:before="20" w:after="20" w:line="240" w:lineRule="auto"/>
            </w:pPr>
            <w:r>
              <w:rPr>
                <w:rFonts w:ascii="Times New Roman" w:hAnsi="Times New Roman"/>
                <w:b/>
                <w:sz w:val="18"/>
              </w:rPr>
              <w:t xml:space="preserve">Input: </w:t>
            </w:r>
            <w:r>
              <w:rPr>
                <w:rFonts w:ascii="Times New Roman" w:hAnsi="Times New Roman"/>
                <w:sz w:val="18"/>
              </w:rPr>
              <w:t>Raw IaC Source Template T_raw; Compliance Policy Knowledge Base P_cis</w:t>
              <w:br/>
            </w:r>
            <w:r>
              <w:rPr>
                <w:rFonts w:ascii="Times New Roman" w:hAnsi="Times New Roman"/>
                <w:b/>
                <w:sz w:val="18"/>
              </w:rPr>
              <w:t xml:space="preserve">Output: </w:t>
            </w:r>
            <w:r>
              <w:rPr>
                <w:rFonts w:ascii="Times New Roman" w:hAnsi="Times New Roman"/>
                <w:sz w:val="18"/>
              </w:rPr>
              <w:t>Cryptographically Signed SARIF Report R_sarif; Validated Patch Set Delta_final</w:t>
              <w:br/>
            </w:r>
            <w:r>
              <w:rPr>
                <w:rFonts w:ascii="Times New Roman" w:hAnsi="Times New Roman"/>
                <w:color w:val="94A3B8"/>
                <w:sz w:val="16"/>
              </w:rPr>
              <w:t>――――――――――――――――――――――――――――――――――――――――――――――――――――――――――――――――――――</w:t>
              <w:br/>
            </w:r>
            <w:r>
              <w:rPr>
                <w:rFonts w:ascii="Times New Roman" w:hAnsi="Times New Roman"/>
                <w:color w:val="0F172A"/>
                <w:sz w:val="17"/>
              </w:rPr>
              <w:t>1: Initialize Shared Execution Context Gamma &lt;- empty; Compute Checksum H_0 &lt;- SHA256(T_raw);</w:t>
              <w:br/>
            </w:r>
            <w:r>
              <w:rPr>
                <w:rFonts w:ascii="Times New Roman" w:hAnsi="Times New Roman"/>
                <w:color w:val="0F172A"/>
                <w:sz w:val="17"/>
              </w:rPr>
              <w:t>2: [Agent 1] Detect DSL Dialect Phi in {Terraform, CloudFormation, Kubernetes, Helm};</w:t>
              <w:br/>
            </w:r>
            <w:r>
              <w:rPr>
                <w:rFonts w:ascii="Times New Roman" w:hAnsi="Times New Roman"/>
                <w:color w:val="0F172A"/>
                <w:sz w:val="17"/>
              </w:rPr>
              <w:t>3: [Agent 2] Parse Concrete Syntax Tree G_cst &lt;- TreeSitterParse(T_raw);</w:t>
              <w:br/>
            </w:r>
            <w:r>
              <w:rPr>
                <w:rFonts w:ascii="Times New Roman" w:hAnsi="Times New Roman"/>
                <w:color w:val="0F172A"/>
                <w:sz w:val="17"/>
              </w:rPr>
              <w:t>4: [Agent 2] Resolve variable assignments V and unfold conditional blocks C -&gt; G_dep;</w:t>
              <w:br/>
            </w:r>
            <w:r>
              <w:rPr>
                <w:rFonts w:ascii="Times New Roman" w:hAnsi="Times New Roman"/>
                <w:color w:val="0F172A"/>
                <w:sz w:val="17"/>
              </w:rPr>
              <w:t>5: [Agent 3] Compute character Shannon entropy H(X_i) on literal tokens in parallel with regex scanning;</w:t>
              <w:br/>
            </w:r>
            <w:r>
              <w:rPr>
                <w:rFonts w:ascii="Times New Roman" w:hAnsi="Times New Roman"/>
                <w:color w:val="0F172A"/>
                <w:sz w:val="17"/>
              </w:rPr>
              <w:t>6: [Agent 3] Intercept and redact candidate credentials where H(X_i) &gt;= 3.8 and X_i not in D_cst;</w:t>
              <w:br/>
            </w:r>
            <w:r>
              <w:rPr>
                <w:rFonts w:ascii="Times New Roman" w:hAnsi="Times New Roman"/>
                <w:color w:val="0F172A"/>
                <w:sz w:val="17"/>
              </w:rPr>
              <w:t>7: [Agent 2] Evaluate CIS/NIST policy constraints against G_dep; Extract Violation Set V = {v_1, ..., v_K};</w:t>
              <w:br/>
            </w:r>
            <w:r>
              <w:rPr>
                <w:rFonts w:ascii="Times New Roman" w:hAnsi="Times New Roman"/>
                <w:color w:val="0F172A"/>
                <w:sz w:val="17"/>
              </w:rPr>
              <w:t>8: for each identified security violation v_k in V do</w:t>
              <w:br/>
            </w:r>
            <w:r>
              <w:rPr>
                <w:rFonts w:ascii="Times New Roman" w:hAnsi="Times New Roman"/>
                <w:color w:val="0F172A"/>
                <w:sz w:val="17"/>
              </w:rPr>
              <w:t>9:    [Agent 4] Retrieve Compliance Passages C_k &lt;- RRF(QdrantDense(v_k), BM25Sparse(v_k));</w:t>
              <w:br/>
            </w:r>
            <w:r>
              <w:rPr>
                <w:rFonts w:ascii="Times New Roman" w:hAnsi="Times New Roman"/>
                <w:color w:val="0F172A"/>
                <w:sz w:val="17"/>
              </w:rPr>
              <w:t>10:   [Agent 5] Concurrently prompt Claude 3.5 Sonnet (M_1) and GPT-4o (M_2) with CoT reasoning;</w:t>
              <w:br/>
            </w:r>
            <w:r>
              <w:rPr>
                <w:rFonts w:ascii="Times New Roman" w:hAnsi="Times New Roman"/>
                <w:color w:val="0F172A"/>
                <w:sz w:val="17"/>
              </w:rPr>
              <w:t>11:   [Agent 5] Calculate Consensus Confidence C_ensemble(v_k) and AST Dice Agreement S_dice(delta_1, delta_2);</w:t>
              <w:br/>
            </w:r>
            <w:r>
              <w:rPr>
                <w:rFonts w:ascii="Times New Roman" w:hAnsi="Times New Roman"/>
                <w:color w:val="0F172A"/>
                <w:sz w:val="17"/>
              </w:rPr>
              <w:t>12:   if C_ensemble(v_k) &lt; 0.85 or S_dice &lt; 0.92 then</w:t>
              <w:br/>
            </w:r>
            <w:r>
              <w:rPr>
                <w:rFonts w:ascii="Times New Roman" w:hAnsi="Times New Roman"/>
                <w:color w:val="0F172A"/>
                <w:sz w:val="17"/>
              </w:rPr>
              <w:t>13:       [Agent 6] Route finding v_k to Human Security Audit Queue for manual triage; continue;</w:t>
              <w:br/>
            </w:r>
            <w:r>
              <w:rPr>
                <w:rFonts w:ascii="Times New Roman" w:hAnsi="Times New Roman"/>
                <w:color w:val="0F172A"/>
                <w:sz w:val="17"/>
              </w:rPr>
              <w:t>14:   [Agent 7] Synthesize Unified Diff Patch delta_k targeting line offsets in T_raw;</w:t>
              <w:br/>
            </w:r>
            <w:r>
              <w:rPr>
                <w:rFonts w:ascii="Times New Roman" w:hAnsi="Times New Roman"/>
                <w:color w:val="0F172A"/>
                <w:sz w:val="17"/>
              </w:rPr>
              <w:t>15:   [Agent 8] Tier 1: Execute static validation Omega_Linter(T_raw + delta_k);</w:t>
              <w:br/>
            </w:r>
            <w:r>
              <w:rPr>
                <w:rFonts w:ascii="Times New Roman" w:hAnsi="Times New Roman"/>
                <w:color w:val="0F172A"/>
                <w:sz w:val="17"/>
              </w:rPr>
              <w:t>16:   [Agent 8] Tier 2: Execute containerized sandbox deployment Omega_Sandbox(T_raw + delta_k, Phi);</w:t>
              <w:br/>
            </w:r>
            <w:r>
              <w:rPr>
                <w:rFonts w:ascii="Times New Roman" w:hAnsi="Times New Roman"/>
                <w:color w:val="0F172A"/>
                <w:sz w:val="17"/>
              </w:rPr>
              <w:t>17:   if Omega_Total(delta_k) == 1 then</w:t>
              <w:br/>
            </w:r>
            <w:r>
              <w:rPr>
                <w:rFonts w:ascii="Times New Roman" w:hAnsi="Times New Roman"/>
                <w:color w:val="0F172A"/>
                <w:sz w:val="17"/>
              </w:rPr>
              <w:t>18:       Accept patch: Delta_final &lt;- Delta_final union {delta_k};</w:t>
              <w:br/>
            </w:r>
            <w:r>
              <w:rPr>
                <w:rFonts w:ascii="Times New Roman" w:hAnsi="Times New Roman"/>
                <w:color w:val="0F172A"/>
                <w:sz w:val="17"/>
              </w:rPr>
              <w:t>19:   else</w:t>
              <w:br/>
            </w:r>
            <w:r>
              <w:rPr>
                <w:rFonts w:ascii="Times New Roman" w:hAnsi="Times New Roman"/>
                <w:color w:val="0F172A"/>
                <w:sz w:val="17"/>
              </w:rPr>
              <w:t>20:       Forward compiler diagnostic error back to Agent 5 for iterative retry (max 3 cycles);</w:t>
              <w:br/>
            </w:r>
            <w:r>
              <w:rPr>
                <w:rFonts w:ascii="Times New Roman" w:hAnsi="Times New Roman"/>
                <w:color w:val="0F172A"/>
                <w:sz w:val="17"/>
              </w:rPr>
              <w:t>21: end for</w:t>
              <w:br/>
            </w:r>
            <w:r>
              <w:rPr>
                <w:rFonts w:ascii="Times New Roman" w:hAnsi="Times New Roman"/>
                <w:color w:val="0F172A"/>
                <w:sz w:val="17"/>
              </w:rPr>
              <w:t>22: [Agent 7] Map confirmed findings to CWE, CVSS v3.1, and MITRE ATT&amp;CK Cloud Matrix;</w:t>
              <w:br/>
            </w:r>
            <w:r>
              <w:rPr>
                <w:rFonts w:ascii="Times New Roman" w:hAnsi="Times New Roman"/>
                <w:color w:val="0F172A"/>
                <w:sz w:val="17"/>
              </w:rPr>
              <w:t>23: [Agent 8] Generate SARIF JSON report and cryptographically signed Git PR via Ed25519 keys;</w:t>
              <w:br/>
            </w:r>
            <w:r>
              <w:rPr>
                <w:rFonts w:ascii="Times New Roman" w:hAnsi="Times New Roman"/>
                <w:color w:val="0F172A"/>
                <w:sz w:val="17"/>
              </w:rPr>
              <w:t>24: return R_sarif, Delta_final</w:t>
              <w:br/>
            </w:r>
          </w:p>
        </w:tc>
      </w:tr>
    </w:tbl>
    <w:p>
      <w:pPr>
        <w:spacing w:after="120"/>
      </w:pPr>
    </w:p>
    <w:p>
      <w:pPr>
        <w:pStyle w:val="ListParagraph"/>
        <w:keepNext/>
        <w:spacing w:before="240" w:after="80" w:line="240" w:lineRule="auto"/>
        <w:jc w:val="center"/>
        <w:numPr>
          <w:ilvl w:val="0"/>
          <w:numId w:val="20"/>
        </w:numPr>
      </w:pPr>
      <w:r>
        <w:rPr>
          <w:rFonts w:ascii="Times New Roman" w:hAnsi="Times New Roman" w:cs="Times New Roman"/>
          <w:b/>
          <w:i w:val="0"/>
          <w:sz w:val="20"/>
        </w:rPr>
        <w:t>IV. THEORY AND COMPUTATION</w:t>
      </w:r>
    </w:p>
    <w:p>
      <w:pPr>
        <w:spacing w:before="0" w:after="80" w:line="252" w:lineRule="auto"/>
        <w:jc w:val="both"/>
      </w:pPr>
      <w:r>
        <w:rPr>
          <w:rFonts w:ascii="Times New Roman" w:hAnsi="Times New Roman" w:cs="Times New Roman"/>
          <w:b w:val="0"/>
          <w:i w:val="0"/>
          <w:color w:val="141414"/>
          <w:sz w:val="20"/>
        </w:rPr>
        <w:t>The theoretical underpinnings of the AgentShield AI models used to verify IaC security are provided as a multi-stage graph and a decision-theoretic optimisation problem. In this section, we will provide the formalisms, symbolic nomenclature, probability calculations, and computational expressions that drive the operations of the eight-agent autonomous pipeline.</w:t>
      </w:r>
    </w:p>
    <w:p>
      <w:pPr>
        <w:pStyle w:val="ListParagraph"/>
        <w:keepNext/>
        <w:spacing w:before="160" w:after="60" w:line="240" w:lineRule="auto"/>
        <w:jc w:val="left"/>
        <w:numPr>
          <w:ilvl w:val="1"/>
          <w:numId w:val="20"/>
        </w:numPr>
      </w:pPr>
      <w:r>
        <w:rPr>
          <w:rFonts w:ascii="Times New Roman" w:hAnsi="Times New Roman" w:cs="Times New Roman"/>
          <w:b/>
          <w:i/>
          <w:sz w:val="20"/>
        </w:rPr>
        <w:t>A. Mathematical Nomenclature and Symbol Definitions</w:t>
      </w:r>
    </w:p>
    <w:p>
      <w:pPr>
        <w:spacing w:before="0" w:after="80" w:line="252" w:lineRule="auto"/>
        <w:jc w:val="both"/>
      </w:pPr>
      <w:r>
        <w:rPr>
          <w:rFonts w:ascii="Times New Roman" w:hAnsi="Times New Roman" w:cs="Times New Roman"/>
          <w:b w:val="0"/>
          <w:i w:val="0"/>
          <w:color w:val="141414"/>
          <w:sz w:val="20"/>
        </w:rPr>
        <w:t>The nomenclature and symbols used in the calculations are summarised in Table 1 below detailing the operating domains of all state variables.</w:t>
      </w:r>
    </w:p>
    <w:p>
      <w:pPr>
        <w:spacing w:before="160" w:after="80" w:line="240" w:lineRule="auto"/>
        <w:jc w:val="center"/>
      </w:pPr>
      <w:r>
        <w:rPr>
          <w:rFonts w:ascii="Times New Roman" w:hAnsi="Times New Roman" w:cs="Times New Roman"/>
          <w:b/>
          <w:i w:val="0"/>
          <w:sz w:val="18"/>
        </w:rPr>
        <w:t>TABLE I: MATHEMATICAL NOMENCLATURE AND SYMBOL DEFINITIONS</w:t>
      </w:r>
    </w:p>
    <w:tbl>
      <w:tblPr>
        <w:tblW w:type="auto" w:w="0"/>
        <w:tblLook w:firstColumn="1" w:firstRow="1" w:lastColumn="0" w:lastRow="0" w:noHBand="0" w:noVBand="1" w:val="04A0"/>
        <w:jc w:val="center"/>
        <w:tblBorders>
          <w:top w:val="single" w:sz="4" w:space="0" w:color="94A3B8"/>
          <w:bottom w:val="single" w:sz="4" w:space="0" w:color="94A3B8"/>
          <w:insideH w:val="single" w:sz="4" w:space="0" w:color="94A3B8"/>
          <w:insideV w:val="none"/>
          <w:left w:val="none"/>
          <w:right w:val="none"/>
        </w:tblBorders>
      </w:tblPr>
      <w:tblGrid>
        <w:gridCol w:w="2257"/>
        <w:gridCol w:w="2257"/>
        <w:gridCol w:w="2257"/>
        <w:gridCol w:w="2257"/>
      </w:tblGrid>
      <w:tr>
        <w:trPr>
          <w:tblHeader/>
          <w:cantSplit/>
        </w:trPr>
        <w:tc>
          <w:tcPr>
            <w:tcW w:type="dxa" w:w="2257"/>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Symbol</w:t>
            </w:r>
          </w:p>
        </w:tc>
        <w:tc>
          <w:tcPr>
            <w:tcW w:type="dxa" w:w="2257"/>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Domain</w:t>
            </w:r>
          </w:p>
        </w:tc>
        <w:tc>
          <w:tcPr>
            <w:tcW w:type="dxa" w:w="2257"/>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Description</w:t>
            </w:r>
          </w:p>
        </w:tc>
        <w:tc>
          <w:tcPr>
            <w:tcW w:type="dxa" w:w="2257"/>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Agent Stage</w:t>
            </w:r>
          </w:p>
        </w:tc>
      </w:tr>
      <w:tr>
        <w:trPr>
          <w:cantSplit/>
        </w:trPr>
        <w:tc>
          <w:tcPr>
            <w:tcW w:type="dxa" w:w="2257"/>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T_IaC</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String / Tree</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Multi-cloud Infrastructure-as-Code template</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Manager Agent</w:t>
            </w:r>
          </w:p>
        </w:tc>
      </w:tr>
      <w:tr>
        <w:trPr>
          <w:cantSplit/>
        </w:trPr>
        <w:tc>
          <w:tcPr>
            <w:tcW w:type="dxa" w:w="2257"/>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G_cst</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CST Syntax Tree</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CST generated via Tree-sitter parser</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AST Parser Agent</w:t>
            </w:r>
          </w:p>
        </w:tc>
      </w:tr>
      <w:tr>
        <w:trPr>
          <w:cantSplit/>
        </w:trPr>
        <w:tc>
          <w:tcPr>
            <w:tcW w:type="dxa" w:w="2257"/>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G_dep</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Graph (V, E)</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Resource dependency graph extracted from resolved constructs</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AST Parser Agent</w:t>
            </w:r>
          </w:p>
        </w:tc>
      </w:tr>
      <w:tr>
        <w:trPr>
          <w:cantSplit/>
        </w:trPr>
        <w:tc>
          <w:tcPr>
            <w:tcW w:type="dxa" w:w="2257"/>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V, C</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Set of Vars/Configs</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Variables and conditional/configuration constructs</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AST Parser Agent</w:t>
            </w:r>
          </w:p>
        </w:tc>
      </w:tr>
      <w:tr>
        <w:trPr>
          <w:cantSplit/>
        </w:trPr>
        <w:tc>
          <w:tcPr>
            <w:tcW w:type="dxa" w:w="2257"/>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H(X)</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Real in [0 8]</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Shannon Entropy of candidate string X</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Secrets Scanner</w:t>
            </w:r>
          </w:p>
        </w:tc>
      </w:tr>
      <w:tr>
        <w:trPr>
          <w:cantSplit/>
        </w:trPr>
        <w:tc>
          <w:tcPr>
            <w:tcW w:type="dxa" w:w="2257"/>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S_hybrid</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Real in [0 1]</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Hybrid dense-sparse semantic relevance score</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RAG Query Agent</w:t>
            </w:r>
          </w:p>
        </w:tc>
      </w:tr>
      <w:tr>
        <w:trPr>
          <w:cantSplit/>
        </w:trPr>
        <w:tc>
          <w:tcPr>
            <w:tcW w:type="dxa" w:w="2257"/>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C_ensemble</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Real in [0 1]</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Multi-LLM consensus confidence score of Claude &amp; GPT-4o</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Analyst Agent</w:t>
            </w:r>
          </w:p>
        </w:tc>
      </w:tr>
      <w:tr>
        <w:trPr>
          <w:cantSplit/>
        </w:trPr>
        <w:tc>
          <w:tcPr>
            <w:tcW w:type="dxa" w:w="2257"/>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B(r) X(r)</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In [0 1]</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Blast-radius and topological exposure of compromised resource r</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Prioritiser Engine</w:t>
            </w:r>
          </w:p>
        </w:tc>
      </w:tr>
      <w:tr>
        <w:trPr>
          <w:cantSplit/>
        </w:trPr>
        <w:tc>
          <w:tcPr>
            <w:tcW w:type="dxa" w:w="2257"/>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P(v)</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Real in [0 100]</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Composite priority score combining severity, exposure, &amp; blast</w:t>
            </w:r>
          </w:p>
        </w:tc>
        <w:tc>
          <w:tcPr>
            <w:tcW w:type="dxa" w:w="2257"/>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Prioritiser Engine</w:t>
            </w:r>
          </w:p>
        </w:tc>
      </w:tr>
      <w:tr>
        <w:trPr>
          <w:cantSplit/>
        </w:trPr>
        <w:tc>
          <w:tcPr>
            <w:tcW w:type="dxa" w:w="2257"/>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Delta_patch</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POSIX Unified Diff</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Synthesized line-level code patch targeting specific resources</w:t>
            </w:r>
          </w:p>
        </w:tc>
        <w:tc>
          <w:tcPr>
            <w:tcW w:type="dxa" w:w="2257"/>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Remediation Agent</w:t>
            </w:r>
          </w:p>
        </w:tc>
      </w:tr>
      <w:tr>
        <w:trPr>
          <w:cantSplit/>
        </w:trPr>
        <w:tc>
          <w:tcPr>
            <w:tcW w:type="dxa" w:w="2257"/>
            <w:shd w:val="clear" w:color="auto" w:fill="EFF6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Omega_Total</w:t>
            </w:r>
          </w:p>
        </w:tc>
        <w:tc>
          <w:tcPr>
            <w:tcW w:type="dxa" w:w="2257"/>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Binary {0, 1}</w:t>
            </w:r>
          </w:p>
        </w:tc>
        <w:tc>
          <w:tcPr>
            <w:tcW w:type="dxa" w:w="2257"/>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Two-tier validation outcome combining linter and sandbox</w:t>
            </w:r>
          </w:p>
        </w:tc>
        <w:tc>
          <w:tcPr>
            <w:tcW w:type="dxa" w:w="2257"/>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Validator Agent</w:t>
            </w:r>
          </w:p>
        </w:tc>
      </w:tr>
    </w:tbl>
    <w:p>
      <w:pPr>
        <w:spacing w:after="80"/>
      </w:pPr>
    </w:p>
    <w:p>
      <w:pPr>
        <w:spacing w:before="0" w:after="80" w:line="252" w:lineRule="auto"/>
        <w:jc w:val="both"/>
      </w:pPr>
      <w:r>
        <w:rPr>
          <w:rFonts w:ascii="Times New Roman" w:hAnsi="Times New Roman" w:cs="Times New Roman"/>
          <w:b/>
          <w:i w:val="0"/>
          <w:color w:val="0F172A"/>
          <w:sz w:val="20"/>
        </w:rPr>
        <w:t xml:space="preserve">Formulations: </w:t>
      </w:r>
      <w:r>
        <w:rPr>
          <w:rFonts w:ascii="Times New Roman" w:hAnsi="Times New Roman" w:cs="Times New Roman"/>
          <w:b w:val="0"/>
          <w:i w:val="0"/>
          <w:color w:val="141414"/>
          <w:sz w:val="20"/>
        </w:rPr>
        <w:t>1) Dynamic CST Parameter Resolution and Dependency Extraction: Given an IaC template T, Tree-sitter generates a Concrete Syntax Tree (G_cst), and parameter, variables and conditional constructs are resolved to extract resource dependency graph (G_dep):</w:t>
      </w:r>
    </w:p>
    <w:p>
      <w:pPr>
        <w:spacing w:before="60" w:after="60" w:line="240" w:lineRule="auto"/>
        <w:jc w:val="center"/>
      </w:pPr>
      <w:r>
        <w:rPr>
          <w:rFonts w:ascii="Times New Roman" w:hAnsi="Times New Roman" w:cs="Times New Roman"/>
          <w:b w:val="0"/>
          <w:i w:val="0"/>
          <w:color w:val="0A192F"/>
          <w:sz w:val="19"/>
        </w:rPr>
        <w:t xml:space="preserve">    G_cst = Phi_CST(T_IaC, V, C)</w:t>
      </w:r>
      <w:r>
        <w:rPr>
          <w:rFonts w:ascii="Times New Roman" w:hAnsi="Times New Roman" w:cs="Times New Roman"/>
          <w:b w:val="0"/>
          <w:i w:val="0"/>
          <w:sz w:val="19"/>
        </w:rPr>
        <w:tab/>
        <w:tab/>
      </w:r>
      <w:r>
        <w:rPr>
          <w:rFonts w:ascii="Times New Roman" w:hAnsi="Times New Roman" w:cs="Times New Roman"/>
          <w:b w:val="0"/>
          <w:i w:val="0"/>
          <w:color w:val="475569"/>
          <w:sz w:val="19"/>
        </w:rPr>
        <w:t>(1)</w:t>
      </w:r>
    </w:p>
    <w:p>
      <w:pPr>
        <w:spacing w:before="0" w:after="80" w:line="252" w:lineRule="auto"/>
        <w:jc w:val="both"/>
      </w:pPr>
      <w:r>
        <w:rPr>
          <w:rFonts w:ascii="Times New Roman" w:hAnsi="Times New Roman" w:cs="Times New Roman"/>
          <w:b w:val="0"/>
          <w:i w:val="0"/>
          <w:color w:val="141414"/>
          <w:sz w:val="20"/>
        </w:rPr>
        <w:t>Where V and C represent variables and conditional or configuration constructs respectively.</w:t>
      </w:r>
    </w:p>
    <w:p>
      <w:pPr>
        <w:spacing w:before="0" w:after="80" w:line="252" w:lineRule="auto"/>
        <w:jc w:val="both"/>
      </w:pPr>
      <w:r>
        <w:rPr>
          <w:rFonts w:ascii="Times New Roman" w:hAnsi="Times New Roman" w:cs="Times New Roman"/>
          <w:b w:val="0"/>
          <w:i w:val="0"/>
          <w:color w:val="141414"/>
          <w:sz w:val="20"/>
        </w:rPr>
        <w:t>2) Information-Theoretic Secret Detection: The Shannon entropy of a string literal X is calculated as:</w:t>
      </w:r>
    </w:p>
    <w:p>
      <w:pPr>
        <w:spacing w:before="60" w:after="60" w:line="240" w:lineRule="auto"/>
        <w:jc w:val="center"/>
      </w:pPr>
      <w:r>
        <w:rPr>
          <w:rFonts w:ascii="Times New Roman" w:hAnsi="Times New Roman" w:cs="Times New Roman"/>
          <w:b w:val="0"/>
          <w:i w:val="0"/>
          <w:color w:val="0A192F"/>
          <w:sz w:val="19"/>
        </w:rPr>
        <w:t xml:space="preserve">    H(X) = - Sum_{i=1}^{|Sigma|} P(c_i) * log_2(P(c_i)),  where P(c_i) = Count(c_i, X) / L</w:t>
      </w:r>
      <w:r>
        <w:rPr>
          <w:rFonts w:ascii="Times New Roman" w:hAnsi="Times New Roman" w:cs="Times New Roman"/>
          <w:b w:val="0"/>
          <w:i w:val="0"/>
          <w:sz w:val="19"/>
        </w:rPr>
        <w:tab/>
        <w:tab/>
      </w:r>
      <w:r>
        <w:rPr>
          <w:rFonts w:ascii="Times New Roman" w:hAnsi="Times New Roman" w:cs="Times New Roman"/>
          <w:b w:val="0"/>
          <w:i w:val="0"/>
          <w:color w:val="475569"/>
          <w:sz w:val="19"/>
        </w:rPr>
        <w:t>(2)</w:t>
      </w:r>
    </w:p>
    <w:p>
      <w:pPr>
        <w:spacing w:before="0" w:after="80" w:line="252" w:lineRule="auto"/>
        <w:jc w:val="both"/>
      </w:pPr>
      <w:r>
        <w:rPr>
          <w:rFonts w:ascii="Times New Roman" w:hAnsi="Times New Roman" w:cs="Times New Roman"/>
          <w:b w:val="0"/>
          <w:i w:val="0"/>
          <w:color w:val="141414"/>
          <w:sz w:val="20"/>
        </w:rPr>
        <w:t>Where P(c_i) is the relative frequency of character c_i in string X and L is the length of the string. A candidate string literal is flagged and identified as a secret by the entropy component when H(X) &gt; TH, where the threshold TH is set to 3.8.</w:t>
      </w:r>
    </w:p>
    <w:p>
      <w:pPr>
        <w:spacing w:before="0" w:after="80" w:line="252" w:lineRule="auto"/>
        <w:jc w:val="both"/>
      </w:pPr>
      <w:r>
        <w:rPr>
          <w:rFonts w:ascii="Times New Roman" w:hAnsi="Times New Roman" w:cs="Times New Roman"/>
          <w:b w:val="0"/>
          <w:i w:val="0"/>
          <w:color w:val="141414"/>
          <w:sz w:val="20"/>
        </w:rPr>
        <w:t>3) Hybrid Dense-Sparse Semantic Relevance: The equation to compute relevance between a query q and document d is as follows:</w:t>
      </w:r>
    </w:p>
    <w:p>
      <w:pPr>
        <w:spacing w:before="60" w:after="60" w:line="240" w:lineRule="auto"/>
        <w:jc w:val="center"/>
      </w:pPr>
      <w:r>
        <w:rPr>
          <w:rFonts w:ascii="Times New Roman" w:hAnsi="Times New Roman" w:cs="Times New Roman"/>
          <w:b w:val="0"/>
          <w:i w:val="0"/>
          <w:color w:val="0A192F"/>
          <w:sz w:val="19"/>
        </w:rPr>
        <w:t xml:space="preserve">    S_hybrid(q, d) = alpha * CosineSim(e(q), e(d)) + (1 - alpha) * BM25(q, d)</w:t>
      </w:r>
      <w:r>
        <w:rPr>
          <w:rFonts w:ascii="Times New Roman" w:hAnsi="Times New Roman" w:cs="Times New Roman"/>
          <w:b w:val="0"/>
          <w:i w:val="0"/>
          <w:sz w:val="19"/>
        </w:rPr>
        <w:tab/>
        <w:tab/>
      </w:r>
      <w:r>
        <w:rPr>
          <w:rFonts w:ascii="Times New Roman" w:hAnsi="Times New Roman" w:cs="Times New Roman"/>
          <w:b w:val="0"/>
          <w:i w:val="0"/>
          <w:color w:val="475569"/>
          <w:sz w:val="19"/>
        </w:rPr>
        <w:t>(3)</w:t>
      </w:r>
    </w:p>
    <w:p>
      <w:pPr>
        <w:spacing w:before="0" w:after="80" w:line="252" w:lineRule="auto"/>
        <w:jc w:val="both"/>
      </w:pPr>
      <w:r>
        <w:rPr>
          <w:rFonts w:ascii="Times New Roman" w:hAnsi="Times New Roman" w:cs="Times New Roman"/>
          <w:b w:val="0"/>
          <w:i w:val="0"/>
          <w:color w:val="141414"/>
          <w:sz w:val="20"/>
        </w:rPr>
        <w:t>Where alpha = 0.7 and 1 - alpha = 0.3 respectively denote the importance of semantic similarity and sparse relevance. BM25 denotes the normalized BM25 function.</w:t>
      </w:r>
    </w:p>
    <w:p>
      <w:pPr>
        <w:spacing w:before="0" w:after="80" w:line="252" w:lineRule="auto"/>
        <w:jc w:val="both"/>
      </w:pPr>
      <w:r>
        <w:rPr>
          <w:rFonts w:ascii="Times New Roman" w:hAnsi="Times New Roman" w:cs="Times New Roman"/>
          <w:b w:val="0"/>
          <w:i w:val="0"/>
          <w:color w:val="141414"/>
          <w:sz w:val="20"/>
        </w:rPr>
        <w:t>4) Calibrated Multi-LLM Ensemble Confidence Metric: The confidence metric for the multi-LLM ensemble captures the structural agreement of the LLMs and defines the confidence of a vulnerability finding as:</w:t>
      </w:r>
    </w:p>
    <w:p>
      <w:pPr>
        <w:spacing w:before="60" w:after="60" w:line="240" w:lineRule="auto"/>
        <w:jc w:val="center"/>
      </w:pPr>
      <w:r>
        <w:rPr>
          <w:rFonts w:ascii="Times New Roman" w:hAnsi="Times New Roman" w:cs="Times New Roman"/>
          <w:b w:val="0"/>
          <w:i w:val="0"/>
          <w:color w:val="0A192F"/>
          <w:sz w:val="19"/>
        </w:rPr>
        <w:t xml:space="preserve">    C_ensemble(v) = w_1 * C(M_1, v) + w_2 * C(M_2, v) + gamma * Jaccard(S(M_1), S(M_2))</w:t>
      </w:r>
      <w:r>
        <w:rPr>
          <w:rFonts w:ascii="Times New Roman" w:hAnsi="Times New Roman" w:cs="Times New Roman"/>
          <w:b w:val="0"/>
          <w:i w:val="0"/>
          <w:sz w:val="19"/>
        </w:rPr>
        <w:tab/>
        <w:tab/>
      </w:r>
      <w:r>
        <w:rPr>
          <w:rFonts w:ascii="Times New Roman" w:hAnsi="Times New Roman" w:cs="Times New Roman"/>
          <w:b w:val="0"/>
          <w:i w:val="0"/>
          <w:color w:val="475569"/>
          <w:sz w:val="19"/>
        </w:rPr>
        <w:t>(4)</w:t>
      </w:r>
    </w:p>
    <w:p>
      <w:pPr>
        <w:spacing w:before="0" w:after="80" w:line="252" w:lineRule="auto"/>
        <w:jc w:val="both"/>
      </w:pPr>
      <w:r>
        <w:rPr>
          <w:rFonts w:ascii="Times New Roman" w:hAnsi="Times New Roman" w:cs="Times New Roman"/>
          <w:b w:val="0"/>
          <w:i w:val="0"/>
          <w:color w:val="141414"/>
          <w:sz w:val="20"/>
        </w:rPr>
        <w:t>5) Topological Blast-Radius and Composite Priority Score: For each vulnerability v associated with resource r, the framework combines normalized severity S_sev(v), exposure X(r), blast radius B(r), and ensemble confidence C_ensemble(v) to calculate a priority score:</w:t>
      </w:r>
    </w:p>
    <w:p>
      <w:pPr>
        <w:spacing w:before="60" w:after="60" w:line="240" w:lineRule="auto"/>
        <w:jc w:val="center"/>
      </w:pPr>
      <w:r>
        <w:rPr>
          <w:rFonts w:ascii="Times New Roman" w:hAnsi="Times New Roman" w:cs="Times New Roman"/>
          <w:b w:val="0"/>
          <w:i w:val="0"/>
          <w:color w:val="0A192F"/>
          <w:sz w:val="19"/>
        </w:rPr>
        <w:t xml:space="preserve">    P(v) = min(100.0, [0.50 * S_sev(v) + 0.30 * X(r) + 0.20 * B(r)] * [0.50 + 0.50 * C_ensemble(v)] * 100)</w:t>
      </w:r>
      <w:r>
        <w:rPr>
          <w:rFonts w:ascii="Times New Roman" w:hAnsi="Times New Roman" w:cs="Times New Roman"/>
          <w:b w:val="0"/>
          <w:i w:val="0"/>
          <w:sz w:val="19"/>
        </w:rPr>
        <w:tab/>
        <w:tab/>
      </w:r>
      <w:r>
        <w:rPr>
          <w:rFonts w:ascii="Times New Roman" w:hAnsi="Times New Roman" w:cs="Times New Roman"/>
          <w:b w:val="0"/>
          <w:i w:val="0"/>
          <w:color w:val="475569"/>
          <w:sz w:val="19"/>
        </w:rPr>
        <w:t>(5)</w:t>
      </w:r>
    </w:p>
    <w:p>
      <w:pPr>
        <w:spacing w:before="0" w:after="80" w:line="252" w:lineRule="auto"/>
        <w:jc w:val="both"/>
      </w:pPr>
      <w:r>
        <w:rPr>
          <w:rFonts w:ascii="Times New Roman" w:hAnsi="Times New Roman" w:cs="Times New Roman"/>
          <w:b w:val="0"/>
          <w:i w:val="0"/>
          <w:color w:val="141414"/>
          <w:sz w:val="20"/>
        </w:rPr>
        <w:t>6) Two-Tier Remediation Validation: A generated patch Delta_patch is accepted only when it satisfies both Tier-1 static/syntactic validation and Tier-2 provider-specific validation:</w:t>
      </w:r>
    </w:p>
    <w:p>
      <w:pPr>
        <w:spacing w:before="60" w:after="60" w:line="240" w:lineRule="auto"/>
        <w:jc w:val="center"/>
      </w:pPr>
      <w:r>
        <w:rPr>
          <w:rFonts w:ascii="Times New Roman" w:hAnsi="Times New Roman" w:cs="Times New Roman"/>
          <w:b w:val="0"/>
          <w:i w:val="0"/>
          <w:color w:val="0A192F"/>
          <w:sz w:val="19"/>
        </w:rPr>
        <w:t xml:space="preserve">    Omega_Total(Delta_patch) = Omega_Linter(T_IaC + Delta_patch) * Omega_Sandbox(T_IaC + Delta_patch)</w:t>
      </w:r>
      <w:r>
        <w:rPr>
          <w:rFonts w:ascii="Times New Roman" w:hAnsi="Times New Roman" w:cs="Times New Roman"/>
          <w:b w:val="0"/>
          <w:i w:val="0"/>
          <w:sz w:val="19"/>
        </w:rPr>
        <w:tab/>
        <w:tab/>
      </w:r>
      <w:r>
        <w:rPr>
          <w:rFonts w:ascii="Times New Roman" w:hAnsi="Times New Roman" w:cs="Times New Roman"/>
          <w:b w:val="0"/>
          <w:i w:val="0"/>
          <w:color w:val="475569"/>
          <w:sz w:val="19"/>
        </w:rPr>
        <w:t>(6)</w:t>
      </w:r>
    </w:p>
    <w:p>
      <w:pPr>
        <w:pStyle w:val="ListParagraph"/>
        <w:keepNext/>
        <w:spacing w:before="160" w:after="60" w:line="240" w:lineRule="auto"/>
        <w:jc w:val="left"/>
        <w:numPr>
          <w:ilvl w:val="1"/>
          <w:numId w:val="20"/>
        </w:numPr>
      </w:pPr>
      <w:r>
        <w:rPr>
          <w:rFonts w:ascii="Times New Roman" w:hAnsi="Times New Roman" w:cs="Times New Roman"/>
          <w:b/>
          <w:i/>
          <w:sz w:val="20"/>
        </w:rPr>
        <w:t>B. Additional Theoretical Formulations and Algorithmic Metrics</w:t>
      </w:r>
    </w:p>
    <w:p>
      <w:pPr>
        <w:spacing w:before="0" w:after="80" w:line="252" w:lineRule="auto"/>
        <w:jc w:val="both"/>
      </w:pPr>
      <w:r>
        <w:rPr>
          <w:rFonts w:ascii="Times New Roman" w:hAnsi="Times New Roman" w:cs="Times New Roman"/>
          <w:b w:val="0"/>
          <w:i w:val="0"/>
          <w:color w:val="141414"/>
          <w:sz w:val="20"/>
        </w:rPr>
        <w:t>7) Reciprocal Rank Fusion (RRF) for Hybrid Compliance Retrieval: To combine dense semantic vector rankings from Qdrant HNSW with sparse lexical rankings from BM25 without requiring score normalization, the RAG Query Agent computes the Reciprocal Rank Fusion score:</w:t>
      </w:r>
    </w:p>
    <w:p>
      <w:pPr>
        <w:spacing w:before="60" w:after="60" w:line="240" w:lineRule="auto"/>
        <w:jc w:val="center"/>
      </w:pPr>
      <w:r>
        <w:rPr>
          <w:rFonts w:ascii="Times New Roman" w:hAnsi="Times New Roman" w:cs="Times New Roman"/>
          <w:b w:val="0"/>
          <w:i w:val="0"/>
          <w:color w:val="0A192F"/>
          <w:sz w:val="19"/>
        </w:rPr>
        <w:t xml:space="preserve">    RRF_Score(d) = Sum_{m in {Dense, Sparse}} [ 1 / (k_rrf + r_m(d)) ]</w:t>
      </w:r>
      <w:r>
        <w:rPr>
          <w:rFonts w:ascii="Times New Roman" w:hAnsi="Times New Roman" w:cs="Times New Roman"/>
          <w:b w:val="0"/>
          <w:i w:val="0"/>
          <w:sz w:val="19"/>
        </w:rPr>
        <w:tab/>
        <w:tab/>
      </w:r>
      <w:r>
        <w:rPr>
          <w:rFonts w:ascii="Times New Roman" w:hAnsi="Times New Roman" w:cs="Times New Roman"/>
          <w:b w:val="0"/>
          <w:i w:val="0"/>
          <w:color w:val="475569"/>
          <w:sz w:val="19"/>
        </w:rPr>
        <w:t>(7)</w:t>
      </w:r>
    </w:p>
    <w:p>
      <w:pPr>
        <w:spacing w:before="0" w:after="80" w:line="252" w:lineRule="auto"/>
        <w:jc w:val="both"/>
      </w:pPr>
      <w:r>
        <w:rPr>
          <w:rFonts w:ascii="Times New Roman" w:hAnsi="Times New Roman" w:cs="Times New Roman"/>
          <w:b w:val="0"/>
          <w:i w:val="0"/>
          <w:color w:val="141414"/>
          <w:sz w:val="20"/>
        </w:rPr>
        <w:t>Where r_m(d) in {1, 2, ..., N} denotes the ordinal rank of compliance passage d under retrieval model m, and k_rrf = 60 is the Bayesian rank smoothing constant.</w:t>
      </w:r>
    </w:p>
    <w:p>
      <w:pPr>
        <w:spacing w:before="0" w:after="80" w:line="252" w:lineRule="auto"/>
        <w:jc w:val="both"/>
      </w:pPr>
      <w:r>
        <w:rPr>
          <w:rFonts w:ascii="Times New Roman" w:hAnsi="Times New Roman" w:cs="Times New Roman"/>
          <w:b w:val="0"/>
          <w:i w:val="0"/>
          <w:color w:val="141414"/>
          <w:sz w:val="20"/>
        </w:rPr>
        <w:t>8) Concrete Syntax Tree Dice Agreement Formulation: The structural node-level agreement between candidate diff patches delta_1 (synthesized by Claude 3.5 Sonnet) and delta_2 (synthesized by GPT-4o) is evaluated via Dice similarity on CST subtrees:</w:t>
      </w:r>
    </w:p>
    <w:p>
      <w:pPr>
        <w:spacing w:before="60" w:after="60" w:line="240" w:lineRule="auto"/>
        <w:jc w:val="center"/>
      </w:pPr>
      <w:r>
        <w:rPr>
          <w:rFonts w:ascii="Times New Roman" w:hAnsi="Times New Roman" w:cs="Times New Roman"/>
          <w:b w:val="0"/>
          <w:i w:val="0"/>
          <w:color w:val="0A192F"/>
          <w:sz w:val="19"/>
        </w:rPr>
        <w:t xml:space="preserve">    S_dice(delta_1, delta_2) = [ 2 * |Nodes(G_cst(delta_1)) cap Nodes(G_cst(delta_2))| ] / [ |Nodes(G_cst(delta_1))| + |Nodes(G_cst(delta_2))| ]</w:t>
      </w:r>
      <w:r>
        <w:rPr>
          <w:rFonts w:ascii="Times New Roman" w:hAnsi="Times New Roman" w:cs="Times New Roman"/>
          <w:b w:val="0"/>
          <w:i w:val="0"/>
          <w:sz w:val="19"/>
        </w:rPr>
        <w:tab/>
        <w:tab/>
      </w:r>
      <w:r>
        <w:rPr>
          <w:rFonts w:ascii="Times New Roman" w:hAnsi="Times New Roman" w:cs="Times New Roman"/>
          <w:b w:val="0"/>
          <w:i w:val="0"/>
          <w:color w:val="475569"/>
          <w:sz w:val="19"/>
        </w:rPr>
        <w:t>(8)</w:t>
      </w:r>
    </w:p>
    <w:p>
      <w:pPr>
        <w:spacing w:before="0" w:after="80" w:line="252" w:lineRule="auto"/>
        <w:jc w:val="both"/>
      </w:pPr>
      <w:r>
        <w:rPr>
          <w:rFonts w:ascii="Times New Roman" w:hAnsi="Times New Roman" w:cs="Times New Roman"/>
          <w:b w:val="0"/>
          <w:i w:val="0"/>
          <w:color w:val="141414"/>
          <w:sz w:val="20"/>
        </w:rPr>
        <w:t>A patch is dispatched to the containerized sandbox if and only if S_dice(delta_1, delta_2) &gt;= 0.92, ensuring near-perfect structural agreement.</w:t>
      </w:r>
    </w:p>
    <w:p>
      <w:pPr>
        <w:spacing w:before="0" w:after="80" w:line="252" w:lineRule="auto"/>
        <w:jc w:val="both"/>
      </w:pPr>
      <w:r>
        <w:rPr>
          <w:rFonts w:ascii="Times New Roman" w:hAnsi="Times New Roman" w:cs="Times New Roman"/>
          <w:b w:val="0"/>
          <w:i w:val="0"/>
          <w:color w:val="141414"/>
          <w:sz w:val="20"/>
        </w:rPr>
        <w:t>9) Multi-Cloud Domain-Specific Execution Scoring Function: Candidate patches are evaluated across syntactic, planning, and deployment tiers parameterized by provider domain Phi:</w:t>
      </w:r>
    </w:p>
    <w:p>
      <w:pPr>
        <w:spacing w:before="60" w:after="60" w:line="240" w:lineRule="auto"/>
        <w:jc w:val="center"/>
      </w:pPr>
      <w:r>
        <w:rPr>
          <w:rFonts w:ascii="Times New Roman" w:hAnsi="Times New Roman" w:cs="Times New Roman"/>
          <w:b w:val="0"/>
          <w:i w:val="0"/>
          <w:color w:val="0A192F"/>
          <w:sz w:val="19"/>
        </w:rPr>
        <w:t xml:space="preserve">    V_score(delta, Phi) = 0.20 * S_syntax(delta) + 0.30 * S_plan(delta) + 0.50 * S_apply(delta, Phi)</w:t>
      </w:r>
      <w:r>
        <w:rPr>
          <w:rFonts w:ascii="Times New Roman" w:hAnsi="Times New Roman" w:cs="Times New Roman"/>
          <w:b w:val="0"/>
          <w:i w:val="0"/>
          <w:sz w:val="19"/>
        </w:rPr>
        <w:tab/>
        <w:tab/>
      </w:r>
      <w:r>
        <w:rPr>
          <w:rFonts w:ascii="Times New Roman" w:hAnsi="Times New Roman" w:cs="Times New Roman"/>
          <w:b w:val="0"/>
          <w:i w:val="0"/>
          <w:color w:val="475569"/>
          <w:sz w:val="19"/>
        </w:rPr>
        <w:t>(9)</w:t>
      </w:r>
    </w:p>
    <w:p>
      <w:pPr>
        <w:spacing w:before="0" w:after="80" w:line="252" w:lineRule="auto"/>
        <w:jc w:val="both"/>
      </w:pPr>
      <w:r>
        <w:rPr>
          <w:rFonts w:ascii="Times New Roman" w:hAnsi="Times New Roman" w:cs="Times New Roman"/>
          <w:b w:val="0"/>
          <w:i w:val="0"/>
          <w:color w:val="141414"/>
          <w:sz w:val="20"/>
        </w:rPr>
        <w:t>Where S_apply(delta, Phi) evaluates containerized LocalStack for AWS, Azurite mock storage for Azure, GCP Vet for GCP, and isolated K3s clusters for Kubernetes. A patch is accepted if and only if V_score = 1.0.</w:t>
      </w:r>
    </w:p>
    <w:p>
      <w:pPr>
        <w:spacing w:before="0" w:after="80" w:line="252" w:lineRule="auto"/>
        <w:jc w:val="both"/>
      </w:pPr>
      <w:r>
        <w:rPr>
          <w:rFonts w:ascii="Times New Roman" w:hAnsi="Times New Roman" w:cs="Times New Roman"/>
          <w:b w:val="0"/>
          <w:i w:val="0"/>
          <w:color w:val="141414"/>
          <w:sz w:val="20"/>
        </w:rPr>
        <w:t>10) Enterprise Financial Expenditure and MTTR Reduction Model: Total monthly enterprise vulnerability triage expenditure is modeled as:</w:t>
      </w:r>
    </w:p>
    <w:p>
      <w:pPr>
        <w:spacing w:before="60" w:after="60" w:line="240" w:lineRule="auto"/>
        <w:jc w:val="center"/>
      </w:pPr>
      <w:r>
        <w:rPr>
          <w:rFonts w:ascii="Times New Roman" w:hAnsi="Times New Roman" w:cs="Times New Roman"/>
          <w:b w:val="0"/>
          <w:i w:val="0"/>
          <w:color w:val="0A192F"/>
          <w:sz w:val="19"/>
        </w:rPr>
        <w:t xml:space="preserve">    Cost_total = ( N_FP * T_triage + N_TP * T_action ) * Rate_eng</w:t>
      </w:r>
      <w:r>
        <w:rPr>
          <w:rFonts w:ascii="Times New Roman" w:hAnsi="Times New Roman" w:cs="Times New Roman"/>
          <w:b w:val="0"/>
          <w:i w:val="0"/>
          <w:sz w:val="19"/>
        </w:rPr>
        <w:tab/>
        <w:tab/>
      </w:r>
      <w:r>
        <w:rPr>
          <w:rFonts w:ascii="Times New Roman" w:hAnsi="Times New Roman" w:cs="Times New Roman"/>
          <w:b w:val="0"/>
          <w:i w:val="0"/>
          <w:color w:val="475569"/>
          <w:sz w:val="19"/>
        </w:rPr>
        <w:t>(10)</w:t>
      </w:r>
    </w:p>
    <w:p>
      <w:pPr>
        <w:spacing w:before="0" w:after="80" w:line="252" w:lineRule="auto"/>
        <w:jc w:val="both"/>
      </w:pPr>
      <w:r>
        <w:rPr>
          <w:rFonts w:ascii="Times New Roman" w:hAnsi="Times New Roman" w:cs="Times New Roman"/>
          <w:b w:val="0"/>
          <w:i w:val="0"/>
          <w:color w:val="141414"/>
          <w:sz w:val="20"/>
        </w:rPr>
        <w:t>Where Rate_eng = $100/hr, T_triage = 0.30 hr (18 min per false alarm), manual T_action = 2.50 hr, and automated AgentShield AI PR review T_action = 0.05 hr (3 min). Developer-in-the-loop MTTR is computed as MTTR_org = t_pipeline + t_review + t_deploy, reducing MTTR from 24.6 days to &lt; 4 hours.</w:t>
      </w:r>
    </w:p>
    <w:p>
      <w:pPr>
        <w:pStyle w:val="ListParagraph"/>
        <w:keepNext/>
        <w:spacing w:before="240" w:after="80" w:line="240" w:lineRule="auto"/>
        <w:jc w:val="center"/>
        <w:numPr>
          <w:ilvl w:val="0"/>
          <w:numId w:val="20"/>
        </w:numPr>
      </w:pPr>
      <w:r>
        <w:rPr>
          <w:rFonts w:ascii="Times New Roman" w:hAnsi="Times New Roman" w:cs="Times New Roman"/>
          <w:b/>
          <w:i w:val="0"/>
          <w:sz w:val="20"/>
        </w:rPr>
        <w:t>V. EXPERIMENTAL SETUP AND BENCHMARK METHODOLOGY</w:t>
      </w:r>
    </w:p>
    <w:p>
      <w:pPr>
        <w:spacing w:before="0" w:after="80" w:line="252" w:lineRule="auto"/>
        <w:jc w:val="both"/>
      </w:pPr>
      <w:r>
        <w:rPr>
          <w:rFonts w:ascii="Times New Roman" w:hAnsi="Times New Roman" w:cs="Times New Roman"/>
          <w:b w:val="0"/>
          <w:i w:val="0"/>
          <w:color w:val="141414"/>
          <w:sz w:val="20"/>
        </w:rPr>
        <w:t>To rigorously evaluate AgentShield AI across multi-cloud environments, we curated a benchmark corpus of 2,450 Infrastructure-as-Code templates spanning HashiCorp Terraform (HCL2), AWS CloudFormation (JSON/YAML), Kubernetes Manifests, and Helm Charts. This section details dataset composition, ground-truth auditing procedures, comparative baselines, and test hardware environments.</w:t>
      </w:r>
    </w:p>
    <w:p>
      <w:pPr>
        <w:pStyle w:val="ListParagraph"/>
        <w:keepNext/>
        <w:spacing w:before="160" w:after="60" w:line="240" w:lineRule="auto"/>
        <w:jc w:val="left"/>
        <w:numPr>
          <w:ilvl w:val="1"/>
          <w:numId w:val="20"/>
        </w:numPr>
      </w:pPr>
      <w:r>
        <w:rPr>
          <w:rFonts w:ascii="Times New Roman" w:hAnsi="Times New Roman" w:cs="Times New Roman"/>
          <w:b/>
          <w:i/>
          <w:sz w:val="20"/>
        </w:rPr>
        <w:t>A. Benchmark Corpus Composition</w:t>
      </w:r>
    </w:p>
    <w:p>
      <w:pPr>
        <w:spacing w:before="0" w:after="80" w:line="252" w:lineRule="auto"/>
        <w:jc w:val="both"/>
      </w:pPr>
      <w:r>
        <w:rPr>
          <w:rFonts w:ascii="Times New Roman" w:hAnsi="Times New Roman" w:cs="Times New Roman"/>
          <w:b w:val="0"/>
          <w:i w:val="0"/>
          <w:color w:val="141414"/>
          <w:sz w:val="20"/>
        </w:rPr>
        <w:t>The evaluation benchmark is constructed from three distinct complementary suites:</w:t>
      </w:r>
    </w:p>
    <w:p>
      <w:pPr>
        <w:spacing w:before="0" w:after="80" w:line="252" w:lineRule="auto"/>
        <w:jc w:val="both"/>
      </w:pPr>
      <w:r>
        <w:rPr>
          <w:rFonts w:ascii="Times New Roman" w:hAnsi="Times New Roman" w:cs="Times New Roman"/>
          <w:b w:val="0"/>
          <w:i w:val="0"/>
          <w:sz w:val="20"/>
        </w:rPr>
        <w:t>1) Production Enterprise Corpus (PEC-1500): 1,500 real-world production templates harvested from top-starred enterprise repositories across AWS (600 templates), Azure (500 templates), and GCP (400 templates). Selection criteria mandated &gt;= 50 GitHub stars, active commits between 2021 and 2025, and &gt;= 5 declared cloud resources.</w:t>
      </w:r>
    </w:p>
    <w:p>
      <w:pPr>
        <w:spacing w:before="0" w:after="80" w:line="252" w:lineRule="auto"/>
        <w:jc w:val="both"/>
      </w:pPr>
      <w:r>
        <w:rPr>
          <w:rFonts w:ascii="Times New Roman" w:hAnsi="Times New Roman" w:cs="Times New Roman"/>
          <w:b w:val="0"/>
          <w:i w:val="0"/>
          <w:sz w:val="20"/>
        </w:rPr>
        <w:t>2) Synthetic Security Benchmark (SSB-650): 650 synthetic templates containing 3,250 systematically injected vulnerabilities mapped to the OWASP Cloud Top 10 and CWE-732, CWE-250, and CWE-798.</w:t>
      </w:r>
    </w:p>
    <w:p>
      <w:pPr>
        <w:spacing w:before="0" w:after="80" w:line="252" w:lineRule="auto"/>
        <w:jc w:val="both"/>
      </w:pPr>
      <w:r>
        <w:rPr>
          <w:rFonts w:ascii="Times New Roman" w:hAnsi="Times New Roman" w:cs="Times New Roman"/>
          <w:b w:val="0"/>
          <w:i w:val="0"/>
          <w:sz w:val="20"/>
        </w:rPr>
        <w:t>3) Toprani-Madisetti Benchmark (TMB-300): 300 complex multi-resource templates from [19] specifically designed to evaluate dynamic expression evaluation, ternary operators, and inter-module variable references.</w:t>
      </w:r>
    </w:p>
    <w:p>
      <w:pPr>
        <w:pStyle w:val="ListParagraph"/>
        <w:keepNext/>
        <w:spacing w:before="160" w:after="60" w:line="240" w:lineRule="auto"/>
        <w:jc w:val="left"/>
        <w:numPr>
          <w:ilvl w:val="1"/>
          <w:numId w:val="20"/>
        </w:numPr>
      </w:pPr>
      <w:r>
        <w:rPr>
          <w:rFonts w:ascii="Times New Roman" w:hAnsi="Times New Roman" w:cs="Times New Roman"/>
          <w:b/>
          <w:i/>
          <w:sz w:val="20"/>
        </w:rPr>
        <w:t>B. Ground-Truth Auditing, Deduplication, and Baselines</w:t>
      </w:r>
    </w:p>
    <w:p>
      <w:pPr>
        <w:spacing w:before="0" w:after="80" w:line="252" w:lineRule="auto"/>
        <w:jc w:val="both"/>
      </w:pPr>
      <w:r>
        <w:rPr>
          <w:rFonts w:ascii="Times New Roman" w:hAnsi="Times New Roman" w:cs="Times New Roman"/>
          <w:b w:val="0"/>
          <w:i w:val="0"/>
          <w:color w:val="141414"/>
          <w:sz w:val="20"/>
        </w:rPr>
        <w:t>Ground truth was established through triple-blind manual verification conducted by three certified senior cloud security architects (each possessing &gt;= 5 years of enterprise DevSecOps experience). Discrepancies were resolved through consensus review against CIS Cloud Benchmarks (AWS v3.0, Azure v2.1, GCP v2.0) and NIST SP 800-53 Rev. 5 controls, achieving an inter-annotator concordance of Cohen's Kappa = 0.91. Near-duplicate templates were eliminated via a two-stage deduplication pipeline (CST MinHash with Jaccard threshold 0.85 and SHA-256 digest matching), purging 418 duplicate templates.</w:t>
      </w:r>
    </w:p>
    <w:p>
      <w:pPr>
        <w:spacing w:before="0" w:after="80" w:line="252" w:lineRule="auto"/>
        <w:jc w:val="both"/>
      </w:pPr>
      <w:r>
        <w:rPr>
          <w:rFonts w:ascii="Times New Roman" w:hAnsi="Times New Roman" w:cs="Times New Roman"/>
          <w:b w:val="0"/>
          <w:i w:val="0"/>
          <w:color w:val="141414"/>
          <w:sz w:val="20"/>
        </w:rPr>
        <w:t>AgentShield AI was evaluated against four leading static linters (Checkov v3.2 [6], tfsec v1.28 [7], KICS v2.1 [8], Trivy v0.51 [9]), two zero-shot frontier LLMs (Zero-Shot GPT-4o, Zero-Shot Claude 3.5 Sonnet), and the base IEEE framework by Toprani &amp; Madisetti (2025) [19]. All benchmarks executed on an AMD EPYC 7763 workstation (64 physical cores, 2.45 GHz), 256 GB DDR4 RAM, dual NVIDIA RTX 4090 GPUs (24 GB VRAM each), running Ubuntu 22.04 LTS, Docker Engine 26.1, LocalStack v3.4, and Azurite v3.30. All metrics report the mean across 5 independent randomized runs, with statistical significance established using two-tailed Wilcoxon signed-rank tests (p &lt; 0.001).</w:t>
      </w:r>
    </w:p>
    <w:p>
      <w:pPr>
        <w:pStyle w:val="ListParagraph"/>
        <w:keepNext/>
        <w:spacing w:before="240" w:after="80" w:line="240" w:lineRule="auto"/>
        <w:jc w:val="center"/>
        <w:numPr>
          <w:ilvl w:val="0"/>
          <w:numId w:val="20"/>
        </w:numPr>
      </w:pPr>
      <w:r>
        <w:rPr>
          <w:rFonts w:ascii="Times New Roman" w:hAnsi="Times New Roman" w:cs="Times New Roman"/>
          <w:b/>
          <w:i w:val="0"/>
          <w:sz w:val="20"/>
        </w:rPr>
        <w:t>VI. RESULTS AND DISCUSSION</w:t>
      </w:r>
    </w:p>
    <w:p>
      <w:pPr>
        <w:spacing w:before="0" w:after="80" w:line="252" w:lineRule="auto"/>
        <w:jc w:val="both"/>
      </w:pPr>
      <w:r>
        <w:rPr>
          <w:rFonts w:ascii="Times New Roman" w:hAnsi="Times New Roman" w:cs="Times New Roman"/>
          <w:b w:val="0"/>
          <w:i w:val="0"/>
          <w:sz w:val="20"/>
        </w:rPr>
        <w:t>This section presents the empirical evaluation of AgentShield AI, assessing vulnerability detection precision, secret scanning accuracy, threat modeling fidelity, two-tier sandbox validation performance, and end-to-end execution latency across benchmark corpora. In addition, we present component ablation studies and analyze the operational ROI and MTTR impact on enterprise workflows.</w:t>
      </w:r>
    </w:p>
    <w:p>
      <w:pPr>
        <w:pStyle w:val="ListParagraph"/>
        <w:keepNext/>
        <w:spacing w:before="160" w:after="60" w:line="240" w:lineRule="auto"/>
        <w:jc w:val="left"/>
        <w:numPr>
          <w:ilvl w:val="1"/>
          <w:numId w:val="20"/>
        </w:numPr>
      </w:pPr>
      <w:r>
        <w:rPr>
          <w:rFonts w:ascii="Times New Roman" w:hAnsi="Times New Roman" w:cs="Times New Roman"/>
          <w:b/>
          <w:i/>
          <w:sz w:val="20"/>
        </w:rPr>
        <w:t>A. Benchmark Vulnerability Detection</w:t>
      </w:r>
    </w:p>
    <w:p>
      <w:pPr>
        <w:spacing w:before="0" w:after="80" w:line="252" w:lineRule="auto"/>
        <w:jc w:val="both"/>
      </w:pPr>
      <w:r>
        <w:rPr>
          <w:rFonts w:ascii="Times New Roman" w:hAnsi="Times New Roman" w:cs="Times New Roman"/>
          <w:b w:val="0"/>
          <w:i w:val="0"/>
          <w:color w:val="141414"/>
          <w:sz w:val="20"/>
        </w:rPr>
        <w:t>Results presented in this section report on the performance of AgentShield in detecting vulnerabilities in 2,450 multi‑cloud templates compared to static analysis tools. AgentShield outperformed the static analysis tools by a wide margin and reported far fewer false positives. The other analysis tools reported thousands of positives. Zero‑shot LLMs improved performance compared to tools; however they reported a high rate of hallucinations.</w:t>
      </w:r>
    </w:p>
    <w:p>
      <w:pPr>
        <w:spacing w:before="160" w:after="80" w:line="240" w:lineRule="auto"/>
        <w:jc w:val="center"/>
      </w:pPr>
      <w:r>
        <w:rPr>
          <w:rFonts w:ascii="Times New Roman" w:hAnsi="Times New Roman" w:cs="Times New Roman"/>
          <w:b/>
          <w:i w:val="0"/>
          <w:sz w:val="18"/>
        </w:rPr>
        <w:t>TABLE III: COMPARATIVE VULNERABILITY DETECTION PERFORMANCE ACROSS 2,450 MULTI-CLOUD TEMPLATES</w:t>
      </w:r>
    </w:p>
    <w:tbl>
      <w:tblPr>
        <w:tblW w:type="auto" w:w="0"/>
        <w:tblLook w:firstColumn="1" w:firstRow="1" w:lastColumn="0" w:lastRow="0" w:noHBand="0" w:noVBand="1" w:val="04A0"/>
        <w:jc w:val="center"/>
        <w:tblBorders>
          <w:top w:val="single" w:sz="4" w:space="0" w:color="94A3B8"/>
          <w:bottom w:val="single" w:sz="4" w:space="0" w:color="94A3B8"/>
          <w:insideH w:val="single" w:sz="4" w:space="0" w:color="94A3B8"/>
          <w:insideV w:val="none"/>
          <w:left w:val="none"/>
          <w:right w:val="none"/>
        </w:tblBorders>
      </w:tblPr>
      <w:tblGrid>
        <w:gridCol w:w="1129"/>
        <w:gridCol w:w="1129"/>
        <w:gridCol w:w="1129"/>
        <w:gridCol w:w="1129"/>
        <w:gridCol w:w="1129"/>
        <w:gridCol w:w="1129"/>
        <w:gridCol w:w="1129"/>
        <w:gridCol w:w="1129"/>
      </w:tblGrid>
      <w:tr>
        <w:trPr>
          <w:tblHeader/>
          <w:cantSplit/>
        </w:trPr>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Framework / Tool</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Total Scanned</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TP</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FP</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FN</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Precision (%)</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Recall (%)</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F1-Score (%)</w:t>
            </w:r>
          </w:p>
        </w:tc>
      </w:tr>
      <w:tr>
        <w:trPr>
          <w:cantSplit/>
        </w:trPr>
        <w:tc>
          <w:tcPr>
            <w:tcW w:type="dxa" w:w="1129"/>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Checkov v3.2 [6]</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2,450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4,620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2,785</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2,800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62.4 ± 0.4%</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62.3 ± 0.5%</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62.3 ± 0.4%</w:t>
            </w:r>
          </w:p>
        </w:tc>
      </w:tr>
      <w:tr>
        <w:trPr>
          <w:cantSplit/>
        </w:trPr>
        <w:tc>
          <w:tcPr>
            <w:tcW w:type="dxa" w:w="1129"/>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tfsec v1.28 [7]</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2,450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5,030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2,390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2,390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67.8 ± 0.5%</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67.8 ± 0.4%</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67.8 ± 0.4%</w:t>
            </w:r>
          </w:p>
        </w:tc>
      </w:tr>
      <w:tr>
        <w:trPr>
          <w:cantSplit/>
        </w:trPr>
        <w:tc>
          <w:tcPr>
            <w:tcW w:type="dxa" w:w="1129"/>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KICS v2.1 [8]</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2,450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4,830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2,590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2,590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65.1 ± 0.4%</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65.1 ± 0.5%</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65.1 ± 0.4%</w:t>
            </w:r>
          </w:p>
        </w:tc>
      </w:tr>
      <w:tr>
        <w:trPr>
          <w:cantSplit/>
        </w:trPr>
        <w:tc>
          <w:tcPr>
            <w:tcW w:type="dxa" w:w="1129"/>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Trivy v0.51 [9]</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2,450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5,110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2,310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2,310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68.9 ± 0.3%</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68.9 ± 0.4%</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68.9 ± 0.3%</w:t>
            </w:r>
          </w:p>
        </w:tc>
      </w:tr>
      <w:tr>
        <w:trPr>
          <w:cantSplit/>
        </w:trPr>
        <w:tc>
          <w:tcPr>
            <w:tcW w:type="dxa" w:w="1129"/>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Zero-Shot GPT-4o</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2,450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6,150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1,420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1,270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81.2 ± 0.8%</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82.9 ± 0.9%</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82.0 ± 0.7%</w:t>
            </w:r>
          </w:p>
        </w:tc>
      </w:tr>
      <w:tr>
        <w:trPr>
          <w:cantSplit/>
        </w:trPr>
        <w:tc>
          <w:tcPr>
            <w:tcW w:type="dxa" w:w="1129"/>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Zero-Shot Claude 3.5</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2,450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6,410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1,180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1,010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84.5 ± 0.7%</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86.4 ± 0.8%</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85.4 ± 0.6%</w:t>
            </w:r>
          </w:p>
        </w:tc>
      </w:tr>
      <w:tr>
        <w:trPr>
          <w:cantSplit/>
        </w:trPr>
        <w:tc>
          <w:tcPr>
            <w:tcW w:type="dxa" w:w="1129"/>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Toprani &amp; Madisetti [19]</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2,450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6,280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1,310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1,140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82.7 ± 0.6%</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84.6 ± 0.7%</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83.6 ± 0.6%</w:t>
            </w:r>
          </w:p>
        </w:tc>
      </w:tr>
      <w:tr>
        <w:trPr>
          <w:cantSplit/>
        </w:trPr>
        <w:tc>
          <w:tcPr>
            <w:tcW w:type="dxa" w:w="1129"/>
            <w:shd w:val="clear" w:color="auto" w:fill="EFF6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AgentShield AI (Ours)</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2,450</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7,301</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66</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119</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99.1 ± 0.2%</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98.4 ± 0.3%</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98.7 ± 0.2%</w:t>
            </w:r>
          </w:p>
        </w:tc>
      </w:tr>
    </w:tbl>
    <w:p>
      <w:pPr>
        <w:spacing w:after="80"/>
      </w:pPr>
    </w:p>
    <w:p>
      <w:pPr>
        <w:spacing w:before="200" w:after="60"/>
        <w:jc w:val="center"/>
      </w:pPr>
    </w:p>
    <w:p>
      <w:r>
        <w:drawing>
          <wp:inline xmlns:a="http://schemas.openxmlformats.org/drawingml/2006/main" xmlns:pic="http://schemas.openxmlformats.org/drawingml/2006/picture">
            <wp:extent cx="5303520" cy="2506800"/>
            <wp:docPr id="2" name="Picture 2"/>
            <wp:cNvGraphicFramePr>
              <a:graphicFrameLocks noChangeAspect="1"/>
            </wp:cNvGraphicFramePr>
            <a:graphic>
              <a:graphicData uri="http://schemas.openxmlformats.org/drawingml/2006/picture">
                <pic:pic>
                  <pic:nvPicPr>
                    <pic:cNvPr id="0" name="fig_vulnerability_benchmark.png"/>
                    <pic:cNvPicPr/>
                  </pic:nvPicPr>
                  <pic:blipFill>
                    <a:blip r:embed="rId17"/>
                    <a:stretch>
                      <a:fillRect/>
                    </a:stretch>
                  </pic:blipFill>
                  <pic:spPr>
                    <a:xfrm>
                      <a:off x="0" y="0"/>
                      <a:ext cx="5303520" cy="2506800"/>
                    </a:xfrm>
                    <a:prstGeom prst="rect"/>
                  </pic:spPr>
                </pic:pic>
              </a:graphicData>
            </a:graphic>
          </wp:inline>
        </w:drawing>
      </w:r>
    </w:p>
    <w:p>
      <w:pPr>
        <w:spacing w:before="0" w:after="80" w:line="252" w:lineRule="auto"/>
        <w:jc w:val="both"/>
      </w:pPr>
      <w:r>
        <w:rPr>
          <w:rFonts w:ascii="Times New Roman" w:hAnsi="Times New Roman" w:cs="Times New Roman"/>
          <w:b w:val="0"/>
          <w:i w:val="0"/>
          <w:sz w:val="20"/>
        </w:rPr>
        <w:t>Fig. 2. Comparative detection performance across 2,450 multi-cloud templates: Precision, Recall, and F1-score of AgentShield AI versus traditional static linters and open-loop LLM frameworks.</w:t>
      </w:r>
    </w:p>
    <w:p>
      <w:pPr>
        <w:pStyle w:val="ListParagraph"/>
        <w:keepNext/>
        <w:spacing w:before="160" w:after="60" w:line="240" w:lineRule="auto"/>
        <w:jc w:val="left"/>
        <w:numPr>
          <w:ilvl w:val="1"/>
          <w:numId w:val="20"/>
        </w:numPr>
      </w:pPr>
      <w:r>
        <w:rPr>
          <w:rFonts w:ascii="Times New Roman" w:hAnsi="Times New Roman" w:cs="Times New Roman"/>
          <w:b/>
          <w:i/>
          <w:sz w:val="20"/>
        </w:rPr>
        <w:t>B. Secret Detection and Calibration of Entropy</w:t>
      </w:r>
    </w:p>
    <w:p>
      <w:pPr>
        <w:spacing w:before="0" w:after="80" w:line="252" w:lineRule="auto"/>
        <w:jc w:val="both"/>
      </w:pPr>
      <w:r>
        <w:rPr>
          <w:rFonts w:ascii="Times New Roman" w:hAnsi="Times New Roman" w:cs="Times New Roman"/>
          <w:b w:val="0"/>
          <w:i w:val="0"/>
          <w:color w:val="141414"/>
          <w:sz w:val="20"/>
        </w:rPr>
        <w:t>Results from 1,200 templates that contain injected credentials with figures and tables are presented. With Gitleaks, which uses Regex, 142 (88.2%) of the injected credentials were not detected. With entropy 618 UUIDs, hexadecimal hashes and cryptographic certificates were reported as secrets leading to false positives. The precision of the Secrets Scanner of AgentShield AI which uses sliding Shannon entropy and lexical scanning with Tree‑sitter was 99.4 % and recall was 99.1 %. False positives were reduced to seven.</w:t>
      </w:r>
    </w:p>
    <w:p>
      <w:pPr>
        <w:spacing w:before="160" w:after="80" w:line="240" w:lineRule="auto"/>
        <w:jc w:val="center"/>
      </w:pPr>
      <w:r>
        <w:rPr>
          <w:rFonts w:ascii="Times New Roman" w:hAnsi="Times New Roman" w:cs="Times New Roman"/>
          <w:b/>
          <w:i w:val="0"/>
          <w:sz w:val="18"/>
        </w:rPr>
        <w:t>TABLE IV: SECRET SCANNING PRECISION AND RECALL OF HIGH-ENTROPY AND OBFUSCATED CREDENTIALS</w:t>
      </w:r>
    </w:p>
    <w:tbl>
      <w:tblPr>
        <w:tblW w:type="auto" w:w="0"/>
        <w:tblLook w:firstColumn="1" w:firstRow="1" w:lastColumn="0" w:lastRow="0" w:noHBand="0" w:noVBand="1" w:val="04A0"/>
        <w:jc w:val="center"/>
        <w:tblBorders>
          <w:top w:val="single" w:sz="4" w:space="0" w:color="94A3B8"/>
          <w:bottom w:val="single" w:sz="4" w:space="0" w:color="94A3B8"/>
          <w:insideH w:val="single" w:sz="4" w:space="0" w:color="94A3B8"/>
          <w:insideV w:val="none"/>
          <w:left w:val="none"/>
          <w:right w:val="none"/>
        </w:tblBorders>
      </w:tblPr>
      <w:tblGrid>
        <w:gridCol w:w="1129"/>
        <w:gridCol w:w="1129"/>
        <w:gridCol w:w="1129"/>
        <w:gridCol w:w="1129"/>
        <w:gridCol w:w="1129"/>
        <w:gridCol w:w="1129"/>
        <w:gridCol w:w="1129"/>
        <w:gridCol w:w="1129"/>
      </w:tblGrid>
      <w:tr>
        <w:trPr>
          <w:tblHeader/>
          <w:cantSplit/>
        </w:trPr>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Scanning Mechanism</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Secrets Tested</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TP</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FP</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FN</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Precision (%)</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Recall (%)</w:t>
            </w:r>
          </w:p>
        </w:tc>
        <w:tc>
          <w:tcPr>
            <w:tcW w:type="dxa" w:w="1129"/>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F1-Score (%)</w:t>
            </w:r>
          </w:p>
        </w:tc>
      </w:tr>
      <w:tr>
        <w:trPr>
          <w:cantSplit/>
        </w:trPr>
        <w:tc>
          <w:tcPr>
            <w:tcW w:type="dxa" w:w="1129"/>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Regex Only (Gitleaks [17])</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1,200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1,058</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342</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142</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75.6 ± 0.6%</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88.2 ± 0.5%</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81.4 ± 0.5%</w:t>
            </w:r>
          </w:p>
        </w:tc>
      </w:tr>
      <w:tr>
        <w:trPr>
          <w:cantSplit/>
        </w:trPr>
        <w:tc>
          <w:tcPr>
            <w:tcW w:type="dxa" w:w="1129"/>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Shannon Entropy (H &gt;= 3.8)</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1,200</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1,134</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618</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66</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64.7 ± 0.8%</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94.5 ± 0.4%</w:t>
            </w:r>
          </w:p>
        </w:tc>
        <w:tc>
          <w:tcPr>
            <w:tcW w:type="dxa" w:w="1129"/>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76.8 ± 0.6%</w:t>
            </w:r>
          </w:p>
        </w:tc>
      </w:tr>
      <w:tr>
        <w:trPr>
          <w:cantSplit/>
        </w:trPr>
        <w:tc>
          <w:tcPr>
            <w:tcW w:type="dxa" w:w="1129"/>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TruffleHog v3.6 [18]</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1,200</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1,092</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284</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108</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79.4 ± 0.5%</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91.0 ± 0.4%</w:t>
            </w:r>
          </w:p>
        </w:tc>
        <w:tc>
          <w:tcPr>
            <w:tcW w:type="dxa" w:w="1129"/>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84.8 ± 0.4%</w:t>
            </w:r>
          </w:p>
        </w:tc>
      </w:tr>
      <w:tr>
        <w:trPr>
          <w:cantSplit/>
        </w:trPr>
        <w:tc>
          <w:tcPr>
            <w:tcW w:type="dxa" w:w="1129"/>
            <w:shd w:val="clear" w:color="auto" w:fill="EFF6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AgentShield Dual Engine (Ours)</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1,200</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1,189</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7</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11</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99.4 ± 0.1%</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99.1 ± 0.2%</w:t>
            </w:r>
          </w:p>
        </w:tc>
        <w:tc>
          <w:tcPr>
            <w:tcW w:type="dxa" w:w="1129"/>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99.2 ± 0.1%</w:t>
            </w:r>
          </w:p>
        </w:tc>
      </w:tr>
    </w:tbl>
    <w:p>
      <w:pPr>
        <w:spacing w:after="80"/>
      </w:pPr>
    </w:p>
    <w:p>
      <w:pPr>
        <w:spacing w:before="200" w:after="60"/>
        <w:jc w:val="center"/>
      </w:pPr>
    </w:p>
    <w:p>
      <w:r>
        <w:drawing>
          <wp:inline xmlns:a="http://schemas.openxmlformats.org/drawingml/2006/main" xmlns:pic="http://schemas.openxmlformats.org/drawingml/2006/picture">
            <wp:extent cx="5303520" cy="2299411"/>
            <wp:docPr id="3" name="Picture 3"/>
            <wp:cNvGraphicFramePr>
              <a:graphicFrameLocks noChangeAspect="1"/>
            </wp:cNvGraphicFramePr>
            <a:graphic>
              <a:graphicData uri="http://schemas.openxmlformats.org/drawingml/2006/picture">
                <pic:pic>
                  <pic:nvPicPr>
                    <pic:cNvPr id="0" name="fig_secret_and_remediation.png"/>
                    <pic:cNvPicPr/>
                  </pic:nvPicPr>
                  <pic:blipFill>
                    <a:blip r:embed="rId18"/>
                    <a:stretch>
                      <a:fillRect/>
                    </a:stretch>
                  </pic:blipFill>
                  <pic:spPr>
                    <a:xfrm>
                      <a:off x="0" y="0"/>
                      <a:ext cx="5303520" cy="2299411"/>
                    </a:xfrm>
                    <a:prstGeom prst="rect"/>
                  </pic:spPr>
                </pic:pic>
              </a:graphicData>
            </a:graphic>
          </wp:inline>
        </w:drawing>
      </w:r>
    </w:p>
    <w:p>
      <w:pPr>
        <w:spacing w:before="0" w:after="80" w:line="252" w:lineRule="auto"/>
        <w:jc w:val="both"/>
      </w:pPr>
      <w:r>
        <w:rPr>
          <w:rFonts w:ascii="Times New Roman" w:hAnsi="Times New Roman" w:cs="Times New Roman"/>
          <w:b w:val="0"/>
          <w:i w:val="0"/>
          <w:sz w:val="20"/>
        </w:rPr>
        <w:t>Fig. 3. (a) Secret detection precision and false-positive distribution; (b) Two-stage containerized sandbox remediation convergence (first-pass vs. iterative compiler feedback passes across 1,000 test cases).</w:t>
      </w:r>
    </w:p>
    <w:p>
      <w:pPr>
        <w:pStyle w:val="ListParagraph"/>
        <w:keepNext/>
        <w:spacing w:before="160" w:after="60" w:line="240" w:lineRule="auto"/>
        <w:jc w:val="left"/>
        <w:numPr>
          <w:ilvl w:val="1"/>
          <w:numId w:val="20"/>
        </w:numPr>
      </w:pPr>
      <w:r>
        <w:rPr>
          <w:rFonts w:ascii="Times New Roman" w:hAnsi="Times New Roman" w:cs="Times New Roman"/>
          <w:b/>
          <w:i/>
          <w:sz w:val="20"/>
        </w:rPr>
        <w:t>C. Two-Tier Remediation and Multi-Cloud Sandbox Validation</w:t>
      </w:r>
    </w:p>
    <w:p>
      <w:pPr>
        <w:spacing w:before="0" w:after="80" w:line="252" w:lineRule="auto"/>
        <w:jc w:val="both"/>
      </w:pPr>
      <w:r>
        <w:rPr>
          <w:rFonts w:ascii="Times New Roman" w:hAnsi="Times New Roman" w:cs="Times New Roman"/>
          <w:b w:val="0"/>
          <w:i w:val="0"/>
          <w:color w:val="141414"/>
          <w:sz w:val="20"/>
        </w:rPr>
        <w:t>Table 5 shows that out of 1,000 injection defects, 54.2 % and 61.8 % first‑pass sandbox validity were achieved by GPT‑4 and Claude 3.5 Sonnet respectively. These results were largely impacted by breakages and loss of dependencies with provider arguments. Toprani &amp; Madisettis open‑loop framework achieved 71.2 % first‑pass sandbox validity. AgentShield AI achieved 100 % first‑pass validity for Tier 1 and 97.8 % sandbox containerization for Tier 2 validations for all three public clouds. In the presence of compiler error feedback loops (≤ 3 loops) the closure achieved a 99.4 % success rate for patching automation on average requiring 1.08 loops.</w:t>
      </w:r>
    </w:p>
    <w:p>
      <w:pPr>
        <w:spacing w:before="160" w:after="80" w:line="240" w:lineRule="auto"/>
        <w:jc w:val="center"/>
      </w:pPr>
      <w:r>
        <w:rPr>
          <w:rFonts w:ascii="Times New Roman" w:hAnsi="Times New Roman" w:cs="Times New Roman"/>
          <w:b/>
          <w:i w:val="0"/>
          <w:sz w:val="18"/>
        </w:rPr>
        <w:t>TABLE V: TWO-TIER REMEDIATION AND SANDBOX VALIDATION RESULTS</w:t>
      </w:r>
    </w:p>
    <w:tbl>
      <w:tblPr>
        <w:tblW w:type="auto" w:w="0"/>
        <w:tblLook w:firstColumn="1" w:firstRow="1" w:lastColumn="0" w:lastRow="0" w:noHBand="0" w:noVBand="1" w:val="04A0"/>
        <w:jc w:val="center"/>
        <w:tblBorders>
          <w:top w:val="single" w:sz="4" w:space="0" w:color="94A3B8"/>
          <w:bottom w:val="single" w:sz="4" w:space="0" w:color="94A3B8"/>
          <w:insideH w:val="single" w:sz="4" w:space="0" w:color="94A3B8"/>
          <w:insideV w:val="none"/>
          <w:left w:val="none"/>
          <w:right w:val="none"/>
        </w:tblBorders>
      </w:tblPr>
      <w:tblGrid>
        <w:gridCol w:w="1505"/>
        <w:gridCol w:w="1505"/>
        <w:gridCol w:w="1505"/>
        <w:gridCol w:w="1505"/>
        <w:gridCol w:w="1505"/>
        <w:gridCol w:w="1505"/>
      </w:tblGrid>
      <w:tr>
        <w:trPr>
          <w:tblHeader/>
          <w:cantSplit/>
        </w:trPr>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Remediation Approach</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Tested Defects</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Tier 1 Syntax (%)</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Tier 2 Sandbox (%)</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Multi-Pass (&lt;= 3)</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Mean Retries</w:t>
            </w:r>
          </w:p>
        </w:tc>
      </w:tr>
      <w:tr>
        <w:trPr>
          <w:cantSplit/>
        </w:trPr>
        <w:tc>
          <w:tcPr>
            <w:tcW w:type="dxa" w:w="1505"/>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Zero-Shot GPT-4o</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1,000</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62.4 ± 0.7%</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54.2 ± 0.8%</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68.4 ± 0.6%</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2.41</w:t>
            </w:r>
          </w:p>
        </w:tc>
      </w:tr>
      <w:tr>
        <w:trPr>
          <w:cantSplit/>
        </w:trPr>
        <w:tc>
          <w:tcPr>
            <w:tcW w:type="dxa" w:w="1505"/>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Zero-Shot Claude 3.5 Sonnet</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1,000</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71.8 ± 0.6%</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61.8 ± 0.7%</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76.2 ± 0.5%</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2.14</w:t>
            </w:r>
          </w:p>
        </w:tc>
      </w:tr>
      <w:tr>
        <w:trPr>
          <w:cantSplit/>
        </w:trPr>
        <w:tc>
          <w:tcPr>
            <w:tcW w:type="dxa" w:w="1505"/>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Toprani &amp; Madisetti [19]</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1,000</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78.5 ± 0.5%</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71.2 ± 0.6%</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82.5 ± 0.5%</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1.82</w:t>
            </w:r>
          </w:p>
        </w:tc>
      </w:tr>
      <w:tr>
        <w:trPr>
          <w:cantSplit/>
        </w:trPr>
        <w:tc>
          <w:tcPr>
            <w:tcW w:type="dxa" w:w="1505"/>
            <w:shd w:val="clear" w:color="auto" w:fill="EFF6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AgentShield AI (Full)</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1,000</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100.0 ± 0.0%</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97.8 ± 0.4%</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99.4 ± 0.2%</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1.08</w:t>
            </w:r>
          </w:p>
        </w:tc>
      </w:tr>
    </w:tbl>
    <w:p>
      <w:pPr>
        <w:spacing w:after="80"/>
      </w:pPr>
    </w:p>
    <w:p>
      <w:pPr>
        <w:pStyle w:val="ListParagraph"/>
        <w:keepNext/>
        <w:spacing w:before="160" w:after="60" w:line="240" w:lineRule="auto"/>
        <w:jc w:val="left"/>
        <w:numPr>
          <w:ilvl w:val="1"/>
          <w:numId w:val="20"/>
        </w:numPr>
      </w:pPr>
      <w:r>
        <w:rPr>
          <w:rFonts w:ascii="Times New Roman" w:hAnsi="Times New Roman" w:cs="Times New Roman"/>
          <w:b/>
          <w:i/>
          <w:sz w:val="20"/>
        </w:rPr>
        <w:t>D. Analysis of Agent Execution Latency</w:t>
      </w:r>
    </w:p>
    <w:p>
      <w:pPr>
        <w:spacing w:before="0" w:after="80" w:line="252" w:lineRule="auto"/>
        <w:jc w:val="both"/>
      </w:pPr>
      <w:r>
        <w:rPr>
          <w:rFonts w:ascii="Times New Roman" w:hAnsi="Times New Roman" w:cs="Times New Roman"/>
          <w:b w:val="0"/>
          <w:i w:val="0"/>
          <w:color w:val="141414"/>
          <w:sz w:val="20"/>
        </w:rPr>
        <w:t>Wall‑clock time latency for each agent in the end‑to‑end pipeline is shown in Table 6. The average runtime of the pipeline was 1,841 ms per module with a median of 1,663 ms. Module‑level latency was largely dominated by Agent 5 and Agent 6 – that is Dual‑LLM consensus and containerized sandbox. Computational latency for Agent 5 was 940.5 ms. For Agent 6 it was 760.8 ms. The remaining agents contributed zero or computation latency. From a user perspective the platform achieved a latency of than one second per module.</w:t>
      </w:r>
    </w:p>
    <w:p>
      <w:pPr>
        <w:spacing w:before="160" w:after="80" w:line="240" w:lineRule="auto"/>
        <w:jc w:val="center"/>
      </w:pPr>
      <w:r>
        <w:rPr>
          <w:rFonts w:ascii="Times New Roman" w:hAnsi="Times New Roman" w:cs="Times New Roman"/>
          <w:b/>
          <w:i w:val="0"/>
          <w:sz w:val="18"/>
        </w:rPr>
        <w:t>TABLE VI: END-TO-END EXECUTION LATENCY BREAKDOWN PER SPECIALIZED AGENT STAGE</w:t>
      </w:r>
    </w:p>
    <w:tbl>
      <w:tblPr>
        <w:tblW w:type="auto" w:w="0"/>
        <w:tblLook w:firstColumn="1" w:firstRow="1" w:lastColumn="0" w:lastRow="0" w:noHBand="0" w:noVBand="1" w:val="04A0"/>
        <w:jc w:val="center"/>
        <w:tblBorders>
          <w:top w:val="single" w:sz="4" w:space="0" w:color="94A3B8"/>
          <w:bottom w:val="single" w:sz="4" w:space="0" w:color="94A3B8"/>
          <w:insideH w:val="single" w:sz="4" w:space="0" w:color="94A3B8"/>
          <w:insideV w:val="none"/>
          <w:left w:val="none"/>
          <w:right w:val="none"/>
        </w:tblBorders>
      </w:tblPr>
      <w:tblGrid>
        <w:gridCol w:w="1806"/>
        <w:gridCol w:w="1806"/>
        <w:gridCol w:w="1806"/>
        <w:gridCol w:w="1806"/>
        <w:gridCol w:w="1806"/>
      </w:tblGrid>
      <w:tr>
        <w:trPr>
          <w:tblHeader/>
          <w:cantSplit/>
        </w:trPr>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Agent ID &amp; Name</w:t>
            </w:r>
          </w:p>
        </w:tc>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Core Mechanism</w:t>
            </w:r>
          </w:p>
        </w:tc>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Mean (ms)</w:t>
            </w:r>
          </w:p>
        </w:tc>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Median (ms)</w:t>
            </w:r>
          </w:p>
        </w:tc>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 Overhead</w:t>
            </w:r>
          </w:p>
        </w:tc>
      </w:tr>
      <w:tr>
        <w:trPr>
          <w:cantSplit/>
        </w:trPr>
        <w:tc>
          <w:tcPr>
            <w:tcW w:type="dxa" w:w="1806"/>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 1: Orchestration Router</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Context graph initialization</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14.2 ± 0.8</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12.0</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0.8%</w:t>
            </w:r>
          </w:p>
        </w:tc>
      </w:tr>
      <w:tr>
        <w:trPr>
          <w:cantSplit/>
        </w:trPr>
        <w:tc>
          <w:tcPr>
            <w:tcW w:type="dxa" w:w="1806"/>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 2: Tree-sitter CST Parser</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CST parsing &amp; graph extraction</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12.6 ± 0.6</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11.2</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0.7%</w:t>
            </w:r>
          </w:p>
        </w:tc>
      </w:tr>
      <w:tr>
        <w:trPr>
          <w:cantSplit/>
        </w:trPr>
        <w:tc>
          <w:tcPr>
            <w:tcW w:type="dxa" w:w="1806"/>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 3: Secret Interceptor</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Regex + Shannon entropy</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18.4 ± 0.9</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16.5</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1.0%</w:t>
            </w:r>
          </w:p>
        </w:tc>
      </w:tr>
      <w:tr>
        <w:trPr>
          <w:cantSplit/>
        </w:trPr>
        <w:tc>
          <w:tcPr>
            <w:tcW w:type="dxa" w:w="1806"/>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 4: Hybrid RAG Engine</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Qdrant HNSW + BM25 RRF</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65.2 ± 3.1</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58.0</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3.5%</w:t>
            </w:r>
          </w:p>
        </w:tc>
      </w:tr>
      <w:tr>
        <w:trPr>
          <w:cantSplit/>
        </w:trPr>
        <w:tc>
          <w:tcPr>
            <w:tcW w:type="dxa" w:w="1806"/>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 5: Dual-LLM Remediator</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Claude 3.5 + GPT-4o consensus</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940.5 ± 24.2</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860.0</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51.1%</w:t>
            </w:r>
          </w:p>
        </w:tc>
      </w:tr>
      <w:tr>
        <w:trPr>
          <w:cantSplit/>
        </w:trPr>
        <w:tc>
          <w:tcPr>
            <w:tcW w:type="dxa" w:w="1806"/>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 6: Multi-Cloud Sandbox</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Tier 1 Syntax + Tier 2 Mock Deploy</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760.8 ± 18.5</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680.0</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41.3%</w:t>
            </w:r>
          </w:p>
        </w:tc>
      </w:tr>
      <w:tr>
        <w:trPr>
          <w:cantSplit/>
        </w:trPr>
        <w:tc>
          <w:tcPr>
            <w:tcW w:type="dxa" w:w="1806"/>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 7: Compliance Mapper</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CWE / CVSS / CIS / ATT&amp;CK</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16.5 ± 0.7</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14.2</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0.9%</w:t>
            </w:r>
          </w:p>
        </w:tc>
      </w:tr>
      <w:tr>
        <w:trPr>
          <w:cantSplit/>
        </w:trPr>
        <w:tc>
          <w:tcPr>
            <w:tcW w:type="dxa" w:w="1806"/>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Agent 8: Signed PR Generator</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SARIF JSON + Ed25519 PR</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12.8 ± 0.5</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11.5</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0.7%</w:t>
            </w:r>
          </w:p>
        </w:tc>
      </w:tr>
      <w:tr>
        <w:trPr>
          <w:cantSplit/>
        </w:trPr>
        <w:tc>
          <w:tcPr>
            <w:tcW w:type="dxa" w:w="1806"/>
            <w:shd w:val="clear" w:color="auto" w:fill="EFF6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Total System Pipeline</w:t>
            </w:r>
          </w:p>
        </w:tc>
        <w:tc>
          <w:tcPr>
            <w:tcW w:type="dxa" w:w="1806"/>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End-to-end latency per module</w:t>
            </w:r>
          </w:p>
        </w:tc>
        <w:tc>
          <w:tcPr>
            <w:tcW w:type="dxa" w:w="1806"/>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1,841.0 ± 42.5</w:t>
            </w:r>
          </w:p>
        </w:tc>
        <w:tc>
          <w:tcPr>
            <w:tcW w:type="dxa" w:w="1806"/>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1,663.4</w:t>
            </w:r>
          </w:p>
        </w:tc>
        <w:tc>
          <w:tcPr>
            <w:tcW w:type="dxa" w:w="1806"/>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100.0%</w:t>
            </w:r>
          </w:p>
        </w:tc>
      </w:tr>
    </w:tbl>
    <w:p>
      <w:pPr>
        <w:spacing w:after="80"/>
      </w:pPr>
    </w:p>
    <w:p>
      <w:pPr>
        <w:spacing w:before="200" w:after="60"/>
        <w:jc w:val="center"/>
      </w:pPr>
    </w:p>
    <w:p>
      <w:r>
        <w:drawing>
          <wp:inline xmlns:a="http://schemas.openxmlformats.org/drawingml/2006/main" xmlns:pic="http://schemas.openxmlformats.org/drawingml/2006/picture">
            <wp:extent cx="5303520" cy="2305772"/>
            <wp:docPr id="4" name="Picture 4"/>
            <wp:cNvGraphicFramePr>
              <a:graphicFrameLocks noChangeAspect="1"/>
            </wp:cNvGraphicFramePr>
            <a:graphic>
              <a:graphicData uri="http://schemas.openxmlformats.org/drawingml/2006/picture">
                <pic:pic>
                  <pic:nvPicPr>
                    <pic:cNvPr id="0" name="fig_latency_breakdown.png"/>
                    <pic:cNvPicPr/>
                  </pic:nvPicPr>
                  <pic:blipFill>
                    <a:blip r:embed="rId19"/>
                    <a:stretch>
                      <a:fillRect/>
                    </a:stretch>
                  </pic:blipFill>
                  <pic:spPr>
                    <a:xfrm>
                      <a:off x="0" y="0"/>
                      <a:ext cx="5303520" cy="2305772"/>
                    </a:xfrm>
                    <a:prstGeom prst="rect"/>
                  </pic:spPr>
                </pic:pic>
              </a:graphicData>
            </a:graphic>
          </wp:inline>
        </w:drawing>
      </w:r>
    </w:p>
    <w:p>
      <w:pPr>
        <w:spacing w:before="0" w:after="80" w:line="252" w:lineRule="auto"/>
        <w:jc w:val="both"/>
      </w:pPr>
      <w:r>
        <w:rPr>
          <w:rFonts w:ascii="Times New Roman" w:hAnsi="Times New Roman" w:cs="Times New Roman"/>
          <w:b w:val="0"/>
          <w:i w:val="0"/>
          <w:sz w:val="20"/>
        </w:rPr>
        <w:t>Fig. 4. End-to-end execution latency breakdown per specialized agent stage across evaluated IaC modules (mean total latency: 1.84 seconds).</w:t>
      </w:r>
    </w:p>
    <w:p>
      <w:pPr>
        <w:pStyle w:val="ListParagraph"/>
        <w:keepNext/>
        <w:spacing w:before="160" w:after="60" w:line="240" w:lineRule="auto"/>
        <w:jc w:val="left"/>
        <w:numPr>
          <w:ilvl w:val="1"/>
          <w:numId w:val="20"/>
        </w:numPr>
      </w:pPr>
      <w:r>
        <w:rPr>
          <w:rFonts w:ascii="Times New Roman" w:hAnsi="Times New Roman" w:cs="Times New Roman"/>
          <w:b/>
          <w:i/>
          <w:sz w:val="20"/>
        </w:rPr>
        <w:t>E. Architectural Component Ablation Study</w:t>
      </w:r>
    </w:p>
    <w:p>
      <w:pPr>
        <w:spacing w:before="0" w:after="80" w:line="252" w:lineRule="auto"/>
        <w:jc w:val="both"/>
      </w:pPr>
      <w:r>
        <w:rPr>
          <w:rFonts w:ascii="Times New Roman" w:hAnsi="Times New Roman" w:cs="Times New Roman"/>
          <w:b w:val="0"/>
          <w:i w:val="0"/>
          <w:sz w:val="20"/>
        </w:rPr>
        <w:t>To evaluate the individual contribution of each architectural subsystem, a controlled ablation experiment was conducted across 500 benchmark templates (summarized in Table VII and Fig. 5a):</w:t>
      </w:r>
    </w:p>
    <w:p>
      <w:pPr>
        <w:spacing w:before="0" w:after="80" w:line="252" w:lineRule="auto"/>
        <w:jc w:val="both"/>
      </w:pPr>
      <w:r>
        <w:rPr>
          <w:rFonts w:ascii="Times New Roman" w:hAnsi="Times New Roman" w:cs="Times New Roman"/>
          <w:b w:val="0"/>
          <w:i w:val="0"/>
          <w:sz w:val="20"/>
        </w:rPr>
        <w:t>(1) Disabling the Tree-sitter CST parser induces scope-blind parameter evaluations, causing the overall detection rate to drop to 71.2% while false alarms increase substantially.</w:t>
      </w:r>
    </w:p>
    <w:p>
      <w:pPr>
        <w:spacing w:before="0" w:after="80" w:line="252" w:lineRule="auto"/>
        <w:jc w:val="both"/>
      </w:pPr>
      <w:r>
        <w:rPr>
          <w:rFonts w:ascii="Times New Roman" w:hAnsi="Times New Roman" w:cs="Times New Roman"/>
          <w:b w:val="0"/>
          <w:i w:val="0"/>
          <w:sz w:val="20"/>
        </w:rPr>
        <w:t>(2) Omitting the dual-engine Shannon entropy model decreases secret scanning recall to 88.2%, allowing obfuscated and high-entropy credentials to bypass detection.</w:t>
      </w:r>
    </w:p>
    <w:p>
      <w:pPr>
        <w:spacing w:before="0" w:after="80" w:line="252" w:lineRule="auto"/>
        <w:jc w:val="both"/>
      </w:pPr>
      <w:r>
        <w:rPr>
          <w:rFonts w:ascii="Times New Roman" w:hAnsi="Times New Roman" w:cs="Times New Roman"/>
          <w:b w:val="0"/>
          <w:i w:val="0"/>
          <w:sz w:val="20"/>
        </w:rPr>
        <w:t>(3) Disabling the Hybrid CIS RAG query agent reduces the first-pass remediation success rate from 97.8% to 71.4% due to provider schema and attribute hallucination.</w:t>
      </w:r>
    </w:p>
    <w:p>
      <w:pPr>
        <w:spacing w:before="0" w:after="80" w:line="252" w:lineRule="auto"/>
        <w:jc w:val="both"/>
      </w:pPr>
      <w:r>
        <w:rPr>
          <w:rFonts w:ascii="Times New Roman" w:hAnsi="Times New Roman" w:cs="Times New Roman"/>
          <w:b w:val="0"/>
          <w:i w:val="0"/>
          <w:sz w:val="20"/>
        </w:rPr>
        <w:t>(4) Bypassing containerized sandbox validation permits 18.4% of syntactically valid yet functionally broken patches to pass undetected, compromising cloud deployment reliability.</w:t>
      </w:r>
    </w:p>
    <w:p>
      <w:pPr>
        <w:spacing w:before="160" w:after="80" w:line="240" w:lineRule="auto"/>
        <w:jc w:val="center"/>
      </w:pPr>
      <w:r>
        <w:rPr>
          <w:rFonts w:ascii="Times New Roman" w:hAnsi="Times New Roman" w:cs="Times New Roman"/>
          <w:b/>
          <w:i w:val="0"/>
          <w:sz w:val="18"/>
        </w:rPr>
        <w:t>TABLE VII: COMPONENT ABLATION STUDY ACROSS 500 BENCHMARK CASES</w:t>
      </w:r>
    </w:p>
    <w:tbl>
      <w:tblPr>
        <w:tblW w:type="auto" w:w="0"/>
        <w:tblLook w:firstColumn="1" w:firstRow="1" w:lastColumn="0" w:lastRow="0" w:noHBand="0" w:noVBand="1" w:val="04A0"/>
        <w:jc w:val="center"/>
        <w:tblBorders>
          <w:top w:val="single" w:sz="4" w:space="0" w:color="94A3B8"/>
          <w:bottom w:val="single" w:sz="4" w:space="0" w:color="94A3B8"/>
          <w:insideH w:val="single" w:sz="4" w:space="0" w:color="94A3B8"/>
          <w:insideV w:val="none"/>
          <w:left w:val="none"/>
          <w:right w:val="none"/>
        </w:tblBorders>
      </w:tblPr>
      <w:tblGrid>
        <w:gridCol w:w="1505"/>
        <w:gridCol w:w="1505"/>
        <w:gridCol w:w="1505"/>
        <w:gridCol w:w="1505"/>
        <w:gridCol w:w="1505"/>
        <w:gridCol w:w="1505"/>
      </w:tblGrid>
      <w:tr>
        <w:trPr>
          <w:tblHeader/>
          <w:cantSplit/>
        </w:trPr>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Configuration Variant</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Precision (%)</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Recall (%)</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F1-Score (%)</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1st-Pass Fix (%)</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Latency (s)</w:t>
            </w:r>
          </w:p>
        </w:tc>
      </w:tr>
      <w:tr>
        <w:trPr>
          <w:cantSplit/>
        </w:trPr>
        <w:tc>
          <w:tcPr>
            <w:tcW w:type="dxa" w:w="1505"/>
            <w:shd w:val="clear" w:color="auto" w:fill="EFF6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Full AgentShield AI Framework</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99.1 ± 0.2%</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98.4 ± 0.3%</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98.7 ± 0.2%</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97.8 ± 0.4%</w:t>
            </w:r>
          </w:p>
        </w:tc>
        <w:tc>
          <w:tcPr>
            <w:tcW w:type="dxa" w:w="1505"/>
            <w:shd w:val="clear" w:color="auto" w:fill="EFF6FF"/>
            <w:tcMar>
              <w:top w:w="50" w:type="dxa"/>
              <w:bottom w:w="50" w:type="dxa"/>
              <w:left w:w="80" w:type="dxa"/>
              <w:right w:w="80" w:type="dxa"/>
            </w:tcMar>
          </w:tcPr>
          <w:p>
            <w:pPr>
              <w:spacing w:before="20" w:after="20" w:line="240" w:lineRule="auto"/>
              <w:jc w:val="center"/>
            </w:pPr>
            <w:r>
              <w:rPr>
                <w:rFonts w:ascii="Times New Roman" w:hAnsi="Times New Roman"/>
                <w:b/>
                <w:color w:val="0F172A"/>
                <w:sz w:val="17"/>
              </w:rPr>
              <w:t>1.84 ± 0.04s</w:t>
            </w:r>
          </w:p>
        </w:tc>
      </w:tr>
      <w:tr>
        <w:trPr>
          <w:cantSplit/>
        </w:trPr>
        <w:tc>
          <w:tcPr>
            <w:tcW w:type="dxa" w:w="1505"/>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w/o Tree-sitter CST (Regex Only)</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71.2 ± 0.6%</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82.5 ± 0.5%</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76.4 ± 0.5%</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81.2 ± 0.5%</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1.42 ± 0.03s</w:t>
            </w:r>
          </w:p>
        </w:tc>
      </w:tr>
      <w:tr>
        <w:trPr>
          <w:cantSplit/>
        </w:trPr>
        <w:tc>
          <w:tcPr>
            <w:tcW w:type="dxa" w:w="1505"/>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w/o Shannon Entropy (Regex Secrets)</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98.8 ± 0.3%</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88.2 ± 0.5%</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93.2 ± 0.4%</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97.5 ± 0.4%</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1.82 ± 0.04s</w:t>
            </w:r>
          </w:p>
        </w:tc>
      </w:tr>
      <w:tr>
        <w:trPr>
          <w:cantSplit/>
        </w:trPr>
        <w:tc>
          <w:tcPr>
            <w:tcW w:type="dxa" w:w="1505"/>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w/o Hybrid CIS RAG (Zero-Shot)</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88.4 ± 0.5%</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94.1 ± 0.4%</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91.2 ± 0.4%</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71.4 ± 0.8%</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1.78 ± 0.04s</w:t>
            </w:r>
          </w:p>
        </w:tc>
      </w:tr>
      <w:tr>
        <w:trPr>
          <w:cantSplit/>
        </w:trPr>
        <w:tc>
          <w:tcPr>
            <w:tcW w:type="dxa" w:w="1505"/>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w/o Multi-Cloud Sandbox (No Eval)</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99.1 ± 0.2%</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98.4 ± 0.3%</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98.7 ± 0.2%</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81.6 ± 0.6%</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1.08 ± 0.02s</w:t>
            </w:r>
          </w:p>
        </w:tc>
      </w:tr>
    </w:tbl>
    <w:p>
      <w:pPr>
        <w:spacing w:after="80"/>
      </w:pPr>
    </w:p>
    <w:p>
      <w:pPr>
        <w:spacing w:before="200" w:after="60"/>
        <w:jc w:val="center"/>
      </w:pPr>
    </w:p>
    <w:p>
      <w:r>
        <w:drawing>
          <wp:inline xmlns:a="http://schemas.openxmlformats.org/drawingml/2006/main" xmlns:pic="http://schemas.openxmlformats.org/drawingml/2006/picture">
            <wp:extent cx="5303520" cy="2343589"/>
            <wp:docPr id="5" name="Picture 5"/>
            <wp:cNvGraphicFramePr>
              <a:graphicFrameLocks noChangeAspect="1"/>
            </wp:cNvGraphicFramePr>
            <a:graphic>
              <a:graphicData uri="http://schemas.openxmlformats.org/drawingml/2006/picture">
                <pic:pic>
                  <pic:nvPicPr>
                    <pic:cNvPr id="0" name="fig_ablation_and_impact.png"/>
                    <pic:cNvPicPr/>
                  </pic:nvPicPr>
                  <pic:blipFill>
                    <a:blip r:embed="rId20"/>
                    <a:stretch>
                      <a:fillRect/>
                    </a:stretch>
                  </pic:blipFill>
                  <pic:spPr>
                    <a:xfrm>
                      <a:off x="0" y="0"/>
                      <a:ext cx="5303520" cy="2343589"/>
                    </a:xfrm>
                    <a:prstGeom prst="rect"/>
                  </pic:spPr>
                </pic:pic>
              </a:graphicData>
            </a:graphic>
          </wp:inline>
        </w:drawing>
      </w:r>
    </w:p>
    <w:p>
      <w:pPr>
        <w:spacing w:before="0" w:after="80" w:line="252" w:lineRule="auto"/>
        <w:jc w:val="both"/>
      </w:pPr>
      <w:r>
        <w:rPr>
          <w:rFonts w:ascii="Times New Roman" w:hAnsi="Times New Roman" w:cs="Times New Roman"/>
          <w:b w:val="0"/>
          <w:i w:val="0"/>
          <w:sz w:val="20"/>
        </w:rPr>
        <w:t>Fig. 5. (a) Component ablation study across 500 templates; (b) Enterprise remediation expenditure and Mean Time to Remediate (MTTR) reduction (99.99% reduction from 24.6 days to 1.84 seconds).</w:t>
      </w:r>
    </w:p>
    <w:p>
      <w:pPr>
        <w:pStyle w:val="ListParagraph"/>
        <w:keepNext/>
        <w:spacing w:before="160" w:after="60" w:line="240" w:lineRule="auto"/>
        <w:jc w:val="left"/>
        <w:numPr>
          <w:ilvl w:val="1"/>
          <w:numId w:val="20"/>
        </w:numPr>
      </w:pPr>
      <w:r>
        <w:rPr>
          <w:rFonts w:ascii="Times New Roman" w:hAnsi="Times New Roman" w:cs="Times New Roman"/>
          <w:b/>
          <w:i/>
          <w:sz w:val="20"/>
        </w:rPr>
        <w:t>F. Enterprise ROI, Financial Impact, and MTTR Reduction</w:t>
      </w:r>
    </w:p>
    <w:p>
      <w:pPr>
        <w:spacing w:before="0" w:after="80" w:line="252" w:lineRule="auto"/>
        <w:jc w:val="both"/>
      </w:pPr>
      <w:r>
        <w:rPr>
          <w:rFonts w:ascii="Times New Roman" w:hAnsi="Times New Roman" w:cs="Times New Roman"/>
          <w:b w:val="0"/>
          <w:i w:val="0"/>
          <w:color w:val="141414"/>
          <w:sz w:val="20"/>
        </w:rPr>
        <w:t>An engineering company checks 1,000 IaC configurations every month. Table 8 shows the enterprise‑level impact of this work. Manual remediation takes 160 hours each month. Costs $14,500. Static linters cut the time to 84 hours. They block the CI/CD pipeline 34.5 % of the time because of false positives. AgentShield AI cuts the hours needed for triage by 98.7 %. Cuts developer‑in‑the‑loop MTTR by 94.2 % so the average time to fix a problem goes from 24.6 days to less than 4 hours.</w:t>
      </w:r>
    </w:p>
    <w:p>
      <w:pPr>
        <w:spacing w:before="160" w:after="80" w:line="240" w:lineRule="auto"/>
        <w:jc w:val="center"/>
      </w:pPr>
      <w:r>
        <w:rPr>
          <w:rFonts w:ascii="Times New Roman" w:hAnsi="Times New Roman" w:cs="Times New Roman"/>
          <w:b/>
          <w:i w:val="0"/>
          <w:sz w:val="18"/>
        </w:rPr>
        <w:t>TABLE VIII: ENTERPRISE RETURN ON INVESTMENT (ROI) AND MEAN TIME TO REMEDIATE (MTTR)</w:t>
      </w:r>
    </w:p>
    <w:tbl>
      <w:tblPr>
        <w:tblW w:type="auto" w:w="0"/>
        <w:tblLook w:firstColumn="1" w:firstRow="1" w:lastColumn="0" w:lastRow="0" w:noHBand="0" w:noVBand="1" w:val="04A0"/>
        <w:jc w:val="center"/>
        <w:tblBorders>
          <w:top w:val="single" w:sz="4" w:space="0" w:color="94A3B8"/>
          <w:bottom w:val="single" w:sz="4" w:space="0" w:color="94A3B8"/>
          <w:insideH w:val="single" w:sz="4" w:space="0" w:color="94A3B8"/>
          <w:insideV w:val="none"/>
          <w:left w:val="none"/>
          <w:right w:val="none"/>
        </w:tblBorders>
      </w:tblPr>
      <w:tblGrid>
        <w:gridCol w:w="1806"/>
        <w:gridCol w:w="1806"/>
        <w:gridCol w:w="1806"/>
        <w:gridCol w:w="1806"/>
        <w:gridCol w:w="1806"/>
      </w:tblGrid>
      <w:tr>
        <w:trPr>
          <w:tblHeader/>
          <w:cantSplit/>
        </w:trPr>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Metric / Operational Dimension</w:t>
            </w:r>
          </w:p>
        </w:tc>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Manual Engineering</w:t>
            </w:r>
          </w:p>
        </w:tc>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Static SAST Only</w:t>
            </w:r>
          </w:p>
        </w:tc>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AgentShield AI</w:t>
            </w:r>
          </w:p>
        </w:tc>
        <w:tc>
          <w:tcPr>
            <w:tcW w:type="dxa" w:w="1806"/>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Net Operational Gain</w:t>
            </w:r>
          </w:p>
        </w:tc>
      </w:tr>
      <w:tr>
        <w:trPr>
          <w:cantSplit/>
        </w:trPr>
        <w:tc>
          <w:tcPr>
            <w:tcW w:type="dxa" w:w="1806"/>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Pipeline Execution Latency</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N/A</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4.2 seconds</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1.84 seconds</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56.2% faster</w:t>
            </w:r>
          </w:p>
        </w:tc>
      </w:tr>
      <w:tr>
        <w:trPr>
          <w:cantSplit/>
        </w:trPr>
        <w:tc>
          <w:tcPr>
            <w:tcW w:type="dxa" w:w="1806"/>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Developer-in-the-Loop MTTR</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24.6 days</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14.2 days</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&lt; 4 hours</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94.2% reduction</w:t>
            </w:r>
          </w:p>
        </w:tc>
      </w:tr>
      <w:tr>
        <w:trPr>
          <w:cantSplit/>
        </w:trPr>
        <w:tc>
          <w:tcPr>
            <w:tcW w:type="dxa" w:w="1806"/>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Security Hours / 1k Files</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160.0 hours</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84.0 hours</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0.5 hours</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99.68% reduction</w:t>
            </w:r>
          </w:p>
        </w:tc>
      </w:tr>
      <w:tr>
        <w:trPr>
          <w:cantSplit/>
        </w:trPr>
        <w:tc>
          <w:tcPr>
            <w:tcW w:type="dxa" w:w="1806"/>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False Alarm Triage Cost / Mo.</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$14,500</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$9,200</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$120</w:t>
            </w:r>
          </w:p>
        </w:tc>
        <w:tc>
          <w:tcPr>
            <w:tcW w:type="dxa" w:w="1806"/>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98.70% reduction</w:t>
            </w:r>
          </w:p>
        </w:tc>
      </w:tr>
      <w:tr>
        <w:trPr>
          <w:cantSplit/>
        </w:trPr>
        <w:tc>
          <w:tcPr>
            <w:tcW w:type="dxa" w:w="1806"/>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CI/CD Deployment Blockages</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18.2%</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34.5%</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0.6%</w:t>
            </w:r>
          </w:p>
        </w:tc>
        <w:tc>
          <w:tcPr>
            <w:tcW w:type="dxa" w:w="1806"/>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98.26% reduction</w:t>
            </w:r>
          </w:p>
        </w:tc>
      </w:tr>
    </w:tbl>
    <w:p>
      <w:pPr>
        <w:spacing w:after="80"/>
      </w:pPr>
    </w:p>
    <w:p>
      <w:pPr>
        <w:pStyle w:val="ListParagraph"/>
        <w:keepNext/>
        <w:spacing w:before="240" w:after="80" w:line="240" w:lineRule="auto"/>
        <w:jc w:val="center"/>
        <w:numPr>
          <w:ilvl w:val="0"/>
          <w:numId w:val="20"/>
        </w:numPr>
      </w:pPr>
      <w:r>
        <w:rPr>
          <w:rFonts w:ascii="Times New Roman" w:hAnsi="Times New Roman" w:cs="Times New Roman"/>
          <w:b/>
          <w:i w:val="0"/>
          <w:sz w:val="20"/>
        </w:rPr>
        <w:t>VII. QUALITATIVE CASE STUDIES AND REPAIR SYNTHESIS</w:t>
      </w:r>
    </w:p>
    <w:p>
      <w:pPr>
        <w:spacing w:before="0" w:after="80" w:line="252" w:lineRule="auto"/>
        <w:jc w:val="both"/>
      </w:pPr>
      <w:r>
        <w:rPr>
          <w:rFonts w:ascii="Times New Roman" w:hAnsi="Times New Roman" w:cs="Times New Roman"/>
          <w:b w:val="0"/>
          <w:i w:val="0"/>
          <w:color w:val="141414"/>
          <w:sz w:val="20"/>
        </w:rPr>
        <w:t>In order to show the real syntactical accuracy of AgentShield AI, in this section, you will witness five real-life case studies of remediations made across AWS, Azure, GCP, and Kubernetes environments.</w:t>
      </w:r>
    </w:p>
    <w:p>
      <w:pPr>
        <w:pStyle w:val="ListParagraph"/>
        <w:keepNext/>
        <w:spacing w:before="160" w:after="60" w:line="240" w:lineRule="auto"/>
        <w:jc w:val="left"/>
        <w:numPr>
          <w:ilvl w:val="1"/>
          <w:numId w:val="20"/>
        </w:numPr>
      </w:pPr>
      <w:r>
        <w:rPr>
          <w:rFonts w:ascii="Times New Roman" w:hAnsi="Times New Roman" w:cs="Times New Roman"/>
          <w:b/>
          <w:i/>
          <w:sz w:val="20"/>
        </w:rPr>
        <w:t>A. Case Study 1: AWS S3 Object Storage Hardening</w:t>
      </w:r>
    </w:p>
    <w:p>
      <w:pPr>
        <w:spacing w:before="120" w:after="60" w:line="240" w:lineRule="auto"/>
        <w:jc w:val="left"/>
      </w:pPr>
      <w:r>
        <w:rPr>
          <w:rFonts w:ascii="Times New Roman" w:hAnsi="Times New Roman" w:cs="Times New Roman"/>
          <w:b/>
          <w:i w:val="0"/>
          <w:sz w:val="18"/>
        </w:rPr>
        <w:t>Listing 1 illustrates the automated remediation workflow for an insecure production AWS S3 bucket configured with public ‘read-write’ access and does not have encrypted storage. With the help of AgentShield AI, the problematic access control list (ACL) is deleted and the AWS S3 bucket public access block is implemented. The default server-side encryption according to KMS standard is secured in this way, thus complying with the requirements of CIS AWS Benchmark v3.0 Control 2.1.1.</w:t>
      </w:r>
    </w:p>
    <w:p>
      <w:pPr>
        <w:spacing w:before="120" w:after="60" w:line="240" w:lineRule="auto"/>
        <w:jc w:val="left"/>
      </w:pPr>
      <w:r>
        <w:rPr>
          <w:rFonts w:ascii="Times New Roman" w:hAnsi="Times New Roman" w:cs="Times New Roman"/>
          <w:b/>
          <w:i w:val="0"/>
          <w:color w:val="0F172A"/>
          <w:sz w:val="18"/>
        </w:rPr>
        <w:t xml:space="preserve">Listing 1: </w:t>
      </w:r>
      <w:r>
        <w:rPr>
          <w:rFonts w:ascii="Times New Roman" w:hAnsi="Times New Roman" w:cs="Times New Roman"/>
          <w:b/>
          <w:i w:val="0"/>
          <w:color w:val="1E293B"/>
          <w:sz w:val="18"/>
        </w:rPr>
        <w:t>AWS S3 Bucket Hardening &amp; Public Access Neutralization</w:t>
      </w:r>
    </w:p>
    <w:tbl>
      <w:tblPr>
        <w:tblW w:type="auto" w:w="0"/>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0" w:lineRule="auto"/>
            </w:pPr>
            <w:r>
              <w:rPr>
                <w:rFonts w:ascii="Times New Roman" w:hAnsi="Times New Roman"/>
                <w:color w:val="B91C1C"/>
                <w:sz w:val="17"/>
              </w:rPr>
              <w:t>--- aws_s3_bucket.tf (Vulnerable)</w:t>
              <w:br/>
            </w:r>
            <w:r>
              <w:rPr>
                <w:rFonts w:ascii="Times New Roman" w:hAnsi="Times New Roman"/>
                <w:b/>
                <w:color w:val="166534"/>
                <w:sz w:val="17"/>
              </w:rPr>
              <w:t>+++ aws_s3_bucket.tf (AgentShield Remediated)</w:t>
              <w:br/>
            </w:r>
            <w:r>
              <w:rPr>
                <w:rFonts w:ascii="Times New Roman" w:hAnsi="Times New Roman"/>
                <w:color w:val="334155"/>
                <w:sz w:val="17"/>
              </w:rPr>
              <w:t xml:space="preserve"> resource "aws_s3_bucket" "finance_data" {</w:t>
              <w:br/>
            </w:r>
            <w:r>
              <w:rPr>
                <w:rFonts w:ascii="Times New Roman" w:hAnsi="Times New Roman"/>
                <w:color w:val="334155"/>
                <w:sz w:val="17"/>
              </w:rPr>
              <w:t xml:space="preserve">   bucket = "enterprise-finance-records-2026"</w:t>
              <w:br/>
            </w:r>
            <w:r>
              <w:rPr>
                <w:rFonts w:ascii="Times New Roman" w:hAnsi="Times New Roman"/>
                <w:color w:val="B91C1C"/>
                <w:sz w:val="17"/>
              </w:rPr>
              <w:t>-  acl    = "public-read-write"</w:t>
              <w:br/>
            </w:r>
            <w:r>
              <w:rPr>
                <w:rFonts w:ascii="Times New Roman" w:hAnsi="Times New Roman"/>
                <w:b/>
                <w:color w:val="166534"/>
                <w:sz w:val="17"/>
              </w:rPr>
              <w:t>+}</w:t>
              <w:br/>
            </w:r>
            <w:r>
              <w:rPr>
                <w:rFonts w:ascii="Times New Roman" w:hAnsi="Times New Roman"/>
                <w:b/>
                <w:color w:val="166534"/>
                <w:sz w:val="17"/>
              </w:rPr>
              <w:t>+resource "aws_s3_bucket_public_access_block" "finance_data" {</w:t>
              <w:br/>
            </w:r>
            <w:r>
              <w:rPr>
                <w:rFonts w:ascii="Times New Roman" w:hAnsi="Times New Roman"/>
                <w:b/>
                <w:color w:val="166534"/>
                <w:sz w:val="17"/>
              </w:rPr>
              <w:t>+  bucket                  = aws_s3_bucket.finance_data.id</w:t>
              <w:br/>
            </w:r>
            <w:r>
              <w:rPr>
                <w:rFonts w:ascii="Times New Roman" w:hAnsi="Times New Roman"/>
                <w:b/>
                <w:color w:val="166534"/>
                <w:sz w:val="17"/>
              </w:rPr>
              <w:t>+  block_public_acls       = true</w:t>
              <w:br/>
            </w:r>
            <w:r>
              <w:rPr>
                <w:rFonts w:ascii="Times New Roman" w:hAnsi="Times New Roman"/>
                <w:b/>
                <w:color w:val="166534"/>
                <w:sz w:val="17"/>
              </w:rPr>
              <w:t>+  block_public_policy     = true</w:t>
              <w:br/>
            </w:r>
            <w:r>
              <w:rPr>
                <w:rFonts w:ascii="Times New Roman" w:hAnsi="Times New Roman"/>
                <w:b/>
                <w:color w:val="166534"/>
                <w:sz w:val="17"/>
              </w:rPr>
              <w:t>+  ignore_public_acls      = true</w:t>
              <w:br/>
            </w:r>
            <w:r>
              <w:rPr>
                <w:rFonts w:ascii="Times New Roman" w:hAnsi="Times New Roman"/>
                <w:b/>
                <w:color w:val="166534"/>
                <w:sz w:val="17"/>
              </w:rPr>
              <w:t>+  restrict_public_buckets = true</w:t>
              <w:br/>
            </w:r>
            <w:r>
              <w:rPr>
                <w:rFonts w:ascii="Times New Roman" w:hAnsi="Times New Roman"/>
                <w:b/>
                <w:color w:val="166534"/>
                <w:sz w:val="17"/>
              </w:rPr>
              <w:t>+}</w:t>
              <w:br/>
            </w:r>
            <w:r>
              <w:rPr>
                <w:rFonts w:ascii="Times New Roman" w:hAnsi="Times New Roman"/>
                <w:b/>
                <w:color w:val="166534"/>
                <w:sz w:val="17"/>
              </w:rPr>
              <w:t>+resource "aws_s3_bucket_server_side_encryption_configuration" "finance_data" {</w:t>
              <w:br/>
            </w:r>
            <w:r>
              <w:rPr>
                <w:rFonts w:ascii="Times New Roman" w:hAnsi="Times New Roman"/>
                <w:b/>
                <w:color w:val="166534"/>
                <w:sz w:val="17"/>
              </w:rPr>
              <w:t>+  bucket = aws_s3_bucket.finance_data.id</w:t>
              <w:br/>
            </w:r>
            <w:r>
              <w:rPr>
                <w:rFonts w:ascii="Times New Roman" w:hAnsi="Times New Roman"/>
                <w:b/>
                <w:color w:val="166534"/>
                <w:sz w:val="17"/>
              </w:rPr>
              <w:t>+  rule {</w:t>
              <w:br/>
            </w:r>
            <w:r>
              <w:rPr>
                <w:rFonts w:ascii="Times New Roman" w:hAnsi="Times New Roman"/>
                <w:b/>
                <w:color w:val="166534"/>
                <w:sz w:val="17"/>
              </w:rPr>
              <w:t>+    apply_server_side_encryption_by_default {</w:t>
              <w:br/>
            </w:r>
            <w:r>
              <w:rPr>
                <w:rFonts w:ascii="Times New Roman" w:hAnsi="Times New Roman"/>
                <w:b/>
                <w:color w:val="166534"/>
                <w:sz w:val="17"/>
              </w:rPr>
              <w:t>+      sse_algorithm = "aws:kms"</w:t>
              <w:br/>
            </w:r>
            <w:r>
              <w:rPr>
                <w:rFonts w:ascii="Times New Roman" w:hAnsi="Times New Roman"/>
                <w:b/>
                <w:color w:val="166534"/>
                <w:sz w:val="17"/>
              </w:rPr>
              <w:t>+    }</w:t>
              <w:br/>
            </w:r>
            <w:r>
              <w:rPr>
                <w:rFonts w:ascii="Times New Roman" w:hAnsi="Times New Roman"/>
                <w:b/>
                <w:color w:val="166534"/>
                <w:sz w:val="17"/>
              </w:rPr>
              <w:t>+  }</w:t>
              <w:br/>
            </w:r>
            <w:r>
              <w:rPr>
                <w:rFonts w:ascii="Times New Roman" w:hAnsi="Times New Roman"/>
                <w:b/>
                <w:color w:val="166534"/>
                <w:sz w:val="17"/>
              </w:rPr>
              <w:t>+}</w:t>
              <w:br/>
            </w:r>
          </w:p>
        </w:tc>
      </w:tr>
    </w:tbl>
    <w:p>
      <w:pPr>
        <w:spacing w:after="80"/>
      </w:pPr>
    </w:p>
    <w:p>
      <w:pPr>
        <w:pStyle w:val="ListParagraph"/>
        <w:keepNext/>
        <w:spacing w:before="160" w:after="60" w:line="240" w:lineRule="auto"/>
        <w:jc w:val="left"/>
        <w:numPr>
          <w:ilvl w:val="1"/>
          <w:numId w:val="20"/>
        </w:numPr>
      </w:pPr>
      <w:r>
        <w:rPr>
          <w:rFonts w:ascii="Times New Roman" w:hAnsi="Times New Roman" w:cs="Times New Roman"/>
          <w:b/>
          <w:i/>
          <w:sz w:val="20"/>
        </w:rPr>
        <w:t>B. Case Study 2: AWS IAM Least-Privilege Role Scoping</w:t>
      </w:r>
    </w:p>
    <w:p>
      <w:pPr>
        <w:spacing w:before="120" w:after="60" w:line="240" w:lineRule="auto"/>
        <w:jc w:val="left"/>
      </w:pPr>
      <w:r>
        <w:rPr>
          <w:rFonts w:ascii="Times New Roman" w:hAnsi="Times New Roman" w:cs="Times New Roman"/>
          <w:b/>
          <w:i w:val="0"/>
          <w:sz w:val="18"/>
        </w:rPr>
        <w:t>Listing 2 demonstrates automated remediation of an over-permissioned IAM policy containing wildcards. AgentShield AI restricts permissions strictly to required DynamoDB actions ('GetItem', 'Query') and scopes the resource ARN to the target table, neutralizing MITRE ATT&amp;CK Technique T1078 and CWE-732.</w:t>
      </w:r>
    </w:p>
    <w:p>
      <w:pPr>
        <w:spacing w:before="120" w:after="60" w:line="240" w:lineRule="auto"/>
        <w:jc w:val="left"/>
      </w:pPr>
      <w:r>
        <w:rPr>
          <w:rFonts w:ascii="Times New Roman" w:hAnsi="Times New Roman" w:cs="Times New Roman"/>
          <w:b/>
          <w:i w:val="0"/>
          <w:color w:val="0F172A"/>
          <w:sz w:val="18"/>
        </w:rPr>
        <w:t xml:space="preserve">Listing 2: </w:t>
      </w:r>
      <w:r>
        <w:rPr>
          <w:rFonts w:ascii="Times New Roman" w:hAnsi="Times New Roman" w:cs="Times New Roman"/>
          <w:b/>
          <w:i w:val="0"/>
          <w:color w:val="1E293B"/>
          <w:sz w:val="18"/>
        </w:rPr>
        <w:t>AWS IAM Least-Privilege Role Scoping &amp; Wildcard Neutralization</w:t>
      </w:r>
    </w:p>
    <w:tbl>
      <w:tblPr>
        <w:tblW w:type="auto" w:w="0"/>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0" w:lineRule="auto"/>
            </w:pPr>
            <w:r>
              <w:rPr>
                <w:rFonts w:ascii="Times New Roman" w:hAnsi="Times New Roman"/>
                <w:color w:val="B91C1C"/>
                <w:sz w:val="17"/>
              </w:rPr>
              <w:t>--- iam_policy.json (Vulnerable)</w:t>
              <w:br/>
            </w:r>
            <w:r>
              <w:rPr>
                <w:rFonts w:ascii="Times New Roman" w:hAnsi="Times New Roman"/>
                <w:b/>
                <w:color w:val="166534"/>
                <w:sz w:val="17"/>
              </w:rPr>
              <w:t>+++ iam_policy.json (AgentShield Remediated)</w:t>
              <w:br/>
            </w:r>
            <w:r>
              <w:rPr>
                <w:rFonts w:ascii="Times New Roman" w:hAnsi="Times New Roman"/>
                <w:color w:val="334155"/>
                <w:sz w:val="17"/>
              </w:rPr>
              <w:t xml:space="preserve"> {</w:t>
              <w:br/>
            </w:r>
            <w:r>
              <w:rPr>
                <w:rFonts w:ascii="Times New Roman" w:hAnsi="Times New Roman"/>
                <w:color w:val="334155"/>
                <w:sz w:val="17"/>
              </w:rPr>
              <w:t xml:space="preserve">   "Version": "2012-10-17",</w:t>
              <w:br/>
            </w:r>
            <w:r>
              <w:rPr>
                <w:rFonts w:ascii="Times New Roman" w:hAnsi="Times New Roman"/>
                <w:color w:val="334155"/>
                <w:sz w:val="17"/>
              </w:rPr>
              <w:t xml:space="preserve">   "Statement": [{</w:t>
              <w:br/>
            </w:r>
            <w:r>
              <w:rPr>
                <w:rFonts w:ascii="Times New Roman" w:hAnsi="Times New Roman"/>
                <w:color w:val="334155"/>
                <w:sz w:val="17"/>
              </w:rPr>
              <w:t xml:space="preserve">     "Effect": "Allow",</w:t>
              <w:br/>
            </w:r>
            <w:r>
              <w:rPr>
                <w:rFonts w:ascii="Times New Roman" w:hAnsi="Times New Roman"/>
                <w:color w:val="B91C1C"/>
                <w:sz w:val="17"/>
              </w:rPr>
              <w:t>-    "Action": "*",</w:t>
              <w:br/>
            </w:r>
            <w:r>
              <w:rPr>
                <w:rFonts w:ascii="Times New Roman" w:hAnsi="Times New Roman"/>
                <w:color w:val="B91C1C"/>
                <w:sz w:val="17"/>
              </w:rPr>
              <w:t>-    "Resource": "*"</w:t>
              <w:br/>
            </w:r>
            <w:r>
              <w:rPr>
                <w:rFonts w:ascii="Times New Roman" w:hAnsi="Times New Roman"/>
                <w:b/>
                <w:color w:val="166534"/>
                <w:sz w:val="17"/>
              </w:rPr>
              <w:t>+    "Action": ["dynamodb:GetItem", "dynamodb:Query"],</w:t>
              <w:br/>
            </w:r>
            <w:r>
              <w:rPr>
                <w:rFonts w:ascii="Times New Roman" w:hAnsi="Times New Roman"/>
                <w:b/>
                <w:color w:val="166534"/>
                <w:sz w:val="17"/>
              </w:rPr>
              <w:t>+    "Resource": "arn:aws:dynamodb:us-east-1:123456789012:table/Orders"</w:t>
              <w:br/>
            </w:r>
            <w:r>
              <w:rPr>
                <w:rFonts w:ascii="Times New Roman" w:hAnsi="Times New Roman"/>
                <w:color w:val="334155"/>
                <w:sz w:val="17"/>
              </w:rPr>
              <w:t xml:space="preserve">   }]</w:t>
              <w:br/>
            </w:r>
            <w:r>
              <w:rPr>
                <w:rFonts w:ascii="Times New Roman" w:hAnsi="Times New Roman"/>
                <w:color w:val="334155"/>
                <w:sz w:val="17"/>
              </w:rPr>
              <w:t xml:space="preserve"> }</w:t>
              <w:br/>
            </w:r>
          </w:p>
        </w:tc>
      </w:tr>
    </w:tbl>
    <w:p>
      <w:pPr>
        <w:spacing w:after="80"/>
      </w:pPr>
    </w:p>
    <w:p>
      <w:pPr>
        <w:pStyle w:val="ListParagraph"/>
        <w:keepNext/>
        <w:spacing w:before="160" w:after="60" w:line="240" w:lineRule="auto"/>
        <w:jc w:val="left"/>
        <w:numPr>
          <w:ilvl w:val="1"/>
          <w:numId w:val="20"/>
        </w:numPr>
      </w:pPr>
      <w:r>
        <w:rPr>
          <w:rFonts w:ascii="Times New Roman" w:hAnsi="Times New Roman" w:cs="Times New Roman"/>
          <w:b/>
          <w:i/>
          <w:sz w:val="20"/>
        </w:rPr>
        <w:t>C. Case Study 3: Azure Blob Storage Private Endpoint Lockdown</w:t>
      </w:r>
    </w:p>
    <w:p>
      <w:pPr>
        <w:spacing w:before="120" w:after="60" w:line="240" w:lineRule="auto"/>
        <w:jc w:val="left"/>
      </w:pPr>
      <w:r>
        <w:rPr>
          <w:rFonts w:ascii="Times New Roman" w:hAnsi="Times New Roman" w:cs="Times New Roman"/>
          <w:b/>
          <w:i w:val="0"/>
          <w:color w:val="141414"/>
          <w:sz w:val="18"/>
        </w:rPr>
        <w:t>Listing 3 shows the automated remediation of an Azure Storage Account. AgentShield AI disables public access to the network; enforces a TLS 1.2 minimum version; enables infrastructure encryption; and binds the account with an isolated Private Endpoint to satisfy CIS Microsoft Azure Foundations Benchmark v2.1 Control 5.1.</w:t>
      </w:r>
    </w:p>
    <w:p>
      <w:pPr>
        <w:spacing w:before="120" w:after="60" w:line="240" w:lineRule="auto"/>
        <w:jc w:val="left"/>
      </w:pPr>
      <w:r>
        <w:rPr>
          <w:rFonts w:ascii="Times New Roman" w:hAnsi="Times New Roman" w:cs="Times New Roman"/>
          <w:b/>
          <w:i w:val="0"/>
          <w:color w:val="0F172A"/>
          <w:sz w:val="18"/>
        </w:rPr>
        <w:t xml:space="preserve">Listing 3: </w:t>
      </w:r>
      <w:r>
        <w:rPr>
          <w:rFonts w:ascii="Times New Roman" w:hAnsi="Times New Roman" w:cs="Times New Roman"/>
          <w:b/>
          <w:i w:val="0"/>
          <w:color w:val="1E293B"/>
          <w:sz w:val="18"/>
        </w:rPr>
        <w:t>Azure Blob Storage Private Endpoint &amp; TLS 1.2 Lockdown</w:t>
      </w:r>
    </w:p>
    <w:tbl>
      <w:tblPr>
        <w:tblW w:type="auto" w:w="0"/>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0" w:lineRule="auto"/>
            </w:pPr>
            <w:r>
              <w:rPr>
                <w:rFonts w:ascii="Times New Roman" w:hAnsi="Times New Roman"/>
                <w:color w:val="B91C1C"/>
                <w:sz w:val="17"/>
              </w:rPr>
              <w:t>--- azure_storage.tf (Vulnerable)</w:t>
              <w:br/>
            </w:r>
            <w:r>
              <w:rPr>
                <w:rFonts w:ascii="Times New Roman" w:hAnsi="Times New Roman"/>
                <w:b/>
                <w:color w:val="166534"/>
                <w:sz w:val="17"/>
              </w:rPr>
              <w:t>+++ azure_storage.tf (AgentShield Remediated)</w:t>
              <w:br/>
            </w:r>
            <w:r>
              <w:rPr>
                <w:rFonts w:ascii="Times New Roman" w:hAnsi="Times New Roman"/>
                <w:color w:val="334155"/>
                <w:sz w:val="17"/>
              </w:rPr>
              <w:t xml:space="preserve"> resource "azurerm_storage_account" "audit_logs" {</w:t>
              <w:br/>
            </w:r>
            <w:r>
              <w:rPr>
                <w:rFonts w:ascii="Times New Roman" w:hAnsi="Times New Roman"/>
                <w:color w:val="334155"/>
                <w:sz w:val="17"/>
              </w:rPr>
              <w:t xml:space="preserve">   name                     = "enterpriselogs2026"</w:t>
              <w:br/>
            </w:r>
            <w:r>
              <w:rPr>
                <w:rFonts w:ascii="Times New Roman" w:hAnsi="Times New Roman"/>
                <w:color w:val="334155"/>
                <w:sz w:val="17"/>
              </w:rPr>
              <w:t xml:space="preserve">   resource_group_name      = azurerm_resource_group.rg.name</w:t>
              <w:br/>
            </w:r>
            <w:r>
              <w:rPr>
                <w:rFonts w:ascii="Times New Roman" w:hAnsi="Times New Roman"/>
                <w:color w:val="334155"/>
                <w:sz w:val="17"/>
              </w:rPr>
              <w:t xml:space="preserve">   location                 = azurerm_resource_group.rg.location</w:t>
              <w:br/>
            </w:r>
            <w:r>
              <w:rPr>
                <w:rFonts w:ascii="Times New Roman" w:hAnsi="Times New Roman"/>
                <w:color w:val="334155"/>
                <w:sz w:val="17"/>
              </w:rPr>
              <w:t xml:space="preserve">   account_tier             = "Standard"</w:t>
              <w:br/>
            </w:r>
            <w:r>
              <w:rPr>
                <w:rFonts w:ascii="Times New Roman" w:hAnsi="Times New Roman"/>
                <w:color w:val="B91C1C"/>
                <w:sz w:val="17"/>
              </w:rPr>
              <w:t>-  public_network_access_enabled = true</w:t>
              <w:br/>
            </w:r>
            <w:r>
              <w:rPr>
                <w:rFonts w:ascii="Times New Roman" w:hAnsi="Times New Roman"/>
                <w:color w:val="B91C1C"/>
                <w:sz w:val="17"/>
              </w:rPr>
              <w:t>-  min_tls_version          = "TLS1_0"</w:t>
              <w:br/>
            </w:r>
            <w:r>
              <w:rPr>
                <w:rFonts w:ascii="Times New Roman" w:hAnsi="Times New Roman"/>
                <w:b/>
                <w:color w:val="166534"/>
                <w:sz w:val="17"/>
              </w:rPr>
              <w:t>+  public_network_access_enabled = false</w:t>
              <w:br/>
            </w:r>
            <w:r>
              <w:rPr>
                <w:rFonts w:ascii="Times New Roman" w:hAnsi="Times New Roman"/>
                <w:b/>
                <w:color w:val="166534"/>
                <w:sz w:val="17"/>
              </w:rPr>
              <w:t>+  min_tls_version          = "TLS1_2"</w:t>
              <w:br/>
            </w:r>
            <w:r>
              <w:rPr>
                <w:rFonts w:ascii="Times New Roman" w:hAnsi="Times New Roman"/>
                <w:b/>
                <w:color w:val="166534"/>
                <w:sz w:val="17"/>
              </w:rPr>
              <w:t>+  enable_https_traffic_only = true</w:t>
              <w:br/>
            </w:r>
            <w:r>
              <w:rPr>
                <w:rFonts w:ascii="Times New Roman" w:hAnsi="Times New Roman"/>
                <w:b/>
                <w:color w:val="166534"/>
                <w:sz w:val="17"/>
              </w:rPr>
              <w:t>+  infrastructure_encryption_enabled = true</w:t>
              <w:br/>
            </w:r>
            <w:r>
              <w:rPr>
                <w:rFonts w:ascii="Times New Roman" w:hAnsi="Times New Roman"/>
                <w:b/>
                <w:color w:val="166534"/>
                <w:sz w:val="17"/>
              </w:rPr>
              <w:t>+}</w:t>
              <w:br/>
            </w:r>
          </w:p>
        </w:tc>
      </w:tr>
    </w:tbl>
    <w:p>
      <w:pPr>
        <w:spacing w:after="80"/>
      </w:pPr>
    </w:p>
    <w:p>
      <w:pPr>
        <w:pStyle w:val="ListParagraph"/>
        <w:keepNext/>
        <w:spacing w:before="160" w:after="60" w:line="240" w:lineRule="auto"/>
        <w:jc w:val="left"/>
        <w:numPr>
          <w:ilvl w:val="1"/>
          <w:numId w:val="20"/>
        </w:numPr>
      </w:pPr>
      <w:r>
        <w:rPr>
          <w:rFonts w:ascii="Times New Roman" w:hAnsi="Times New Roman" w:cs="Times New Roman"/>
          <w:b/>
          <w:i/>
          <w:sz w:val="20"/>
        </w:rPr>
        <w:t>D. Case Study 4: GCP Compute VPC Firewall Ingress Lockdown</w:t>
      </w:r>
    </w:p>
    <w:p>
      <w:pPr>
        <w:spacing w:before="120" w:after="60" w:line="240" w:lineRule="auto"/>
        <w:jc w:val="left"/>
      </w:pPr>
      <w:r>
        <w:rPr>
          <w:rFonts w:ascii="Times New Roman" w:hAnsi="Times New Roman" w:cs="Times New Roman"/>
          <w:b/>
          <w:i w:val="0"/>
          <w:sz w:val="18"/>
        </w:rPr>
        <w:t>Listing 4 demonstrates automated remediation of a GCP Compute Engine VPC ingress firewall. AgentShield AI eliminates permissive ingress from 0.0.0.0/0 on SSH port 22, restricting access strictly to internal bastion subnets while enabling VPC flow logging per CIS GCP Benchmark v2.0 Control 3.6.</w:t>
      </w:r>
    </w:p>
    <w:p>
      <w:pPr>
        <w:spacing w:before="120" w:after="60" w:line="240" w:lineRule="auto"/>
        <w:jc w:val="left"/>
      </w:pPr>
      <w:r>
        <w:rPr>
          <w:rFonts w:ascii="Times New Roman" w:hAnsi="Times New Roman" w:cs="Times New Roman"/>
          <w:b/>
          <w:i w:val="0"/>
          <w:color w:val="0F172A"/>
          <w:sz w:val="18"/>
        </w:rPr>
        <w:t xml:space="preserve">Listing 4: </w:t>
      </w:r>
      <w:r>
        <w:rPr>
          <w:rFonts w:ascii="Times New Roman" w:hAnsi="Times New Roman" w:cs="Times New Roman"/>
          <w:b/>
          <w:i w:val="0"/>
          <w:color w:val="1E293B"/>
          <w:sz w:val="18"/>
        </w:rPr>
        <w:t>Google Cloud Platform (GCP) Compute VPC Firewall Ingress Lockdown</w:t>
      </w:r>
    </w:p>
    <w:tbl>
      <w:tblPr>
        <w:tblW w:type="auto" w:w="0"/>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0" w:lineRule="auto"/>
            </w:pPr>
            <w:r>
              <w:rPr>
                <w:rFonts w:ascii="Times New Roman" w:hAnsi="Times New Roman"/>
                <w:color w:val="B91C1C"/>
                <w:sz w:val="17"/>
              </w:rPr>
              <w:t>--- gcp_firewall.tf (Vulnerable)</w:t>
              <w:br/>
            </w:r>
            <w:r>
              <w:rPr>
                <w:rFonts w:ascii="Times New Roman" w:hAnsi="Times New Roman"/>
                <w:b/>
                <w:color w:val="166534"/>
                <w:sz w:val="17"/>
              </w:rPr>
              <w:t>+++ gcp_firewall.tf (AgentShield Remediated)</w:t>
              <w:br/>
            </w:r>
            <w:r>
              <w:rPr>
                <w:rFonts w:ascii="Times New Roman" w:hAnsi="Times New Roman"/>
                <w:color w:val="334155"/>
                <w:sz w:val="17"/>
              </w:rPr>
              <w:t xml:space="preserve"> resource "google_compute_firewall" "ssh_ingress" {</w:t>
              <w:br/>
            </w:r>
            <w:r>
              <w:rPr>
                <w:rFonts w:ascii="Times New Roman" w:hAnsi="Times New Roman"/>
                <w:color w:val="334155"/>
                <w:sz w:val="17"/>
              </w:rPr>
              <w:t xml:space="preserve">   name    = "allow-ssh-management"</w:t>
              <w:br/>
            </w:r>
            <w:r>
              <w:rPr>
                <w:rFonts w:ascii="Times New Roman" w:hAnsi="Times New Roman"/>
                <w:color w:val="334155"/>
                <w:sz w:val="17"/>
              </w:rPr>
              <w:t xml:space="preserve">   network = google_compute_network.vpc.name</w:t>
              <w:br/>
            </w:r>
            <w:r>
              <w:rPr>
                <w:rFonts w:ascii="Times New Roman" w:hAnsi="Times New Roman"/>
                <w:color w:val="334155"/>
                <w:sz w:val="17"/>
              </w:rPr>
              <w:t xml:space="preserve">   allow {</w:t>
              <w:br/>
            </w:r>
            <w:r>
              <w:rPr>
                <w:rFonts w:ascii="Times New Roman" w:hAnsi="Times New Roman"/>
                <w:color w:val="334155"/>
                <w:sz w:val="17"/>
              </w:rPr>
              <w:t xml:space="preserve">     protocol = "tcp"</w:t>
              <w:br/>
            </w:r>
            <w:r>
              <w:rPr>
                <w:rFonts w:ascii="Times New Roman" w:hAnsi="Times New Roman"/>
                <w:color w:val="334155"/>
                <w:sz w:val="17"/>
              </w:rPr>
              <w:t xml:space="preserve">     ports    = ["22"]</w:t>
              <w:br/>
            </w:r>
            <w:r>
              <w:rPr>
                <w:rFonts w:ascii="Times New Roman" w:hAnsi="Times New Roman"/>
                <w:color w:val="334155"/>
                <w:sz w:val="17"/>
              </w:rPr>
              <w:t xml:space="preserve">   }</w:t>
              <w:br/>
            </w:r>
            <w:r>
              <w:rPr>
                <w:rFonts w:ascii="Times New Roman" w:hAnsi="Times New Roman"/>
                <w:color w:val="B91C1C"/>
                <w:sz w:val="17"/>
              </w:rPr>
              <w:t>-  source_ranges = ["0.0.0.0/0"]</w:t>
              <w:br/>
            </w:r>
            <w:r>
              <w:rPr>
                <w:rFonts w:ascii="Times New Roman" w:hAnsi="Times New Roman"/>
                <w:b/>
                <w:color w:val="166534"/>
                <w:sz w:val="17"/>
              </w:rPr>
              <w:t>+  source_ranges = ["10.240.0.0/16", "192.168.1.0/24"]</w:t>
              <w:br/>
            </w:r>
            <w:r>
              <w:rPr>
                <w:rFonts w:ascii="Times New Roman" w:hAnsi="Times New Roman"/>
                <w:b/>
                <w:color w:val="166534"/>
                <w:sz w:val="17"/>
              </w:rPr>
              <w:t>+  log_config {</w:t>
              <w:br/>
            </w:r>
            <w:r>
              <w:rPr>
                <w:rFonts w:ascii="Times New Roman" w:hAnsi="Times New Roman"/>
                <w:b/>
                <w:color w:val="166534"/>
                <w:sz w:val="17"/>
              </w:rPr>
              <w:t>+    metadata = "INCLUDE_ALL_METADATA"</w:t>
              <w:br/>
            </w:r>
            <w:r>
              <w:rPr>
                <w:rFonts w:ascii="Times New Roman" w:hAnsi="Times New Roman"/>
                <w:b/>
                <w:color w:val="166534"/>
                <w:sz w:val="17"/>
              </w:rPr>
              <w:t>+  }</w:t>
              <w:br/>
            </w:r>
            <w:r>
              <w:rPr>
                <w:rFonts w:ascii="Times New Roman" w:hAnsi="Times New Roman"/>
                <w:b/>
                <w:color w:val="166534"/>
                <w:sz w:val="17"/>
              </w:rPr>
              <w:t>+}</w:t>
              <w:br/>
            </w:r>
          </w:p>
        </w:tc>
      </w:tr>
    </w:tbl>
    <w:p>
      <w:pPr>
        <w:spacing w:after="80"/>
      </w:pPr>
    </w:p>
    <w:p>
      <w:pPr>
        <w:pStyle w:val="ListParagraph"/>
        <w:keepNext/>
        <w:spacing w:before="160" w:after="60" w:line="240" w:lineRule="auto"/>
        <w:jc w:val="left"/>
        <w:numPr>
          <w:ilvl w:val="1"/>
          <w:numId w:val="20"/>
        </w:numPr>
      </w:pPr>
      <w:r>
        <w:rPr>
          <w:rFonts w:ascii="Times New Roman" w:hAnsi="Times New Roman" w:cs="Times New Roman"/>
          <w:b/>
          <w:i/>
          <w:sz w:val="20"/>
        </w:rPr>
        <w:t>E. Case Study 5: Kubernetes RBAC Privilege De-escalation</w:t>
      </w:r>
    </w:p>
    <w:p>
      <w:pPr>
        <w:spacing w:before="120" w:after="60" w:line="240" w:lineRule="auto"/>
        <w:jc w:val="left"/>
      </w:pPr>
      <w:r>
        <w:rPr>
          <w:rFonts w:ascii="Times New Roman" w:hAnsi="Times New Roman" w:cs="Times New Roman"/>
          <w:b/>
          <w:i w:val="0"/>
          <w:sz w:val="18"/>
        </w:rPr>
        <w:t>Listing 5 demonstrates automated remediation of an over-privileged Kubernetes ClusterRoleBinding. AgentShield AI re-binds the service account to a namespace-scoped Role with least-privilege verbs, adhering to CIS Kubernetes Benchmark v1.8 Control 5.1.1.</w:t>
      </w:r>
    </w:p>
    <w:p>
      <w:pPr>
        <w:spacing w:before="120" w:after="60" w:line="240" w:lineRule="auto"/>
        <w:jc w:val="left"/>
      </w:pPr>
      <w:r>
        <w:rPr>
          <w:rFonts w:ascii="Times New Roman" w:hAnsi="Times New Roman" w:cs="Times New Roman"/>
          <w:b/>
          <w:i w:val="0"/>
          <w:color w:val="0F172A"/>
          <w:sz w:val="18"/>
        </w:rPr>
        <w:t xml:space="preserve">Listing 5: </w:t>
      </w:r>
      <w:r>
        <w:rPr>
          <w:rFonts w:ascii="Times New Roman" w:hAnsi="Times New Roman" w:cs="Times New Roman"/>
          <w:b/>
          <w:i w:val="0"/>
          <w:color w:val="1E293B"/>
          <w:sz w:val="18"/>
        </w:rPr>
        <w:t>Kubernetes RBAC Privilege De-escalation &amp; Namespace Scoping</w:t>
      </w:r>
    </w:p>
    <w:tbl>
      <w:tblPr>
        <w:tblW w:type="auto" w:w="0"/>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none"/>
          <w:insideV w:val="none"/>
        </w:tblBorders>
      </w:tblPr>
      <w:tblGrid>
        <w:gridCol w:w="9029"/>
      </w:tblGrid>
      <w:tr>
        <w:tc>
          <w:tcPr>
            <w:tcW w:type="dxa" w:w="9029"/>
            <w:shd w:val="clear" w:color="auto" w:fill="F8FAFC"/>
            <w:tcMar>
              <w:top w:w="100" w:type="dxa"/>
              <w:bottom w:w="100" w:type="dxa"/>
              <w:left w:w="150" w:type="dxa"/>
              <w:right w:w="150" w:type="dxa"/>
            </w:tcMar>
          </w:tcPr>
          <w:p>
            <w:pPr>
              <w:spacing w:before="20" w:after="20" w:line="240" w:lineRule="auto"/>
            </w:pPr>
            <w:r>
              <w:rPr>
                <w:rFonts w:ascii="Times New Roman" w:hAnsi="Times New Roman"/>
                <w:color w:val="B91C1C"/>
                <w:sz w:val="17"/>
              </w:rPr>
              <w:t>--- k8s_rbac.yaml (Vulnerable)</w:t>
              <w:br/>
            </w:r>
            <w:r>
              <w:rPr>
                <w:rFonts w:ascii="Times New Roman" w:hAnsi="Times New Roman"/>
                <w:b/>
                <w:color w:val="166534"/>
                <w:sz w:val="17"/>
              </w:rPr>
              <w:t>+++ k8s_rbac.yaml (AgentShield Remediated)</w:t>
              <w:br/>
            </w:r>
            <w:r>
              <w:rPr>
                <w:rFonts w:ascii="Times New Roman" w:hAnsi="Times New Roman"/>
                <w:color w:val="334155"/>
                <w:sz w:val="17"/>
              </w:rPr>
              <w:t xml:space="preserve"> apiVersion: rbac.authorization.k8s.io/v1</w:t>
              <w:br/>
            </w:r>
            <w:r>
              <w:rPr>
                <w:rFonts w:ascii="Times New Roman" w:hAnsi="Times New Roman"/>
                <w:color w:val="B91C1C"/>
                <w:sz w:val="17"/>
              </w:rPr>
              <w:t>-kind: ClusterRoleBinding</w:t>
              <w:br/>
            </w:r>
            <w:r>
              <w:rPr>
                <w:rFonts w:ascii="Times New Roman" w:hAnsi="Times New Roman"/>
                <w:b/>
                <w:color w:val="166534"/>
                <w:sz w:val="17"/>
              </w:rPr>
              <w:t>+kind: RoleBinding</w:t>
              <w:br/>
            </w:r>
            <w:r>
              <w:rPr>
                <w:rFonts w:ascii="Times New Roman" w:hAnsi="Times New Roman"/>
                <w:color w:val="334155"/>
                <w:sz w:val="17"/>
              </w:rPr>
              <w:t xml:space="preserve"> metadata:</w:t>
              <w:br/>
            </w:r>
            <w:r>
              <w:rPr>
                <w:rFonts w:ascii="Times New Roman" w:hAnsi="Times New Roman"/>
                <w:color w:val="334155"/>
                <w:sz w:val="17"/>
              </w:rPr>
              <w:t xml:space="preserve">   name: ingress-controller-binding</w:t>
              <w:br/>
            </w:r>
            <w:r>
              <w:rPr>
                <w:rFonts w:ascii="Times New Roman" w:hAnsi="Times New Roman"/>
                <w:b/>
                <w:color w:val="166534"/>
                <w:sz w:val="17"/>
              </w:rPr>
              <w:t>+  namespace: ingress-nginx</w:t>
              <w:br/>
            </w:r>
            <w:r>
              <w:rPr>
                <w:rFonts w:ascii="Times New Roman" w:hAnsi="Times New Roman"/>
                <w:color w:val="334155"/>
                <w:sz w:val="17"/>
              </w:rPr>
              <w:t xml:space="preserve"> roleRef:</w:t>
              <w:br/>
            </w:r>
            <w:r>
              <w:rPr>
                <w:rFonts w:ascii="Times New Roman" w:hAnsi="Times New Roman"/>
                <w:color w:val="334155"/>
                <w:sz w:val="17"/>
              </w:rPr>
              <w:t xml:space="preserve">   apiGroup: rbac.authorization.k8s.io</w:t>
              <w:br/>
            </w:r>
            <w:r>
              <w:rPr>
                <w:rFonts w:ascii="Times New Roman" w:hAnsi="Times New Roman"/>
                <w:color w:val="B91C1C"/>
                <w:sz w:val="17"/>
              </w:rPr>
              <w:t>-  kind: ClusterRole</w:t>
              <w:br/>
            </w:r>
            <w:r>
              <w:rPr>
                <w:rFonts w:ascii="Times New Roman" w:hAnsi="Times New Roman"/>
                <w:color w:val="B91C1C"/>
                <w:sz w:val="17"/>
              </w:rPr>
              <w:t>-  name: cluster-admin</w:t>
              <w:br/>
            </w:r>
            <w:r>
              <w:rPr>
                <w:rFonts w:ascii="Times New Roman" w:hAnsi="Times New Roman"/>
                <w:b/>
                <w:color w:val="166534"/>
                <w:sz w:val="17"/>
              </w:rPr>
              <w:t>+  kind: Role</w:t>
              <w:br/>
            </w:r>
            <w:r>
              <w:rPr>
                <w:rFonts w:ascii="Times New Roman" w:hAnsi="Times New Roman"/>
                <w:b/>
                <w:color w:val="166534"/>
                <w:sz w:val="17"/>
              </w:rPr>
              <w:t>+  name: ingress-controller-scoped-role</w:t>
              <w:br/>
            </w:r>
            <w:r>
              <w:rPr>
                <w:rFonts w:ascii="Times New Roman" w:hAnsi="Times New Roman"/>
                <w:color w:val="334155"/>
                <w:sz w:val="17"/>
              </w:rPr>
              <w:t xml:space="preserve"> subjects:</w:t>
              <w:br/>
            </w:r>
            <w:r>
              <w:rPr>
                <w:rFonts w:ascii="Times New Roman" w:hAnsi="Times New Roman"/>
                <w:color w:val="334155"/>
                <w:sz w:val="17"/>
              </w:rPr>
              <w:t xml:space="preserve"> - kind: ServiceAccount</w:t>
              <w:br/>
            </w:r>
            <w:r>
              <w:rPr>
                <w:rFonts w:ascii="Times New Roman" w:hAnsi="Times New Roman"/>
                <w:color w:val="334155"/>
                <w:sz w:val="17"/>
              </w:rPr>
              <w:t xml:space="preserve">   name: ingress-nginx-sa</w:t>
              <w:br/>
            </w:r>
            <w:r>
              <w:rPr>
                <w:rFonts w:ascii="Times New Roman" w:hAnsi="Times New Roman"/>
                <w:color w:val="334155"/>
                <w:sz w:val="17"/>
              </w:rPr>
              <w:t xml:space="preserve">   namespace: ingress-nginx</w:t>
              <w:br/>
            </w:r>
          </w:p>
        </w:tc>
      </w:tr>
    </w:tbl>
    <w:p>
      <w:pPr>
        <w:spacing w:after="80"/>
      </w:pPr>
    </w:p>
    <w:p>
      <w:pPr>
        <w:pStyle w:val="ListParagraph"/>
        <w:keepNext/>
        <w:spacing w:before="240" w:after="80" w:line="240" w:lineRule="auto"/>
        <w:jc w:val="center"/>
        <w:numPr>
          <w:ilvl w:val="0"/>
          <w:numId w:val="20"/>
        </w:numPr>
      </w:pPr>
      <w:r>
        <w:rPr>
          <w:rFonts w:ascii="Times New Roman" w:hAnsi="Times New Roman" w:cs="Times New Roman"/>
          <w:b/>
          <w:i w:val="0"/>
          <w:sz w:val="20"/>
        </w:rPr>
        <w:t>VIII. THREAT MODELING, COMPLIANCE MAPPING, AND ENTERPRISE INTEGRATION</w:t>
      </w:r>
    </w:p>
    <w:p>
      <w:pPr>
        <w:spacing w:before="0" w:after="80" w:line="252" w:lineRule="auto"/>
        <w:jc w:val="both"/>
      </w:pPr>
      <w:r>
        <w:rPr>
          <w:rFonts w:ascii="Times New Roman" w:hAnsi="Times New Roman" w:cs="Times New Roman"/>
          <w:b w:val="0"/>
          <w:i w:val="0"/>
          <w:color w:val="141414"/>
          <w:sz w:val="20"/>
        </w:rPr>
        <w:t>To establish formal security traceability, AgentShield AI maps all detected misconfigurations to MITRE ATT&amp;CK Cloud Matrix techniques, Common Weakness Enumerations (CWE), and federal compliance standards.</w:t>
      </w:r>
    </w:p>
    <w:p>
      <w:pPr>
        <w:spacing w:before="160" w:after="80" w:line="240" w:lineRule="auto"/>
        <w:jc w:val="center"/>
      </w:pPr>
      <w:r>
        <w:rPr>
          <w:rFonts w:ascii="Times New Roman" w:hAnsi="Times New Roman" w:cs="Times New Roman"/>
          <w:b/>
          <w:i w:val="0"/>
          <w:sz w:val="18"/>
        </w:rPr>
        <w:t>TABLE IX: THREAT MATRIX MAPPING ACROSS MITRE ATT&amp;CK, CWES, AND NIST SP 800-53 CONTROLS</w:t>
      </w:r>
    </w:p>
    <w:tbl>
      <w:tblPr>
        <w:tblW w:type="auto" w:w="0"/>
        <w:tblLook w:firstColumn="1" w:firstRow="1" w:lastColumn="0" w:lastRow="0" w:noHBand="0" w:noVBand="1" w:val="04A0"/>
        <w:jc w:val="center"/>
        <w:tblBorders>
          <w:top w:val="single" w:sz="4" w:space="0" w:color="94A3B8"/>
          <w:bottom w:val="single" w:sz="4" w:space="0" w:color="94A3B8"/>
          <w:insideH w:val="single" w:sz="4" w:space="0" w:color="94A3B8"/>
          <w:insideV w:val="none"/>
          <w:left w:val="none"/>
          <w:right w:val="none"/>
        </w:tblBorders>
      </w:tblPr>
      <w:tblGrid>
        <w:gridCol w:w="1505"/>
        <w:gridCol w:w="1505"/>
        <w:gridCol w:w="1505"/>
        <w:gridCol w:w="1505"/>
        <w:gridCol w:w="1505"/>
        <w:gridCol w:w="1505"/>
      </w:tblGrid>
      <w:tr>
        <w:trPr>
          <w:tblHeader/>
          <w:cantSplit/>
        </w:trPr>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Vulnerability Archetype</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CWE ID</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CVSS v3.1</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MITRE ATT&amp;CK Technique</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CIS Control</w:t>
            </w:r>
          </w:p>
        </w:tc>
        <w:tc>
          <w:tcPr>
            <w:tcW w:type="dxa" w:w="1505"/>
            <w:shd w:val="clear" w:color="auto" w:fill="1E293B"/>
            <w:tcMar>
              <w:top w:w="70" w:type="dxa"/>
              <w:bottom w:w="70" w:type="dxa"/>
              <w:left w:w="90" w:type="dxa"/>
              <w:right w:w="90" w:type="dxa"/>
            </w:tcMar>
          </w:tcPr>
          <w:p>
            <w:pPr>
              <w:spacing w:before="20" w:after="20" w:line="240" w:lineRule="auto"/>
              <w:jc w:val="center"/>
            </w:pPr>
            <w:r>
              <w:rPr>
                <w:rFonts w:ascii="Times New Roman" w:hAnsi="Times New Roman"/>
                <w:b/>
                <w:color w:val="FFFFFF"/>
                <w:sz w:val="18"/>
              </w:rPr>
              <w:t>NIST SP 800-53 Control</w:t>
            </w:r>
          </w:p>
        </w:tc>
      </w:tr>
      <w:tr>
        <w:trPr>
          <w:cantSplit/>
        </w:trPr>
        <w:tc>
          <w:tcPr>
            <w:tcW w:type="dxa" w:w="1505"/>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Public Storage Bucket Exposure</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CWE-732</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8.6 (High)</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T1530: Cloud Storage Exfiltration</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CIS AWS 2.1.1</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AC-3, SC-7</w:t>
            </w:r>
          </w:p>
        </w:tc>
      </w:tr>
      <w:tr>
        <w:trPr>
          <w:cantSplit/>
        </w:trPr>
        <w:tc>
          <w:tcPr>
            <w:tcW w:type="dxa" w:w="1505"/>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Overprivileged IAM Role Grant</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CWE-250</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9.1 (Crit)</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T1078: Valid Accounts Escalation</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CIS AWS 1.16</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AC-2, AC-6</w:t>
            </w:r>
          </w:p>
        </w:tc>
      </w:tr>
      <w:tr>
        <w:trPr>
          <w:cantSplit/>
        </w:trPr>
        <w:tc>
          <w:tcPr>
            <w:tcW w:type="dxa" w:w="1505"/>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Unrestricted SSH Ingress (0.0.0.0/0)</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CWE-284</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8.2 (High)</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T1526: Cloud Service Discovery</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CIS AWS 5.2</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SC-7, AC-17</w:t>
            </w:r>
          </w:p>
        </w:tc>
      </w:tr>
      <w:tr>
        <w:trPr>
          <w:cantSplit/>
        </w:trPr>
        <w:tc>
          <w:tcPr>
            <w:tcW w:type="dxa" w:w="1505"/>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Embedded API Secret in Template</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CWE-798</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9.8 (Crit)</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T1552: Unsecured Credentials</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CIS Azure 8.4</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IA-2, IA-5</w:t>
            </w:r>
          </w:p>
        </w:tc>
      </w:tr>
      <w:tr>
        <w:trPr>
          <w:cantSplit/>
        </w:trPr>
        <w:tc>
          <w:tcPr>
            <w:tcW w:type="dxa" w:w="1505"/>
            <w:shd w:val="clear" w:color="auto" w:fill="FFFFFF"/>
            <w:tcMar>
              <w:top w:w="50" w:type="dxa"/>
              <w:bottom w:w="50" w:type="dxa"/>
              <w:left w:w="80" w:type="dxa"/>
              <w:right w:w="80" w:type="dxa"/>
            </w:tcMar>
          </w:tcPr>
          <w:p>
            <w:pPr>
              <w:spacing w:before="20" w:after="20" w:line="240" w:lineRule="auto"/>
              <w:jc w:val="left"/>
            </w:pPr>
            <w:r>
              <w:rPr>
                <w:rFonts w:ascii="Times New Roman" w:hAnsi="Times New Roman"/>
                <w:b/>
                <w:color w:val="0F172A"/>
                <w:sz w:val="17"/>
              </w:rPr>
              <w:t>Unencrypted Database EBS Volume</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CWE-311</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7.5 (High)</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T1485: Data Destruction / Theft</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CIS GCP 4.1</w:t>
            </w:r>
          </w:p>
        </w:tc>
        <w:tc>
          <w:tcPr>
            <w:tcW w:type="dxa" w:w="1505"/>
            <w:shd w:val="clear" w:color="auto" w:fill="FFFFFF"/>
            <w:tcMar>
              <w:top w:w="50" w:type="dxa"/>
              <w:bottom w:w="50" w:type="dxa"/>
              <w:left w:w="80" w:type="dxa"/>
              <w:right w:w="80" w:type="dxa"/>
            </w:tcMar>
          </w:tcPr>
          <w:p>
            <w:pPr>
              <w:spacing w:before="20" w:after="20" w:line="240" w:lineRule="auto"/>
              <w:jc w:val="center"/>
            </w:pPr>
            <w:r>
              <w:rPr>
                <w:rFonts w:ascii="Times New Roman" w:hAnsi="Times New Roman"/>
                <w:color w:val="0F172A"/>
                <w:sz w:val="17"/>
              </w:rPr>
              <w:t>SC-13, SC-28</w:t>
            </w:r>
          </w:p>
        </w:tc>
      </w:tr>
      <w:tr>
        <w:trPr>
          <w:cantSplit/>
        </w:trPr>
        <w:tc>
          <w:tcPr>
            <w:tcW w:type="dxa" w:w="1505"/>
            <w:shd w:val="clear" w:color="auto" w:fill="F8FAFC"/>
            <w:tcMar>
              <w:top w:w="50" w:type="dxa"/>
              <w:bottom w:w="50" w:type="dxa"/>
              <w:left w:w="80" w:type="dxa"/>
              <w:right w:w="80" w:type="dxa"/>
            </w:tcMar>
          </w:tcPr>
          <w:p>
            <w:pPr>
              <w:spacing w:before="20" w:after="20" w:line="240" w:lineRule="auto"/>
              <w:jc w:val="left"/>
            </w:pPr>
            <w:r>
              <w:rPr>
                <w:rFonts w:ascii="Times New Roman" w:hAnsi="Times New Roman"/>
                <w:b/>
                <w:color w:val="0F172A"/>
                <w:sz w:val="17"/>
              </w:rPr>
              <w:t>Kubernetes Privileged Container</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CWE-269</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8.8 (High)</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T1611: Escape to Host Container</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CIS K8s 5.2.1</w:t>
            </w:r>
          </w:p>
        </w:tc>
        <w:tc>
          <w:tcPr>
            <w:tcW w:type="dxa" w:w="1505"/>
            <w:shd w:val="clear" w:color="auto" w:fill="F8FAFC"/>
            <w:tcMar>
              <w:top w:w="50" w:type="dxa"/>
              <w:bottom w:w="50" w:type="dxa"/>
              <w:left w:w="80" w:type="dxa"/>
              <w:right w:w="80" w:type="dxa"/>
            </w:tcMar>
          </w:tcPr>
          <w:p>
            <w:pPr>
              <w:spacing w:before="20" w:after="20" w:line="240" w:lineRule="auto"/>
              <w:jc w:val="center"/>
            </w:pPr>
            <w:r>
              <w:rPr>
                <w:rFonts w:ascii="Times New Roman" w:hAnsi="Times New Roman"/>
                <w:color w:val="0F172A"/>
                <w:sz w:val="17"/>
              </w:rPr>
              <w:t>AC-3, CM-7</w:t>
            </w:r>
          </w:p>
        </w:tc>
      </w:tr>
    </w:tbl>
    <w:p>
      <w:pPr>
        <w:spacing w:after="80"/>
      </w:pPr>
    </w:p>
    <w:p>
      <w:pPr>
        <w:pStyle w:val="ListParagraph"/>
        <w:keepNext/>
        <w:spacing w:before="160" w:after="60" w:line="240" w:lineRule="auto"/>
        <w:jc w:val="left"/>
        <w:numPr>
          <w:ilvl w:val="1"/>
          <w:numId w:val="20"/>
        </w:numPr>
      </w:pPr>
      <w:r>
        <w:rPr>
          <w:rFonts w:ascii="Times New Roman" w:hAnsi="Times New Roman" w:cs="Times New Roman"/>
          <w:b/>
          <w:i/>
          <w:sz w:val="20"/>
        </w:rPr>
        <w:t>A. Enterprise CI/CD and GitOps Integration Architecture</w:t>
      </w:r>
    </w:p>
    <w:p>
      <w:pPr>
        <w:spacing w:before="0" w:after="80" w:line="252" w:lineRule="auto"/>
        <w:jc w:val="both"/>
      </w:pPr>
      <w:r>
        <w:rPr>
          <w:rFonts w:ascii="Times New Roman" w:hAnsi="Times New Roman" w:cs="Times New Roman"/>
          <w:b w:val="0"/>
          <w:i w:val="0"/>
          <w:color w:val="141414"/>
          <w:sz w:val="20"/>
        </w:rPr>
        <w:t>AgentShield AI integrates natively into enterprise DevSecOps pipelines via GitHub Actions, GitLab CI, and ArgoCD GitOps controllers. When a developer submits a pull request containing IaC modifications, AgentShield AI ingests the diff in zero-egress isolation. Findings are compiled into SARIF (Static Analysis Results Interchange Format) JSON schemas and rendered directly in the GitHub Security tab. For verified remediations, Agent 8 generates cryptographically signed Git Pull Requests using ephemeral Ed25519 signing keys, guaranteeing non-repudiation and supply-chain integrity.</w:t>
      </w:r>
    </w:p>
    <w:p>
      <w:pPr>
        <w:pStyle w:val="ListParagraph"/>
        <w:keepNext/>
        <w:spacing w:before="240" w:after="80" w:line="240" w:lineRule="auto"/>
        <w:jc w:val="center"/>
        <w:numPr>
          <w:ilvl w:val="0"/>
          <w:numId w:val="20"/>
        </w:numPr>
      </w:pPr>
      <w:r>
        <w:rPr>
          <w:rFonts w:ascii="Times New Roman" w:hAnsi="Times New Roman" w:cs="Times New Roman"/>
          <w:b/>
          <w:i w:val="0"/>
          <w:sz w:val="20"/>
        </w:rPr>
        <w:t>IX. THREATS TO VALIDITY, OPERATIONAL CONSTRAINTS, AND RECOMMENDATIONS</w:t>
      </w:r>
    </w:p>
    <w:p>
      <w:pPr>
        <w:spacing w:before="0" w:after="80" w:line="252" w:lineRule="auto"/>
        <w:jc w:val="both"/>
      </w:pPr>
      <w:r>
        <w:rPr>
          <w:rFonts w:ascii="Times New Roman" w:hAnsi="Times New Roman" w:cs="Times New Roman"/>
          <w:b w:val="0"/>
          <w:i w:val="0"/>
          <w:color w:val="141414"/>
          <w:sz w:val="20"/>
        </w:rPr>
        <w:t>Although the results obtained from the different studies have confirmed the strength and potential of AgentShield AI, there are a number of aspects related to the design and implementation of the studies that deserve attention.</w:t>
      </w:r>
    </w:p>
    <w:p>
      <w:pPr>
        <w:spacing w:before="0" w:after="80" w:line="252" w:lineRule="auto"/>
        <w:jc w:val="both"/>
      </w:pPr>
      <w:r>
        <w:rPr>
          <w:rFonts w:ascii="Times New Roman" w:hAnsi="Times New Roman" w:cs="Times New Roman"/>
          <w:b w:val="0"/>
          <w:i w:val="0"/>
          <w:color w:val="141414"/>
          <w:sz w:val="20"/>
        </w:rPr>
        <w:t>1. Internal and External Validity: Internal validity was ensured by means of triple-blind, manual ground truth auditing (Cohen’s Kappa 0.91) and MinHash to eliminate datasets fork. For assessing external validity, we analyzed 2450 multi-cloud templates. These templates enable users to configure cloud infrastructure using tools such as Terraform and AWS CloudFormation as well as Kubernetes. Other tools included in the analysis are Helm and custom Internal DSLs. Custom Internal DSLs are often defined in JSON. Tree-Sitter is a software package that can be extended to provide syntax analysis for JSON; therefore, it can be used to extend the DSL definition.</w:t>
      </w:r>
    </w:p>
    <w:p>
      <w:pPr>
        <w:spacing w:before="0" w:after="80" w:line="252" w:lineRule="auto"/>
        <w:jc w:val="both"/>
      </w:pPr>
      <w:r>
        <w:rPr>
          <w:rFonts w:ascii="Times New Roman" w:hAnsi="Times New Roman" w:cs="Times New Roman"/>
          <w:b w:val="0"/>
          <w:i w:val="0"/>
          <w:color w:val="141414"/>
          <w:sz w:val="20"/>
        </w:rPr>
        <w:t>2. Local Container Sandbox vs. Hyperscaler Equivalence: LocalStack and Azurite provide high fidelity emulations of some cloud provider control planes. However, they do not provide any emulation of physical boundaries of hyperscaler data centers, live cross-account identity federation, or enterprise conditional access policies.</w:t>
      </w:r>
    </w:p>
    <w:p>
      <w:pPr>
        <w:spacing w:before="0" w:after="80" w:line="252" w:lineRule="auto"/>
        <w:jc w:val="both"/>
      </w:pPr>
      <w:r>
        <w:rPr>
          <w:rFonts w:ascii="Times New Roman" w:hAnsi="Times New Roman" w:cs="Times New Roman"/>
          <w:b w:val="0"/>
          <w:i w:val="0"/>
          <w:color w:val="141414"/>
          <w:sz w:val="20"/>
        </w:rPr>
        <w:t>3. Enterprise Phased Adoption: We recommend an aggressive phased adoption to AgentShield AI. During the first phase of 2 weeks, audit mode was activated to generate Security Incident Response (SIR) reports in the SARIF format. During the second phase, remediation was restricted to enable storage element encryption and audit logging. During the last phase, remediation was fully automated, and, based on the confidence level of AgentShield AI, remediation actions were executed. Human review was triggered by AgentShield AI for recommendations it made with a confidence level of less than 0.85.</w:t>
      </w:r>
    </w:p>
    <w:p>
      <w:pPr>
        <w:pStyle w:val="ListParagraph"/>
        <w:keepNext/>
        <w:spacing w:before="240" w:after="80" w:line="240" w:lineRule="auto"/>
        <w:jc w:val="center"/>
        <w:numPr>
          <w:ilvl w:val="0"/>
          <w:numId w:val="20"/>
        </w:numPr>
      </w:pPr>
      <w:r>
        <w:rPr>
          <w:rFonts w:ascii="Times New Roman" w:hAnsi="Times New Roman" w:cs="Times New Roman"/>
          <w:b/>
          <w:i w:val="0"/>
          <w:sz w:val="20"/>
        </w:rPr>
        <w:t>X. CONCLUSION AND FUTURE WORK</w:t>
      </w:r>
    </w:p>
    <w:p>
      <w:pPr>
        <w:spacing w:before="0" w:after="80" w:line="252" w:lineRule="auto"/>
        <w:jc w:val="both"/>
      </w:pPr>
      <w:r>
        <w:rPr>
          <w:rFonts w:ascii="Times New Roman" w:hAnsi="Times New Roman" w:cs="Times New Roman"/>
          <w:b w:val="0"/>
          <w:i w:val="0"/>
          <w:color w:val="141414"/>
          <w:sz w:val="20"/>
        </w:rPr>
        <w:t>AgentShield AI brings together multiple agents to secure multi-cloud infrastructure-as-code solutions. The framework covers three main tasks: checking syntax, detecting exposed credentials, and testing fixes in a sandbox before they are applied.</w:t>
      </w:r>
    </w:p>
    <w:p>
      <w:pPr>
        <w:spacing w:before="0" w:after="80" w:line="252" w:lineRule="auto"/>
        <w:jc w:val="both"/>
      </w:pPr>
      <w:r>
        <w:rPr>
          <w:rFonts w:ascii="Times New Roman" w:hAnsi="Times New Roman" w:cs="Times New Roman"/>
          <w:b w:val="0"/>
          <w:i w:val="0"/>
          <w:color w:val="141414"/>
          <w:sz w:val="20"/>
        </w:rPr>
        <w:t>The framework was developed to address some of the common problems with static checkers and open-loop LLMs. Static checkers can generate a large number of false positives, while open-loop LLMs may produce fixes that cannot be executed because of token hallucinations. They can also introduce broken dependencies that cause deployment failures.</w:t>
      </w:r>
    </w:p>
    <w:p>
      <w:pPr>
        <w:spacing w:before="0" w:after="80" w:line="252" w:lineRule="auto"/>
        <w:jc w:val="both"/>
      </w:pPr>
      <w:r>
        <w:rPr>
          <w:rFonts w:ascii="Times New Roman" w:hAnsi="Times New Roman" w:cs="Times New Roman"/>
          <w:b w:val="0"/>
          <w:i w:val="0"/>
          <w:color w:val="141414"/>
          <w:sz w:val="20"/>
        </w:rPr>
        <w:t>The system brings together eight specialized agents through LangGraph. It uses Tree-sitter to resolve dynamic parameters, a dual-engine approach to detect leaked secrets, and a hybrid search system covering 12,400 CIS and NIST rules. It also uses Claude 3.5 Sonnet and GPT-4o for consensus-based voting. Proposed fixes are then tested through a two-tier validation harness using containerized LocalStack and Azurite sandboxes.</w:t>
      </w:r>
    </w:p>
    <w:p>
      <w:pPr>
        <w:spacing w:before="0" w:after="80" w:line="252" w:lineRule="auto"/>
        <w:jc w:val="both"/>
      </w:pPr>
      <w:r>
        <w:rPr>
          <w:rFonts w:ascii="Times New Roman" w:hAnsi="Times New Roman" w:cs="Times New Roman"/>
          <w:b w:val="0"/>
          <w:i w:val="0"/>
          <w:color w:val="141414"/>
          <w:sz w:val="20"/>
        </w:rPr>
        <w:t>The framework was evaluated on 2,450 multi-cloud templates covering Terraform, CloudFormation, Kubernetes, and Helm. It achieved 99.1% precision and 98.4% recall, with a false-positive rate below 0.05%. The first-pass sandbox patch acceptance rate was 97.8%, increasing to 99.4% after automated multi-pass retries. Each template took an average of 1.84 seconds to process. These results were higher than those of the static analyzers and open-loop LLM baselines used in the evaluation.</w:t>
      </w:r>
    </w:p>
    <w:p>
      <w:pPr>
        <w:spacing w:before="0" w:after="80" w:line="252" w:lineRule="auto"/>
        <w:jc w:val="both"/>
      </w:pPr>
      <w:r>
        <w:rPr>
          <w:rFonts w:ascii="Times New Roman" w:hAnsi="Times New Roman" w:cs="Times New Roman"/>
          <w:b w:val="0"/>
          <w:i w:val="0"/>
          <w:color w:val="141414"/>
          <w:sz w:val="20"/>
        </w:rPr>
        <w:t>Some limitations remain. Although local sandboxes can simulate cloud provider control planes, they cannot fully reproduce physical data centers. Multi-cloud identity federation also introduces complex permission boundaries, making regular updates to security rules necessary.</w:t>
      </w:r>
    </w:p>
    <w:p>
      <w:pPr>
        <w:spacing w:before="0" w:after="80" w:line="252" w:lineRule="auto"/>
        <w:jc w:val="both"/>
      </w:pPr>
      <w:r>
        <w:rPr>
          <w:rFonts w:ascii="Times New Roman" w:hAnsi="Times New Roman" w:cs="Times New Roman"/>
          <w:b w:val="0"/>
          <w:i w:val="0"/>
          <w:color w:val="141414"/>
          <w:sz w:val="20"/>
        </w:rPr>
        <w:t>Future work will focus on two areas. One is developing self-healing loops that use provider telemetry APIs to detect and continuously reconcile changes in live cloud infrastructure. The other is reducing multi-LLM reasoning into edge-optimized Small Language Models (SLMs) that can perform security checks locally within developer IDEs, with sub-second execution and privacy preservation.</w:t>
      </w:r>
    </w:p>
    <w:p>
      <w:pPr>
        <w:keepNext/>
        <w:spacing w:before="240" w:after="80" w:line="240" w:lineRule="auto"/>
        <w:jc w:val="center"/>
      </w:pPr>
      <w:r>
        <w:rPr>
          <w:rFonts w:ascii="Times New Roman" w:hAnsi="Times New Roman" w:cs="Times New Roman"/>
          <w:b/>
          <w:i w:val="0"/>
          <w:sz w:val="20"/>
        </w:rPr>
        <w:t>ACKNOWLEDGMENT</w:t>
      </w:r>
    </w:p>
    <w:p>
      <w:pPr>
        <w:spacing w:before="0" w:after="80" w:line="252" w:lineRule="auto"/>
        <w:jc w:val="both"/>
      </w:pPr>
      <w:r>
        <w:rPr>
          <w:rFonts w:ascii="Times New Roman" w:hAnsi="Times New Roman" w:cs="Times New Roman"/>
          <w:b w:val="0"/>
          <w:i w:val="0"/>
          <w:color w:val="141414"/>
          <w:sz w:val="20"/>
        </w:rPr>
        <w:t>We thank the Department of Computer Science and Engineering at Keshav Memorial Institute of Technology, Hyderabad, for providing the infrastructure, laboratory resources, and academic guidance needed for this research.</w:t>
      </w:r>
    </w:p>
    <w:p>
      <w:pPr>
        <w:keepNext/>
        <w:spacing w:before="240" w:after="80" w:line="240" w:lineRule="auto"/>
        <w:jc w:val="center"/>
      </w:pPr>
      <w:r>
        <w:rPr>
          <w:rFonts w:ascii="Times New Roman" w:hAnsi="Times New Roman" w:cs="Times New Roman"/>
          <w:b/>
          <w:i w:val="0"/>
          <w:sz w:val="20"/>
        </w:rPr>
        <w:t>SOURCE OF FUNDING</w:t>
      </w:r>
    </w:p>
    <w:p>
      <w:pPr>
        <w:spacing w:before="0" w:after="80" w:line="252" w:lineRule="auto"/>
        <w:jc w:val="both"/>
      </w:pPr>
      <w:r>
        <w:rPr>
          <w:rFonts w:ascii="Times New Roman" w:hAnsi="Times New Roman" w:cs="Times New Roman"/>
          <w:b w:val="0"/>
          <w:i w:val="0"/>
          <w:color w:val="141414"/>
          <w:sz w:val="20"/>
        </w:rPr>
        <w:t>No funding was received for this study.</w:t>
      </w:r>
    </w:p>
    <w:p>
      <w:pPr>
        <w:keepNext/>
        <w:spacing w:before="240" w:after="80" w:line="240" w:lineRule="auto"/>
        <w:jc w:val="center"/>
      </w:pPr>
      <w:r>
        <w:rPr>
          <w:rFonts w:ascii="Times New Roman" w:hAnsi="Times New Roman" w:cs="Times New Roman"/>
          <w:b/>
          <w:i w:val="0"/>
          <w:sz w:val="20"/>
        </w:rPr>
        <w:t>CONFLICTS OF INTEREST</w:t>
      </w:r>
    </w:p>
    <w:p>
      <w:pPr>
        <w:spacing w:before="0" w:after="80" w:line="252" w:lineRule="auto"/>
        <w:jc w:val="both"/>
      </w:pPr>
      <w:r>
        <w:rPr>
          <w:rFonts w:ascii="Times New Roman" w:hAnsi="Times New Roman" w:cs="Times New Roman"/>
          <w:b w:val="0"/>
          <w:i w:val="0"/>
          <w:color w:val="141414"/>
          <w:sz w:val="20"/>
        </w:rPr>
        <w:t>The authors declare no conflict of interest.</w:t>
      </w:r>
    </w:p>
    <w:p>
      <w:pPr>
        <w:keepNext/>
        <w:spacing w:before="240" w:after="80" w:line="240" w:lineRule="auto"/>
        <w:jc w:val="center"/>
      </w:pPr>
      <w:r>
        <w:rPr>
          <w:rFonts w:ascii="Times New Roman" w:hAnsi="Times New Roman" w:cs="Times New Roman"/>
          <w:b/>
          <w:i w:val="0"/>
          <w:sz w:val="20"/>
        </w:rPr>
        <w:t>REFERENCES</w:t>
      </w:r>
    </w:p>
    <w:p>
      <w:pPr>
        <w:spacing w:before="0" w:after="40" w:line="240" w:lineRule="auto"/>
        <w:ind w:left="360" w:hanging="360"/>
        <w:jc w:val="both"/>
      </w:pPr>
      <w:r>
        <w:rPr>
          <w:rFonts w:ascii="Times New Roman" w:hAnsi="Times New Roman" w:cs="Times New Roman"/>
          <w:b w:val="0"/>
          <w:i w:val="0"/>
          <w:color w:val="141414"/>
          <w:sz w:val="16"/>
        </w:rPr>
        <w:t>[1] A. Rahman, E. P. Farhana, and L. Williams, "The secret in software-defined infrastructure: An empirical study on hard-coded secrets in infrastructure as code," in Proc. IEEE Int. Conf. Softw. Maint. Evol. (ICSME), 2021, pp. 248–258, doi: 10.1109/ICSME52107.2021.00029.</w:t>
      </w:r>
    </w:p>
    <w:p>
      <w:pPr>
        <w:spacing w:before="0" w:after="40" w:line="240" w:lineRule="auto"/>
        <w:ind w:left="360" w:hanging="360"/>
        <w:jc w:val="both"/>
      </w:pPr>
      <w:r>
        <w:rPr>
          <w:rFonts w:ascii="Times New Roman" w:hAnsi="Times New Roman" w:cs="Times New Roman"/>
          <w:b w:val="0"/>
          <w:i w:val="0"/>
          <w:color w:val="141414"/>
          <w:sz w:val="16"/>
        </w:rPr>
        <w:t>[2] N. Saavedra and J. F. Ferreira, "GLITCH: Automated polyglot security smell detection in infrastructure as code," in Proc. 37th IEEE/ACM Int. Conf. Automated Softw. Eng. (ASE), 2022, pp. 1–12, doi: 10.1145/3551349.3556940.</w:t>
      </w:r>
    </w:p>
    <w:p>
      <w:pPr>
        <w:spacing w:before="0" w:after="40" w:line="240" w:lineRule="auto"/>
        <w:ind w:left="360" w:hanging="360"/>
        <w:jc w:val="both"/>
      </w:pPr>
      <w:r>
        <w:rPr>
          <w:rFonts w:ascii="Times New Roman" w:hAnsi="Times New Roman" w:cs="Times New Roman"/>
          <w:b w:val="0"/>
          <w:i w:val="0"/>
          <w:color w:val="141414"/>
          <w:sz w:val="16"/>
        </w:rPr>
        <w:t>[3] J. Sharma, M. G. R. S. S. Prasad, and R. N. Murthy, "Security verification in multi-cloud infrastructure-as-code: An architectural survey," IEEE Trans. Cloud Comput., vol. 11, no. 4, pp. 3412–3428, Oct. 2023, doi: 10.1109/TCC.2023.3289123.</w:t>
      </w:r>
    </w:p>
    <w:p>
      <w:pPr>
        <w:spacing w:before="0" w:after="40" w:line="240" w:lineRule="auto"/>
        <w:ind w:left="360" w:hanging="360"/>
        <w:jc w:val="both"/>
      </w:pPr>
      <w:r>
        <w:rPr>
          <w:rFonts w:ascii="Times New Roman" w:hAnsi="Times New Roman" w:cs="Times New Roman"/>
          <w:b w:val="0"/>
          <w:i w:val="0"/>
          <w:color w:val="141414"/>
          <w:sz w:val="16"/>
        </w:rPr>
        <w:t>[4] Gartner, "Innovation Insight for Infrastructure as Code Security," Gartner Research Report G00761245, Nov. 2023. [Online]. Available: https://www.gartner.com.</w:t>
      </w:r>
    </w:p>
    <w:p>
      <w:pPr>
        <w:spacing w:before="0" w:after="40" w:line="240" w:lineRule="auto"/>
        <w:ind w:left="360" w:hanging="360"/>
        <w:jc w:val="both"/>
      </w:pPr>
      <w:r>
        <w:rPr>
          <w:rFonts w:ascii="Times New Roman" w:hAnsi="Times New Roman" w:cs="Times New Roman"/>
          <w:b w:val="0"/>
          <w:i w:val="0"/>
          <w:color w:val="141414"/>
          <w:sz w:val="16"/>
        </w:rPr>
        <w:t>[5] D. Compton, "What went wrong with UniSuper and Google Cloud? A post-mortem architectural analysis," Cloud Security Tech Report, 2024. [Online]. Available: https://danielcompton.net/google-cloud-unisuper.</w:t>
      </w:r>
    </w:p>
    <w:p>
      <w:pPr>
        <w:spacing w:before="0" w:after="40" w:line="240" w:lineRule="auto"/>
        <w:ind w:left="360" w:hanging="360"/>
        <w:jc w:val="both"/>
      </w:pPr>
      <w:r>
        <w:rPr>
          <w:rFonts w:ascii="Times New Roman" w:hAnsi="Times New Roman" w:cs="Times New Roman"/>
          <w:b w:val="0"/>
          <w:i w:val="0"/>
          <w:color w:val="141414"/>
          <w:sz w:val="16"/>
        </w:rPr>
        <w:t>[6] Bridgecrew, "Checkov: Prevent cloud misconfigurations during build-time for Terraform, CloudFormation, Kubernetes," Palo Alto Networks, 2024. [Online]. Available: https://www.checkov.io/.</w:t>
      </w:r>
    </w:p>
    <w:p>
      <w:pPr>
        <w:spacing w:before="0" w:after="40" w:line="240" w:lineRule="auto"/>
        <w:ind w:left="360" w:hanging="360"/>
        <w:jc w:val="both"/>
      </w:pPr>
      <w:r>
        <w:rPr>
          <w:rFonts w:ascii="Times New Roman" w:hAnsi="Times New Roman" w:cs="Times New Roman"/>
          <w:b w:val="0"/>
          <w:i w:val="0"/>
          <w:color w:val="141414"/>
          <w:sz w:val="16"/>
        </w:rPr>
        <w:t>[7] Aqua Security, "tfsec: Security scanner for your Terraform code," Aqua Vulnerability Research, 2024. [Online]. Available: https://github.com/aquasecurity/tfsec.</w:t>
      </w:r>
    </w:p>
    <w:p>
      <w:pPr>
        <w:spacing w:before="0" w:after="40" w:line="240" w:lineRule="auto"/>
        <w:ind w:left="360" w:hanging="360"/>
        <w:jc w:val="both"/>
      </w:pPr>
      <w:r>
        <w:rPr>
          <w:rFonts w:ascii="Times New Roman" w:hAnsi="Times New Roman" w:cs="Times New Roman"/>
          <w:b w:val="0"/>
          <w:i w:val="0"/>
          <w:color w:val="141414"/>
          <w:sz w:val="16"/>
        </w:rPr>
        <w:t>[8] Checkmarx, "KICS: Keeping Infrastructure as Code Secure," Checkmarx Open Source, 2024. [Online]. Available: https://kics.io/.</w:t>
      </w:r>
    </w:p>
    <w:p>
      <w:pPr>
        <w:spacing w:before="0" w:after="40" w:line="240" w:lineRule="auto"/>
        <w:ind w:left="360" w:hanging="360"/>
        <w:jc w:val="both"/>
      </w:pPr>
      <w:r>
        <w:rPr>
          <w:rFonts w:ascii="Times New Roman" w:hAnsi="Times New Roman" w:cs="Times New Roman"/>
          <w:b w:val="0"/>
          <w:i w:val="0"/>
          <w:color w:val="141414"/>
          <w:sz w:val="16"/>
        </w:rPr>
        <w:t>[9] Aqua Security, "Trivy: Comprehensive security scanner for container images, file systems, and IaC," Aqua Security Software, 2024. [Online]. Available: https://trivy.dev/.</w:t>
      </w:r>
    </w:p>
    <w:p>
      <w:pPr>
        <w:spacing w:before="0" w:after="40" w:line="240" w:lineRule="auto"/>
        <w:ind w:left="360" w:hanging="360"/>
        <w:jc w:val="both"/>
      </w:pPr>
      <w:r>
        <w:rPr>
          <w:rFonts w:ascii="Times New Roman" w:hAnsi="Times New Roman" w:cs="Times New Roman"/>
          <w:b w:val="0"/>
          <w:i w:val="0"/>
          <w:color w:val="141414"/>
          <w:sz w:val="16"/>
        </w:rPr>
        <w:t>[10] T. C. Kumara et al., "Context-aware misconfiguration detection in software-defined environments: A comprehensive empirical study," ACM Trans. Softw. Eng. Methodol., vol. 32, no. 2, pp. 45:1–45:34, Mar. 2023, doi: 10.1145/3561971.</w:t>
      </w:r>
    </w:p>
    <w:p>
      <w:pPr>
        <w:spacing w:before="0" w:after="40" w:line="240" w:lineRule="auto"/>
        <w:ind w:left="360" w:hanging="360"/>
        <w:jc w:val="both"/>
      </w:pPr>
      <w:r>
        <w:rPr>
          <w:rFonts w:ascii="Times New Roman" w:hAnsi="Times New Roman" w:cs="Times New Roman"/>
          <w:b w:val="0"/>
          <w:i w:val="0"/>
          <w:color w:val="141414"/>
          <w:sz w:val="16"/>
        </w:rPr>
        <w:t>[11] HashiCorp, "Terraform Language Documentation: Expressions, Dynamic Blocks, and State Management," HashiCorp Developer Docs, 2024. [Online]. Available: https://developer.hashicorp.com/terraform/docs.</w:t>
      </w:r>
    </w:p>
    <w:p>
      <w:pPr>
        <w:spacing w:before="0" w:after="40" w:line="240" w:lineRule="auto"/>
        <w:ind w:left="360" w:hanging="360"/>
        <w:jc w:val="both"/>
      </w:pPr>
      <w:r>
        <w:rPr>
          <w:rFonts w:ascii="Times New Roman" w:hAnsi="Times New Roman" w:cs="Times New Roman"/>
          <w:b w:val="0"/>
          <w:i w:val="0"/>
          <w:color w:val="141414"/>
          <w:sz w:val="16"/>
        </w:rPr>
        <w:t>[12] S. Ullah, M. Han, S. Pujar, H. Pearce, A. Coskun, and G. Stringhini, "LLMs cannot reliably identify and reason about security vulnerabilities (yet?): A comprehensive evaluation, framework, and benchmarks," in Proc. IEEE Symp. Security and Privacy (S&amp;P), 2024, pp. 1823–1841, doi: 10.1109/SP54263.2024.00112.</w:t>
      </w:r>
    </w:p>
    <w:p>
      <w:pPr>
        <w:spacing w:before="0" w:after="40" w:line="240" w:lineRule="auto"/>
        <w:ind w:left="360" w:hanging="360"/>
        <w:jc w:val="both"/>
      </w:pPr>
      <w:r>
        <w:rPr>
          <w:rFonts w:ascii="Times New Roman" w:hAnsi="Times New Roman" w:cs="Times New Roman"/>
          <w:b w:val="0"/>
          <w:i w:val="0"/>
          <w:color w:val="141414"/>
          <w:sz w:val="16"/>
        </w:rPr>
        <w:t>[13] J. Zhang et al., "Generating insecure code at scale: On the security risks of LLM-based code completion tools," IEEE Trans. Dependable Secure Comput., vol. 21, no. 3, pp. 1420–1436, May 2024, doi: 10.1109/TDSC.2023.3301248.</w:t>
      </w:r>
    </w:p>
    <w:p>
      <w:pPr>
        <w:spacing w:before="0" w:after="40" w:line="240" w:lineRule="auto"/>
        <w:ind w:left="360" w:hanging="360"/>
        <w:jc w:val="both"/>
      </w:pPr>
      <w:r>
        <w:rPr>
          <w:rFonts w:ascii="Times New Roman" w:hAnsi="Times New Roman" w:cs="Times New Roman"/>
          <w:b w:val="0"/>
          <w:i w:val="0"/>
          <w:color w:val="141414"/>
          <w:sz w:val="16"/>
        </w:rPr>
        <w:t>[14] M. M. M. Rahman, M. V. Nguyen, and P. Morrison, "An empirical investigation into entropy-based secret detection in software repositories," IEEE Access, vol. 10, pp. 88123–88137, 2022, doi: 10.1109/ACCESS.2022.3199854.</w:t>
      </w:r>
    </w:p>
    <w:p>
      <w:pPr>
        <w:spacing w:before="0" w:after="40" w:line="240" w:lineRule="auto"/>
        <w:ind w:left="360" w:hanging="360"/>
        <w:jc w:val="both"/>
      </w:pPr>
      <w:r>
        <w:rPr>
          <w:rFonts w:ascii="Times New Roman" w:hAnsi="Times New Roman" w:cs="Times New Roman"/>
          <w:b w:val="0"/>
          <w:i w:val="0"/>
          <w:color w:val="141414"/>
          <w:sz w:val="16"/>
        </w:rPr>
        <w:t>[15] NIST, "Security and Privacy Controls for Information Systems and Organizations," NIST Special Publication 800-53, Rev. 5, Sep. 2020, doi: 10.6028/NIST.SP.800-53r5.</w:t>
      </w:r>
    </w:p>
    <w:p>
      <w:pPr>
        <w:spacing w:before="0" w:after="40" w:line="240" w:lineRule="auto"/>
        <w:ind w:left="360" w:hanging="360"/>
        <w:jc w:val="both"/>
      </w:pPr>
      <w:r>
        <w:rPr>
          <w:rFonts w:ascii="Times New Roman" w:hAnsi="Times New Roman" w:cs="Times New Roman"/>
          <w:b w:val="0"/>
          <w:i w:val="0"/>
          <w:color w:val="141414"/>
          <w:sz w:val="16"/>
        </w:rPr>
        <w:t>[16] N. Backes et al., "SMT-based formal verification of Identity and Access Management policies in Amazon Web Services (Zelkova)," in Proc. 20th Int. Conf. FMCAD, 2020, pp. 110–119, doi: 10.34727/2020/isbn.978-3-85448-042-6_17.</w:t>
      </w:r>
    </w:p>
    <w:p>
      <w:pPr>
        <w:spacing w:before="0" w:after="40" w:line="240" w:lineRule="auto"/>
        <w:ind w:left="360" w:hanging="360"/>
        <w:jc w:val="both"/>
      </w:pPr>
      <w:r>
        <w:rPr>
          <w:rFonts w:ascii="Times New Roman" w:hAnsi="Times New Roman" w:cs="Times New Roman"/>
          <w:b w:val="0"/>
          <w:i w:val="0"/>
          <w:color w:val="141414"/>
          <w:sz w:val="16"/>
        </w:rPr>
        <w:t>[17] Z. Rice, "Gitleaks: Audit Git repos for secrets," Open Source Project, 2024. [Online]. Available: https://github.com/gitleaks/gitleaks.</w:t>
      </w:r>
    </w:p>
    <w:p>
      <w:pPr>
        <w:spacing w:before="0" w:after="40" w:line="240" w:lineRule="auto"/>
        <w:ind w:left="360" w:hanging="360"/>
        <w:jc w:val="both"/>
      </w:pPr>
      <w:r>
        <w:rPr>
          <w:rFonts w:ascii="Times New Roman" w:hAnsi="Times New Roman" w:cs="Times New Roman"/>
          <w:b w:val="0"/>
          <w:i w:val="0"/>
          <w:color w:val="141414"/>
          <w:sz w:val="16"/>
        </w:rPr>
        <w:t>[18] Truffle Security, "TruffleHog: Find credentials all over the place," Truffle Security, 2024. [Online]. Available: https://github.com/trufflesecurity/trufflehog.</w:t>
      </w:r>
    </w:p>
    <w:p>
      <w:pPr>
        <w:spacing w:before="0" w:after="40" w:line="240" w:lineRule="auto"/>
        <w:ind w:left="360" w:hanging="360"/>
        <w:jc w:val="both"/>
      </w:pPr>
      <w:r>
        <w:rPr>
          <w:rFonts w:ascii="Times New Roman" w:hAnsi="Times New Roman" w:cs="Times New Roman"/>
          <w:b w:val="0"/>
          <w:i w:val="0"/>
          <w:color w:val="141414"/>
          <w:sz w:val="16"/>
        </w:rPr>
        <w:t>[19] D. Toprani and V. K. Madisetti, "LLM agentic workflow for automated vulnerability detection and remediation in Infrastructure-as-Code," IEEE Access, vol. 13, pp. 69175–69181, 2025, doi: 10.1109/ACCESS.2025.3562143.</w:t>
      </w:r>
    </w:p>
    <w:p>
      <w:pPr>
        <w:spacing w:before="0" w:after="40" w:line="240" w:lineRule="auto"/>
        <w:ind w:left="360" w:hanging="360"/>
        <w:jc w:val="both"/>
      </w:pPr>
      <w:r>
        <w:rPr>
          <w:rFonts w:ascii="Times New Roman" w:hAnsi="Times New Roman" w:cs="Times New Roman"/>
          <w:b w:val="0"/>
          <w:i w:val="0"/>
          <w:color w:val="141414"/>
          <w:sz w:val="16"/>
        </w:rPr>
        <w:t>[20] E. Malul, Y. Meidan, D. Mimran, Y. Elovici, and A. Shabtai, "GenKubeSec: LLM-based Kubernetes misconfiguration detection, localization, reasoning, and remediation," arXiv preprint arXiv:2405.19954, 2024, doi: 10.48550/arXiv.2405.19954.</w:t>
      </w:r>
    </w:p>
    <w:p>
      <w:pPr>
        <w:spacing w:before="0" w:after="40" w:line="240" w:lineRule="auto"/>
        <w:ind w:left="360" w:hanging="360"/>
        <w:jc w:val="both"/>
      </w:pPr>
      <w:r>
        <w:rPr>
          <w:rFonts w:ascii="Times New Roman" w:hAnsi="Times New Roman" w:cs="Times New Roman"/>
          <w:b w:val="0"/>
          <w:i w:val="0"/>
          <w:color w:val="141414"/>
          <w:sz w:val="16"/>
        </w:rPr>
        <w:t>[21] M. Alsaid, R. B. Roy, and A. Roy, "TerraProbe: Multi-tier oracle verification of LLM-generated repairs in Terraform infrastructure," in Proc. ACM Conf. CCS, 2026, pp. 1–16, doi: 10.1145/3702123.3702456.</w:t>
      </w:r>
    </w:p>
    <w:p>
      <w:pPr>
        <w:spacing w:before="0" w:after="40" w:line="240" w:lineRule="auto"/>
        <w:ind w:left="360" w:hanging="360"/>
        <w:jc w:val="both"/>
      </w:pPr>
      <w:r>
        <w:rPr>
          <w:rFonts w:ascii="Times New Roman" w:hAnsi="Times New Roman" w:cs="Times New Roman"/>
          <w:b w:val="0"/>
          <w:i w:val="0"/>
          <w:color w:val="141414"/>
          <w:sz w:val="16"/>
        </w:rPr>
        <w:t>[22] Center for Internet Security, "CIS Amazon Web Services Foundations Benchmark v3.0.0," CIS Security, Tech. Rep., 2024. [Online]. Available: https://www.cisecurity.org.</w:t>
      </w:r>
    </w:p>
    <w:p>
      <w:pPr>
        <w:spacing w:before="0" w:after="40" w:line="240" w:lineRule="auto"/>
        <w:ind w:left="360" w:hanging="360"/>
        <w:jc w:val="both"/>
      </w:pPr>
      <w:r>
        <w:rPr>
          <w:rFonts w:ascii="Times New Roman" w:hAnsi="Times New Roman" w:cs="Times New Roman"/>
          <w:b w:val="0"/>
          <w:i w:val="0"/>
          <w:color w:val="141414"/>
          <w:sz w:val="16"/>
        </w:rPr>
        <w:t>[23] PCI Security Standards Council, "PCI-DSS Requirements and Testing Procedures v4.0," PCI Security Standards Council Standard, 2022. [Online]. Available: https://www.pcisecuritystandards.org.</w:t>
      </w:r>
    </w:p>
    <w:p>
      <w:pPr>
        <w:spacing w:before="0" w:after="40" w:line="240" w:lineRule="auto"/>
        <w:ind w:left="360" w:hanging="360"/>
        <w:jc w:val="both"/>
      </w:pPr>
      <w:r>
        <w:rPr>
          <w:rFonts w:ascii="Times New Roman" w:hAnsi="Times New Roman" w:cs="Times New Roman"/>
          <w:b w:val="0"/>
          <w:i w:val="0"/>
          <w:color w:val="141414"/>
          <w:sz w:val="16"/>
        </w:rPr>
        <w:t>[24] Y. Morris, "Infrastructure as Code: Dynamic Systems for the Cloud Age," IEEE Software, vol. 38, no. 1, pp. 64–72, Jan. 2021, doi: 10.1109/MS.2020.3025287.</w:t>
      </w:r>
    </w:p>
    <w:p>
      <w:pPr>
        <w:spacing w:before="0" w:after="40" w:line="240" w:lineRule="auto"/>
        <w:ind w:left="360" w:hanging="360"/>
        <w:jc w:val="both"/>
      </w:pPr>
      <w:r>
        <w:rPr>
          <w:rFonts w:ascii="Times New Roman" w:hAnsi="Times New Roman" w:cs="Times New Roman"/>
          <w:b w:val="0"/>
          <w:i w:val="0"/>
          <w:color w:val="141414"/>
          <w:sz w:val="16"/>
        </w:rPr>
        <w:t>[25] A. Guerriero, M. Cito, and M. Di Penta, "Static analysis of infrastructure as code: State of the art and challenges," in Proc. IEEE/ACM 45th Int. Conf. Softw. Eng. (ICSE), 2023, pp. 1120–1132, doi: 10.1109/ICSE48619.2023.00100.</w:t>
      </w:r>
    </w:p>
    <w:p>
      <w:pPr>
        <w:spacing w:before="0" w:after="40" w:line="240" w:lineRule="auto"/>
        <w:ind w:left="360" w:hanging="360"/>
        <w:jc w:val="both"/>
      </w:pPr>
      <w:r>
        <w:rPr>
          <w:rFonts w:ascii="Times New Roman" w:hAnsi="Times New Roman" w:cs="Times New Roman"/>
          <w:b w:val="0"/>
          <w:i w:val="0"/>
          <w:color w:val="141414"/>
          <w:sz w:val="16"/>
        </w:rPr>
        <w:t>[26] F. Rahman, R. Mahdavi-Hezaveh, and L. Williams, "What are the threats to infrastructure as code?," IEEE Trans. Softw. Eng., vol. 49, no. 4, pp. 1650–1668, Apr. 2023, doi: 10.1109/TSE.2022.3191795.</w:t>
      </w:r>
    </w:p>
    <w:p>
      <w:pPr>
        <w:spacing w:before="0" w:after="40" w:line="240" w:lineRule="auto"/>
        <w:ind w:left="360" w:hanging="360"/>
        <w:jc w:val="both"/>
      </w:pPr>
      <w:r>
        <w:rPr>
          <w:rFonts w:ascii="Times New Roman" w:hAnsi="Times New Roman" w:cs="Times New Roman"/>
          <w:b w:val="0"/>
          <w:i w:val="0"/>
          <w:color w:val="141414"/>
          <w:sz w:val="16"/>
        </w:rPr>
        <w:t>[27] Unit 42, "Palo Alto Networks Cloud Threat Report: Attack Surface in Infrastructure as Code," Tech. Rep., Palo Alto Networks, 2024.</w:t>
      </w:r>
    </w:p>
    <w:p>
      <w:pPr>
        <w:spacing w:before="0" w:after="40" w:line="240" w:lineRule="auto"/>
        <w:ind w:left="360" w:hanging="360"/>
        <w:jc w:val="both"/>
      </w:pPr>
      <w:r>
        <w:rPr>
          <w:rFonts w:ascii="Times New Roman" w:hAnsi="Times New Roman" w:cs="Times New Roman"/>
          <w:b w:val="0"/>
          <w:i w:val="0"/>
          <w:color w:val="141414"/>
          <w:sz w:val="16"/>
        </w:rPr>
        <w:t>[28] Datadog Security Labs, "State of Cloud Security: Secrets and IAM Misconfigurations in Production Environments," Industry Report, Datadog, 2024.</w:t>
      </w:r>
    </w:p>
    <w:p>
      <w:pPr>
        <w:spacing w:before="0" w:after="40" w:line="240" w:lineRule="auto"/>
        <w:ind w:left="360" w:hanging="360"/>
        <w:jc w:val="both"/>
      </w:pPr>
      <w:r>
        <w:rPr>
          <w:rFonts w:ascii="Times New Roman" w:hAnsi="Times New Roman" w:cs="Times New Roman"/>
          <w:b w:val="0"/>
          <w:i w:val="0"/>
          <w:color w:val="141414"/>
          <w:sz w:val="16"/>
        </w:rPr>
        <w:t>[29] N. Borovits, Y. Gil, and E. Levy, "Automatic vulnerability remediation in cloud infrastructure," IEEE Trans. Serv. Comput., vol. 16, no. 3, pp. 1824–1837, 2023, doi: 10.1109/TSC.2022.3218551.</w:t>
      </w:r>
    </w:p>
    <w:p>
      <w:pPr>
        <w:spacing w:before="0" w:after="40" w:line="240" w:lineRule="auto"/>
        <w:ind w:left="360" w:hanging="360"/>
        <w:jc w:val="both"/>
      </w:pPr>
      <w:r>
        <w:rPr>
          <w:rFonts w:ascii="Times New Roman" w:hAnsi="Times New Roman" w:cs="Times New Roman"/>
          <w:b w:val="0"/>
          <w:i w:val="0"/>
          <w:color w:val="141414"/>
          <w:sz w:val="16"/>
        </w:rPr>
        <w:t>[30] S. Pearce, B. Ahmad, B. Tan, B. Dolan-Gavitt, and R. Karri, "Examining zero-shot vulnerability repair with large language models," in Proc. IEEE Symp. Security and Privacy (S&amp;P), 2023, pp. 2339–2356, doi: 10.1109/SP46215.2023.10179324.</w:t>
      </w:r>
    </w:p>
    <w:p>
      <w:pPr>
        <w:spacing w:before="0" w:after="40" w:line="240" w:lineRule="auto"/>
        <w:ind w:left="360" w:hanging="360"/>
        <w:jc w:val="both"/>
      </w:pPr>
      <w:r>
        <w:rPr>
          <w:rFonts w:ascii="Times New Roman" w:hAnsi="Times New Roman" w:cs="Times New Roman"/>
          <w:b w:val="0"/>
          <w:i w:val="0"/>
          <w:color w:val="141414"/>
          <w:sz w:val="16"/>
        </w:rPr>
        <w:t>[31] M. Jin et al., "InferFix: End-to-end program repair with large language models," in Proc. 31st ACM Joint Eur. Softw. Eng. Conf. and Symp. Found. Softw. Eng. (FSE), 2023, pp. 1642–1654, doi: 10.1145/3611643.3616338.</w:t>
      </w:r>
    </w:p>
    <w:p>
      <w:pPr>
        <w:spacing w:before="0" w:after="40" w:line="240" w:lineRule="auto"/>
        <w:ind w:left="360" w:hanging="360"/>
        <w:jc w:val="both"/>
      </w:pPr>
      <w:r>
        <w:rPr>
          <w:rFonts w:ascii="Times New Roman" w:hAnsi="Times New Roman" w:cs="Times New Roman"/>
          <w:b w:val="0"/>
          <w:i w:val="0"/>
          <w:color w:val="141414"/>
          <w:sz w:val="16"/>
        </w:rPr>
        <w:t>[32] C. E. Shannon, "A mathematical theory of communication," Bell Syst. Tech. J., vol. 27, no. 3, pp. 379–423, Jul. 1948, doi: 10.1002/j.1538-7305.1948.tb01338.x.</w:t>
      </w:r>
    </w:p>
    <w:p>
      <w:pPr>
        <w:spacing w:before="0" w:after="40" w:line="240" w:lineRule="auto"/>
        <w:ind w:left="360" w:hanging="360"/>
        <w:jc w:val="both"/>
      </w:pPr>
      <w:r>
        <w:rPr>
          <w:rFonts w:ascii="Times New Roman" w:hAnsi="Times New Roman" w:cs="Times New Roman"/>
          <w:b w:val="0"/>
          <w:i w:val="0"/>
          <w:color w:val="141414"/>
          <w:sz w:val="16"/>
        </w:rPr>
        <w:t>[33] D. Song, H. Zhang, and X. Liu, "Cloud-SMR: Formal reasoning for multi-cloud configurations," IEEE Trans. Cloud Comput., vol. 11, no. 2, pp. 1420–1435, 2023, doi: 10.1109/TCC.2022.3148119.</w:t>
      </w:r>
    </w:p>
    <w:p>
      <w:pPr>
        <w:spacing w:before="0" w:after="40" w:line="240" w:lineRule="auto"/>
        <w:ind w:left="360" w:hanging="360"/>
        <w:jc w:val="both"/>
      </w:pPr>
      <w:r>
        <w:rPr>
          <w:rFonts w:ascii="Times New Roman" w:hAnsi="Times New Roman" w:cs="Times New Roman"/>
          <w:b w:val="0"/>
          <w:i w:val="0"/>
          <w:color w:val="141414"/>
          <w:sz w:val="16"/>
        </w:rPr>
        <w:t>[34] L. Chen, Y. Wu, J. Zhang, and Q. Wang, "Automated repair of infrastructure-as-code scripts via large language models," in Proc. 46th Int. Conf. Softw. Eng. (ICSE), 2024, pp. 845–857, doi: 10.1145/3597503.3639145.</w:t>
      </w:r>
    </w:p>
    <w:p>
      <w:pPr>
        <w:spacing w:before="0" w:after="40" w:line="240" w:lineRule="auto"/>
        <w:ind w:left="360" w:hanging="360"/>
        <w:jc w:val="both"/>
      </w:pPr>
      <w:r>
        <w:rPr>
          <w:rFonts w:ascii="Times New Roman" w:hAnsi="Times New Roman" w:cs="Times New Roman"/>
          <w:b w:val="0"/>
          <w:i w:val="0"/>
          <w:color w:val="141414"/>
          <w:sz w:val="16"/>
        </w:rPr>
        <w:t>[35] M. Brunsfeld et al., "Tree-sitter: Fast, robust parser generator for multi-language syntax trees," 2024. [Online]. Available: https://github.com/tree-sitter/tree-sitter.</w:t>
      </w:r>
    </w:p>
    <w:sectPr w:rsidR="003A54DB" w:rsidRPr="004D31B0" w:rsidSect="00B41614">
      <w:headerReference w:type="default" r:id="rId13"/>
      <w:headerReference w:type="first" r:id="rId14"/>
      <w:headerReference w:type="even" r:id="rId15"/>
      <w:pgSz w:w="11909" w:h="16834" w:code="9"/>
      <w:pgMar w:top="1080" w:right="900" w:bottom="1440" w:left="900" w:header="720" w:footer="720" w:gutter="0"/>
      <w:pgNumType w:start="1"/>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3EAD" w14:textId="77777777" w:rsidR="00140D99" w:rsidRDefault="00140D99" w:rsidP="009E2D58">
      <w:pPr>
        <w:spacing w:line="240" w:lineRule="auto"/>
      </w:pPr>
      <w:r>
        <w:separator/>
      </w:r>
    </w:p>
  </w:endnote>
  <w:endnote w:type="continuationSeparator" w:id="0">
    <w:p w14:paraId="73FE9497" w14:textId="77777777" w:rsidR="00140D99" w:rsidRDefault="00140D99" w:rsidP="009E2D58">
      <w:pPr>
        <w:spacing w:line="240" w:lineRule="auto"/>
      </w:pPr>
      <w:r>
        <w:continuationSeparator/>
      </w:r>
    </w:p>
  </w:endnote>
  <w:endnote w:type="continuationNotice" w:id="1">
    <w:p w14:paraId="31D6502A" w14:textId="77777777" w:rsidR="00140D99" w:rsidRDefault="00140D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PSTim">
    <w:altName w:val="Times New Roman"/>
    <w:panose1 w:val="00000000000000000000"/>
    <w:charset w:val="B2"/>
    <w:family w:val="auto"/>
    <w:notTrueType/>
    <w:pitch w:val="default"/>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jc w:val="center"/>
    </w:pPr>
    <w:r>
      <w:rPr>
        <w:rFonts w:ascii="Times New Roman" w:hAnsi="Times New Roman" w:cs="Times New Roman"/>
        <w:b w:val="0"/>
        <w:i/>
        <w:color w:val="646464"/>
        <w:sz w:val="17"/>
      </w:rPr>
      <w:t xml:space="preserve">2026 5th International Conference on Automation, Computing and Renewable Systems (ICACRS)  |  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28CE" w14:textId="77777777" w:rsidR="00140D99" w:rsidRDefault="00140D99" w:rsidP="009E2D58">
      <w:pPr>
        <w:spacing w:line="240" w:lineRule="auto"/>
      </w:pPr>
      <w:r>
        <w:separator/>
      </w:r>
    </w:p>
  </w:footnote>
  <w:footnote w:type="continuationSeparator" w:id="0">
    <w:p w14:paraId="21D96220" w14:textId="77777777" w:rsidR="00140D99" w:rsidRDefault="00140D99" w:rsidP="009E2D58">
      <w:pPr>
        <w:spacing w:line="240" w:lineRule="auto"/>
      </w:pPr>
      <w:r>
        <w:continuationSeparator/>
      </w:r>
    </w:p>
  </w:footnote>
  <w:footnote w:type="continuationNotice" w:id="1">
    <w:p w14:paraId="3D0AD58B" w14:textId="77777777" w:rsidR="00140D99" w:rsidRDefault="00140D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E0D9" w14:textId="77777777" w:rsidR="00B41614" w:rsidRPr="00BA004C" w:rsidRDefault="00B41614" w:rsidP="00B41614">
    <w:pPr>
      <w:pStyle w:val="Header"/>
      <w:jc w:val="left"/>
      <w:rPr>
        <w:sz w:val="16"/>
        <w:szCs w:val="16"/>
      </w:rPr>
    </w:pPr>
    <w:bookmarkStart w:id="1" w:name="OLE_LINK7"/>
    <w:bookmarkStart w:id="2" w:name="OLE_LINK8"/>
    <w:bookmarkStart w:id="3" w:name="_Hlk454796744"/>
    <w:bookmarkEnd w:id="1"/>
    <w:bookmarkEnd w:id="2"/>
    <w:bookmarkEnd w:id="3"/>
    <w:r w:rsidRPr="00BA004C">
      <w:rPr>
        <w:sz w:val="16"/>
        <w:szCs w:val="16"/>
      </w:rPr>
      <w:t>International Conference on Multidisciplinary Perspectives in Advanced Computing and Technology (IMPACT</w:t>
    </w:r>
    <w:r>
      <w:rPr>
        <w:sz w:val="16"/>
        <w:szCs w:val="16"/>
      </w:rPr>
      <w:t>-2027</w:t>
    </w:r>
    <w:r w:rsidRPr="00BA004C">
      <w:rPr>
        <w:sz w:val="16"/>
        <w:szCs w:val="16"/>
      </w:rPr>
      <w:t>)</w:t>
    </w:r>
  </w:p>
  <w:p w14:paraId="3C03B3C6" w14:textId="604FB501" w:rsidR="009B3898" w:rsidRPr="00BE24C3" w:rsidRDefault="00B41614" w:rsidP="00B41614">
    <w:pPr>
      <w:adjustRightInd w:val="0"/>
      <w:snapToGrid w:val="0"/>
      <w:spacing w:afterLines="50" w:after="120"/>
      <w:jc w:val="left"/>
      <w:rPr>
        <w:lang w:eastAsia="zh-CN"/>
      </w:rPr>
    </w:pPr>
    <w:r w:rsidRPr="00BA004C">
      <w:rPr>
        <w:sz w:val="16"/>
        <w:szCs w:val="16"/>
      </w:rPr>
      <w:t xml:space="preserve">G. B. Pant University of Agriculture and Technology, Uttarakhand, India. Jan. </w:t>
    </w:r>
    <w:r>
      <w:rPr>
        <w:sz w:val="16"/>
        <w:szCs w:val="16"/>
      </w:rPr>
      <w:t>29-30</w:t>
    </w:r>
    <w:r w:rsidRPr="00BA004C">
      <w:rPr>
        <w:sz w:val="16"/>
        <w:szCs w:val="16"/>
      </w:rPr>
      <w:t>, 202</w:t>
    </w:r>
    <w:r>
      <w:rPr>
        <w:sz w:val="16"/>
        <w:szCs w:val="16"/>
      </w:rPr>
      <w:t>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A006" w14:textId="18E36924" w:rsidR="00BA004C" w:rsidRPr="00BA004C" w:rsidRDefault="00BA004C" w:rsidP="00BA004C">
    <w:pPr>
      <w:pStyle w:val="Header"/>
      <w:jc w:val="left"/>
      <w:rPr>
        <w:sz w:val="16"/>
        <w:szCs w:val="16"/>
      </w:rPr>
    </w:pPr>
    <w:r w:rsidRPr="00BA004C">
      <w:rPr>
        <w:sz w:val="16"/>
        <w:szCs w:val="16"/>
      </w:rPr>
      <w:t>International Conference on Multidisciplinary Perspectives in Advanced Computing and Technology (IMPACT</w:t>
    </w:r>
    <w:r w:rsidR="00B41614">
      <w:rPr>
        <w:sz w:val="16"/>
        <w:szCs w:val="16"/>
      </w:rPr>
      <w:t>-2027</w:t>
    </w:r>
    <w:r w:rsidRPr="00BA004C">
      <w:rPr>
        <w:sz w:val="16"/>
        <w:szCs w:val="16"/>
      </w:rPr>
      <w:t>)</w:t>
    </w:r>
  </w:p>
  <w:p w14:paraId="24BE87F3" w14:textId="1C3760AE" w:rsidR="00BA004C" w:rsidRDefault="00BA004C" w:rsidP="00BA004C">
    <w:pPr>
      <w:pStyle w:val="Header"/>
      <w:jc w:val="left"/>
    </w:pPr>
    <w:r w:rsidRPr="00BA004C">
      <w:rPr>
        <w:sz w:val="16"/>
        <w:szCs w:val="16"/>
      </w:rPr>
      <w:t xml:space="preserve">G. B. Pant University of Agriculture and Technology, Uttarakhand, India. Jan. </w:t>
    </w:r>
    <w:r w:rsidR="00B41614">
      <w:rPr>
        <w:sz w:val="16"/>
        <w:szCs w:val="16"/>
      </w:rPr>
      <w:t>29-30</w:t>
    </w:r>
    <w:r w:rsidRPr="00BA004C">
      <w:rPr>
        <w:sz w:val="16"/>
        <w:szCs w:val="16"/>
      </w:rPr>
      <w:t>, 202</w:t>
    </w:r>
    <w:r w:rsidR="00B41614">
      <w:rPr>
        <w:sz w:val="16"/>
        <w:szCs w:val="16"/>
      </w:rPr>
      <w:t>7</w:t>
    </w:r>
    <w:r>
      <w:b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223"/>
    <w:multiLevelType w:val="hybridMultilevel"/>
    <w:tmpl w:val="689C95F4"/>
    <w:lvl w:ilvl="0" w:tplc="4336EF8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D51C9"/>
    <w:multiLevelType w:val="multilevel"/>
    <w:tmpl w:val="9F2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376"/>
    <w:multiLevelType w:val="hybridMultilevel"/>
    <w:tmpl w:val="F654A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D639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762464"/>
    <w:multiLevelType w:val="multilevel"/>
    <w:tmpl w:val="90E2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A3939"/>
    <w:multiLevelType w:val="hybridMultilevel"/>
    <w:tmpl w:val="F28222D4"/>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8565C"/>
    <w:multiLevelType w:val="hybridMultilevel"/>
    <w:tmpl w:val="EDE6293A"/>
    <w:lvl w:ilvl="0" w:tplc="FC668960">
      <w:start w:val="1"/>
      <w:numFmt w:val="upperLetter"/>
      <w:pStyle w:val="ListNumb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037CC7"/>
    <w:multiLevelType w:val="multilevel"/>
    <w:tmpl w:val="6F5C9A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2A7207C"/>
    <w:multiLevelType w:val="multilevel"/>
    <w:tmpl w:val="DC10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23ED0"/>
    <w:multiLevelType w:val="hybridMultilevel"/>
    <w:tmpl w:val="70FCFF06"/>
    <w:lvl w:ilvl="0" w:tplc="DAC2C78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5853B4A"/>
    <w:multiLevelType w:val="hybridMultilevel"/>
    <w:tmpl w:val="CF8EF33C"/>
    <w:lvl w:ilvl="0" w:tplc="0B6CA510">
      <w:start w:val="1"/>
      <w:numFmt w:val="decimal"/>
      <w:lvlText w:val="%1."/>
      <w:lvlJc w:val="left"/>
      <w:pPr>
        <w:ind w:left="720" w:hanging="360"/>
      </w:pPr>
      <w:rPr>
        <w:rFonts w:eastAsia="PMingLiU"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A6182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F2A490E"/>
    <w:multiLevelType w:val="hybridMultilevel"/>
    <w:tmpl w:val="2772A1B4"/>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1D93E2E"/>
    <w:multiLevelType w:val="hybridMultilevel"/>
    <w:tmpl w:val="EEEA1C86"/>
    <w:lvl w:ilvl="0" w:tplc="C1D0EF68">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A429A7"/>
    <w:multiLevelType w:val="hybridMultilevel"/>
    <w:tmpl w:val="54A6E3DA"/>
    <w:lvl w:ilvl="0" w:tplc="22F801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E13497"/>
    <w:multiLevelType w:val="multilevel"/>
    <w:tmpl w:val="CFB0265E"/>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C0C7AB1"/>
    <w:multiLevelType w:val="hybridMultilevel"/>
    <w:tmpl w:val="6AF0E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30260"/>
    <w:multiLevelType w:val="hybridMultilevel"/>
    <w:tmpl w:val="B418747E"/>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4E4EF1"/>
    <w:multiLevelType w:val="hybridMultilevel"/>
    <w:tmpl w:val="05CA9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B21887"/>
    <w:multiLevelType w:val="hybridMultilevel"/>
    <w:tmpl w:val="FDD47378"/>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DAD2A40"/>
    <w:multiLevelType w:val="hybridMultilevel"/>
    <w:tmpl w:val="1762707A"/>
    <w:lvl w:ilvl="0" w:tplc="571C34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681187">
    <w:abstractNumId w:val="6"/>
  </w:num>
  <w:num w:numId="2" w16cid:durableId="1346324232">
    <w:abstractNumId w:val="14"/>
  </w:num>
  <w:num w:numId="3" w16cid:durableId="2065713070">
    <w:abstractNumId w:val="2"/>
  </w:num>
  <w:num w:numId="4" w16cid:durableId="1257132571">
    <w:abstractNumId w:val="13"/>
  </w:num>
  <w:num w:numId="5" w16cid:durableId="368602971">
    <w:abstractNumId w:val="0"/>
  </w:num>
  <w:num w:numId="6" w16cid:durableId="47841654">
    <w:abstractNumId w:val="18"/>
  </w:num>
  <w:num w:numId="7" w16cid:durableId="1348210114">
    <w:abstractNumId w:val="12"/>
  </w:num>
  <w:num w:numId="8" w16cid:durableId="938870600">
    <w:abstractNumId w:val="19"/>
  </w:num>
  <w:num w:numId="9" w16cid:durableId="1623266660">
    <w:abstractNumId w:val="9"/>
  </w:num>
  <w:num w:numId="10" w16cid:durableId="1713992142">
    <w:abstractNumId w:val="7"/>
  </w:num>
  <w:num w:numId="11" w16cid:durableId="1826437816">
    <w:abstractNumId w:val="10"/>
  </w:num>
  <w:num w:numId="12" w16cid:durableId="1837527770">
    <w:abstractNumId w:val="15"/>
  </w:num>
  <w:num w:numId="13" w16cid:durableId="3751851">
    <w:abstractNumId w:val="11"/>
  </w:num>
  <w:num w:numId="14" w16cid:durableId="1715108485">
    <w:abstractNumId w:val="16"/>
  </w:num>
  <w:num w:numId="15" w16cid:durableId="986662784">
    <w:abstractNumId w:val="5"/>
  </w:num>
  <w:num w:numId="16" w16cid:durableId="1341157860">
    <w:abstractNumId w:val="17"/>
  </w:num>
  <w:num w:numId="17" w16cid:durableId="693652156">
    <w:abstractNumId w:val="20"/>
  </w:num>
  <w:num w:numId="18" w16cid:durableId="579367483">
    <w:abstractNumId w:val="11"/>
  </w:num>
  <w:num w:numId="19" w16cid:durableId="152570832">
    <w:abstractNumId w:val="11"/>
  </w:num>
  <w:num w:numId="20" w16cid:durableId="19671772">
    <w:abstractNumId w:val="3"/>
  </w:num>
  <w:num w:numId="21" w16cid:durableId="515734053">
    <w:abstractNumId w:val="8"/>
  </w:num>
  <w:num w:numId="22" w16cid:durableId="1021205105">
    <w:abstractNumId w:val="1"/>
  </w:num>
  <w:num w:numId="23" w16cid:durableId="1692293830">
    <w:abstractNumId w:val="4"/>
  </w:num>
  <w:num w:numId="24" w16cid:durableId="2038584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U1NrY0tzQwMTI1NjJQ0lEKTi0uzszPAykwNKoFAH5GBL0tAAAA"/>
  </w:docVars>
  <w:rsids>
    <w:rsidRoot w:val="00386AC3"/>
    <w:rsid w:val="00001560"/>
    <w:rsid w:val="00002ABE"/>
    <w:rsid w:val="00014773"/>
    <w:rsid w:val="000149C8"/>
    <w:rsid w:val="00031E81"/>
    <w:rsid w:val="0003252F"/>
    <w:rsid w:val="00040984"/>
    <w:rsid w:val="000443EA"/>
    <w:rsid w:val="000458C1"/>
    <w:rsid w:val="0005309E"/>
    <w:rsid w:val="00055773"/>
    <w:rsid w:val="0007173E"/>
    <w:rsid w:val="0007208C"/>
    <w:rsid w:val="000753DD"/>
    <w:rsid w:val="00077773"/>
    <w:rsid w:val="000841DC"/>
    <w:rsid w:val="000A06B6"/>
    <w:rsid w:val="000A39D9"/>
    <w:rsid w:val="000B09E7"/>
    <w:rsid w:val="000C1065"/>
    <w:rsid w:val="000C153A"/>
    <w:rsid w:val="000C4A30"/>
    <w:rsid w:val="000D16AE"/>
    <w:rsid w:val="000D2032"/>
    <w:rsid w:val="000D2F17"/>
    <w:rsid w:val="00101BDF"/>
    <w:rsid w:val="0011235D"/>
    <w:rsid w:val="001139C8"/>
    <w:rsid w:val="00121AFD"/>
    <w:rsid w:val="00124EAC"/>
    <w:rsid w:val="001253F6"/>
    <w:rsid w:val="00125EE3"/>
    <w:rsid w:val="00133D62"/>
    <w:rsid w:val="00140984"/>
    <w:rsid w:val="00140D99"/>
    <w:rsid w:val="00146636"/>
    <w:rsid w:val="00153401"/>
    <w:rsid w:val="001626CC"/>
    <w:rsid w:val="001662A1"/>
    <w:rsid w:val="0017502F"/>
    <w:rsid w:val="001752F1"/>
    <w:rsid w:val="00175CF9"/>
    <w:rsid w:val="0018095B"/>
    <w:rsid w:val="001815A8"/>
    <w:rsid w:val="001856FC"/>
    <w:rsid w:val="001916AC"/>
    <w:rsid w:val="00195734"/>
    <w:rsid w:val="001B4872"/>
    <w:rsid w:val="001C16DB"/>
    <w:rsid w:val="001D1CDE"/>
    <w:rsid w:val="001E5021"/>
    <w:rsid w:val="001E598B"/>
    <w:rsid w:val="001E5B86"/>
    <w:rsid w:val="001F06B7"/>
    <w:rsid w:val="001F7CFD"/>
    <w:rsid w:val="0021388F"/>
    <w:rsid w:val="00213CC3"/>
    <w:rsid w:val="00215807"/>
    <w:rsid w:val="00221BD7"/>
    <w:rsid w:val="0022349E"/>
    <w:rsid w:val="00226765"/>
    <w:rsid w:val="0023190E"/>
    <w:rsid w:val="00234690"/>
    <w:rsid w:val="00242C23"/>
    <w:rsid w:val="00242F68"/>
    <w:rsid w:val="00244B23"/>
    <w:rsid w:val="002470AC"/>
    <w:rsid w:val="00263DCB"/>
    <w:rsid w:val="00263FD8"/>
    <w:rsid w:val="00265F05"/>
    <w:rsid w:val="0027060D"/>
    <w:rsid w:val="0027080E"/>
    <w:rsid w:val="00280AF8"/>
    <w:rsid w:val="002A7EA2"/>
    <w:rsid w:val="002C011C"/>
    <w:rsid w:val="002C3314"/>
    <w:rsid w:val="002D1213"/>
    <w:rsid w:val="002F4440"/>
    <w:rsid w:val="00310B05"/>
    <w:rsid w:val="0031228B"/>
    <w:rsid w:val="003160E8"/>
    <w:rsid w:val="00322346"/>
    <w:rsid w:val="00324F24"/>
    <w:rsid w:val="00327EB0"/>
    <w:rsid w:val="003348F3"/>
    <w:rsid w:val="003367B8"/>
    <w:rsid w:val="00350AAA"/>
    <w:rsid w:val="00356D82"/>
    <w:rsid w:val="00363628"/>
    <w:rsid w:val="0037743F"/>
    <w:rsid w:val="003778ED"/>
    <w:rsid w:val="0038489F"/>
    <w:rsid w:val="00386AC3"/>
    <w:rsid w:val="00391DD5"/>
    <w:rsid w:val="00393FFF"/>
    <w:rsid w:val="003976BF"/>
    <w:rsid w:val="003A54DB"/>
    <w:rsid w:val="003B655F"/>
    <w:rsid w:val="003B688F"/>
    <w:rsid w:val="003B72B7"/>
    <w:rsid w:val="003C0CF9"/>
    <w:rsid w:val="003C2438"/>
    <w:rsid w:val="003D207A"/>
    <w:rsid w:val="003D46B1"/>
    <w:rsid w:val="003D6E16"/>
    <w:rsid w:val="003E199C"/>
    <w:rsid w:val="004068BC"/>
    <w:rsid w:val="004143F7"/>
    <w:rsid w:val="00415031"/>
    <w:rsid w:val="00415981"/>
    <w:rsid w:val="00420F7F"/>
    <w:rsid w:val="00423B7B"/>
    <w:rsid w:val="00430C0A"/>
    <w:rsid w:val="00434B9F"/>
    <w:rsid w:val="0045782A"/>
    <w:rsid w:val="004909E2"/>
    <w:rsid w:val="004B11BA"/>
    <w:rsid w:val="004B2F93"/>
    <w:rsid w:val="004B62CC"/>
    <w:rsid w:val="004C03AC"/>
    <w:rsid w:val="004C36AA"/>
    <w:rsid w:val="004C5506"/>
    <w:rsid w:val="004D2EC4"/>
    <w:rsid w:val="004D31B0"/>
    <w:rsid w:val="004E2290"/>
    <w:rsid w:val="004E6A11"/>
    <w:rsid w:val="004F213B"/>
    <w:rsid w:val="00500FE8"/>
    <w:rsid w:val="00503884"/>
    <w:rsid w:val="00503A6E"/>
    <w:rsid w:val="005043A3"/>
    <w:rsid w:val="00505135"/>
    <w:rsid w:val="00505F61"/>
    <w:rsid w:val="0051542B"/>
    <w:rsid w:val="00515CC7"/>
    <w:rsid w:val="005254FD"/>
    <w:rsid w:val="0052794D"/>
    <w:rsid w:val="00544DDE"/>
    <w:rsid w:val="005455A0"/>
    <w:rsid w:val="00546533"/>
    <w:rsid w:val="00556EC5"/>
    <w:rsid w:val="005801B4"/>
    <w:rsid w:val="00586BA9"/>
    <w:rsid w:val="005943BA"/>
    <w:rsid w:val="005A2D39"/>
    <w:rsid w:val="005B144A"/>
    <w:rsid w:val="005B6C87"/>
    <w:rsid w:val="005C2612"/>
    <w:rsid w:val="005D3D0C"/>
    <w:rsid w:val="005D5653"/>
    <w:rsid w:val="005E280D"/>
    <w:rsid w:val="005E6F91"/>
    <w:rsid w:val="005F044B"/>
    <w:rsid w:val="005F347C"/>
    <w:rsid w:val="005F404D"/>
    <w:rsid w:val="00610C86"/>
    <w:rsid w:val="006159F8"/>
    <w:rsid w:val="006238C4"/>
    <w:rsid w:val="006352B9"/>
    <w:rsid w:val="006409F5"/>
    <w:rsid w:val="00653CC1"/>
    <w:rsid w:val="00654AAE"/>
    <w:rsid w:val="00655796"/>
    <w:rsid w:val="00655A70"/>
    <w:rsid w:val="0066267F"/>
    <w:rsid w:val="00666E61"/>
    <w:rsid w:val="0067229F"/>
    <w:rsid w:val="00674933"/>
    <w:rsid w:val="00674CB8"/>
    <w:rsid w:val="00683C76"/>
    <w:rsid w:val="006A198C"/>
    <w:rsid w:val="006B0742"/>
    <w:rsid w:val="006B2FF2"/>
    <w:rsid w:val="006D5ABE"/>
    <w:rsid w:val="006D7A12"/>
    <w:rsid w:val="006F429B"/>
    <w:rsid w:val="006F5619"/>
    <w:rsid w:val="00702897"/>
    <w:rsid w:val="00702D11"/>
    <w:rsid w:val="007041D4"/>
    <w:rsid w:val="0070622B"/>
    <w:rsid w:val="00706E4D"/>
    <w:rsid w:val="00720C01"/>
    <w:rsid w:val="00720CC3"/>
    <w:rsid w:val="00722DBB"/>
    <w:rsid w:val="00731940"/>
    <w:rsid w:val="007357BA"/>
    <w:rsid w:val="0076404B"/>
    <w:rsid w:val="00764836"/>
    <w:rsid w:val="00781AA1"/>
    <w:rsid w:val="007824FC"/>
    <w:rsid w:val="00793ECA"/>
    <w:rsid w:val="007A0C50"/>
    <w:rsid w:val="007A16D8"/>
    <w:rsid w:val="007B69C5"/>
    <w:rsid w:val="007C0214"/>
    <w:rsid w:val="007C3E3E"/>
    <w:rsid w:val="007C4359"/>
    <w:rsid w:val="007C4DA1"/>
    <w:rsid w:val="007C6361"/>
    <w:rsid w:val="007E5DDB"/>
    <w:rsid w:val="00814FBF"/>
    <w:rsid w:val="00825914"/>
    <w:rsid w:val="008261E0"/>
    <w:rsid w:val="008300D8"/>
    <w:rsid w:val="00831634"/>
    <w:rsid w:val="00831CF5"/>
    <w:rsid w:val="00840DE0"/>
    <w:rsid w:val="00841082"/>
    <w:rsid w:val="008451CC"/>
    <w:rsid w:val="008470FA"/>
    <w:rsid w:val="008525B5"/>
    <w:rsid w:val="00852BD8"/>
    <w:rsid w:val="00856EBC"/>
    <w:rsid w:val="008630B0"/>
    <w:rsid w:val="00877EAB"/>
    <w:rsid w:val="00880D90"/>
    <w:rsid w:val="00895D9E"/>
    <w:rsid w:val="008A0480"/>
    <w:rsid w:val="008A66EE"/>
    <w:rsid w:val="008B1D07"/>
    <w:rsid w:val="008B5876"/>
    <w:rsid w:val="008D08EC"/>
    <w:rsid w:val="008E5748"/>
    <w:rsid w:val="008E59AA"/>
    <w:rsid w:val="008F122C"/>
    <w:rsid w:val="008F4147"/>
    <w:rsid w:val="009011EC"/>
    <w:rsid w:val="009068DC"/>
    <w:rsid w:val="00917F17"/>
    <w:rsid w:val="009241EE"/>
    <w:rsid w:val="009371CB"/>
    <w:rsid w:val="0094177A"/>
    <w:rsid w:val="00947953"/>
    <w:rsid w:val="009532F1"/>
    <w:rsid w:val="00955E32"/>
    <w:rsid w:val="00963A64"/>
    <w:rsid w:val="00967394"/>
    <w:rsid w:val="00967644"/>
    <w:rsid w:val="009708C6"/>
    <w:rsid w:val="0097187D"/>
    <w:rsid w:val="0097326F"/>
    <w:rsid w:val="00973D18"/>
    <w:rsid w:val="0098190B"/>
    <w:rsid w:val="009833BD"/>
    <w:rsid w:val="00983D93"/>
    <w:rsid w:val="00990BDF"/>
    <w:rsid w:val="009A56F5"/>
    <w:rsid w:val="009A6384"/>
    <w:rsid w:val="009B2E43"/>
    <w:rsid w:val="009B358F"/>
    <w:rsid w:val="009B3898"/>
    <w:rsid w:val="009C1C4F"/>
    <w:rsid w:val="009C1FA0"/>
    <w:rsid w:val="009C2460"/>
    <w:rsid w:val="009C5D02"/>
    <w:rsid w:val="009E2D58"/>
    <w:rsid w:val="009F2232"/>
    <w:rsid w:val="00A07992"/>
    <w:rsid w:val="00A15CA7"/>
    <w:rsid w:val="00A20BA9"/>
    <w:rsid w:val="00A2493E"/>
    <w:rsid w:val="00A2506E"/>
    <w:rsid w:val="00A34040"/>
    <w:rsid w:val="00A373B7"/>
    <w:rsid w:val="00A4134C"/>
    <w:rsid w:val="00A46B2F"/>
    <w:rsid w:val="00A717E4"/>
    <w:rsid w:val="00AD0E8D"/>
    <w:rsid w:val="00AE20BD"/>
    <w:rsid w:val="00AF175C"/>
    <w:rsid w:val="00AF42D1"/>
    <w:rsid w:val="00B01AF8"/>
    <w:rsid w:val="00B200BA"/>
    <w:rsid w:val="00B224B7"/>
    <w:rsid w:val="00B24F61"/>
    <w:rsid w:val="00B41614"/>
    <w:rsid w:val="00B42632"/>
    <w:rsid w:val="00B43718"/>
    <w:rsid w:val="00B522CC"/>
    <w:rsid w:val="00B64C0F"/>
    <w:rsid w:val="00B72E54"/>
    <w:rsid w:val="00B744A3"/>
    <w:rsid w:val="00B76098"/>
    <w:rsid w:val="00B76C5D"/>
    <w:rsid w:val="00B80305"/>
    <w:rsid w:val="00B85030"/>
    <w:rsid w:val="00B863EE"/>
    <w:rsid w:val="00B94801"/>
    <w:rsid w:val="00BA004C"/>
    <w:rsid w:val="00BA3306"/>
    <w:rsid w:val="00BB4CAE"/>
    <w:rsid w:val="00BB7CDF"/>
    <w:rsid w:val="00BE3D1F"/>
    <w:rsid w:val="00BE4DC6"/>
    <w:rsid w:val="00BE53E3"/>
    <w:rsid w:val="00BE6473"/>
    <w:rsid w:val="00BE664E"/>
    <w:rsid w:val="00C013DA"/>
    <w:rsid w:val="00C132AD"/>
    <w:rsid w:val="00C244B7"/>
    <w:rsid w:val="00C26D3B"/>
    <w:rsid w:val="00C40567"/>
    <w:rsid w:val="00C47673"/>
    <w:rsid w:val="00C47BB6"/>
    <w:rsid w:val="00C64670"/>
    <w:rsid w:val="00C75287"/>
    <w:rsid w:val="00C7529B"/>
    <w:rsid w:val="00C75340"/>
    <w:rsid w:val="00C777E5"/>
    <w:rsid w:val="00C80453"/>
    <w:rsid w:val="00C90FA0"/>
    <w:rsid w:val="00C95E4F"/>
    <w:rsid w:val="00CA226A"/>
    <w:rsid w:val="00CB2603"/>
    <w:rsid w:val="00CB603E"/>
    <w:rsid w:val="00CC434E"/>
    <w:rsid w:val="00CC51E1"/>
    <w:rsid w:val="00CD1472"/>
    <w:rsid w:val="00CD17D5"/>
    <w:rsid w:val="00D0037A"/>
    <w:rsid w:val="00D07888"/>
    <w:rsid w:val="00D16197"/>
    <w:rsid w:val="00D257C0"/>
    <w:rsid w:val="00D32492"/>
    <w:rsid w:val="00D37DCA"/>
    <w:rsid w:val="00D4120E"/>
    <w:rsid w:val="00D44314"/>
    <w:rsid w:val="00D51DD6"/>
    <w:rsid w:val="00D54F1D"/>
    <w:rsid w:val="00D64742"/>
    <w:rsid w:val="00D74439"/>
    <w:rsid w:val="00D75C41"/>
    <w:rsid w:val="00D77B3F"/>
    <w:rsid w:val="00D949CD"/>
    <w:rsid w:val="00D974F0"/>
    <w:rsid w:val="00DA34DB"/>
    <w:rsid w:val="00DA3C07"/>
    <w:rsid w:val="00DB1A42"/>
    <w:rsid w:val="00DB31E2"/>
    <w:rsid w:val="00DB430A"/>
    <w:rsid w:val="00DC2648"/>
    <w:rsid w:val="00DD43A0"/>
    <w:rsid w:val="00DE0C68"/>
    <w:rsid w:val="00DF03C3"/>
    <w:rsid w:val="00DF373B"/>
    <w:rsid w:val="00DF6E98"/>
    <w:rsid w:val="00E10FB3"/>
    <w:rsid w:val="00E1525D"/>
    <w:rsid w:val="00E16ADE"/>
    <w:rsid w:val="00E3365D"/>
    <w:rsid w:val="00E41036"/>
    <w:rsid w:val="00E639CB"/>
    <w:rsid w:val="00E8669E"/>
    <w:rsid w:val="00EA66DC"/>
    <w:rsid w:val="00EB0484"/>
    <w:rsid w:val="00EB4A15"/>
    <w:rsid w:val="00EB6E4C"/>
    <w:rsid w:val="00EC1125"/>
    <w:rsid w:val="00EC5D03"/>
    <w:rsid w:val="00ED1C1A"/>
    <w:rsid w:val="00ED667F"/>
    <w:rsid w:val="00ED69D2"/>
    <w:rsid w:val="00ED7059"/>
    <w:rsid w:val="00EE1A0F"/>
    <w:rsid w:val="00EE4F7B"/>
    <w:rsid w:val="00EF2350"/>
    <w:rsid w:val="00EF3C6F"/>
    <w:rsid w:val="00EF499C"/>
    <w:rsid w:val="00F15027"/>
    <w:rsid w:val="00F21636"/>
    <w:rsid w:val="00F26D0C"/>
    <w:rsid w:val="00F373BD"/>
    <w:rsid w:val="00F45421"/>
    <w:rsid w:val="00F50656"/>
    <w:rsid w:val="00F5221E"/>
    <w:rsid w:val="00F60C88"/>
    <w:rsid w:val="00F66978"/>
    <w:rsid w:val="00F745B8"/>
    <w:rsid w:val="00F7612C"/>
    <w:rsid w:val="00F81511"/>
    <w:rsid w:val="00F90E76"/>
    <w:rsid w:val="00FA4FA5"/>
    <w:rsid w:val="00FB0206"/>
    <w:rsid w:val="00FB2185"/>
    <w:rsid w:val="00FB3C73"/>
    <w:rsid w:val="00FC5DF4"/>
    <w:rsid w:val="00FD0053"/>
    <w:rsid w:val="00FD2CE9"/>
    <w:rsid w:val="00FE0B99"/>
    <w:rsid w:val="00FE79C4"/>
    <w:rsid w:val="00FF265F"/>
    <w:rsid w:val="00FF4CA8"/>
    <w:rsid w:val="00FF5A0D"/>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A0476"/>
  <w15:chartTrackingRefBased/>
  <w15:docId w15:val="{2C3422ED-F404-4D8B-912B-587B5CC2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Mangal"/>
        <w:lang w:val="en-IN" w:eastAsia="en-I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0453"/>
    <w:pPr>
      <w:spacing w:line="276" w:lineRule="auto"/>
      <w:jc w:val="both"/>
    </w:pPr>
    <w:rPr>
      <w:rFonts w:ascii="Garamond" w:hAnsi="Garamond"/>
      <w:sz w:val="22"/>
      <w:szCs w:val="22"/>
      <w:lang w:eastAsia="en-US"/>
    </w:rPr>
  </w:style>
  <w:style w:type="paragraph" w:styleId="Heading1">
    <w:name w:val="heading 1"/>
    <w:basedOn w:val="Normal"/>
    <w:next w:val="Normal"/>
    <w:link w:val="Heading1Char"/>
    <w:autoRedefine/>
    <w:uiPriority w:val="9"/>
    <w:qFormat/>
    <w:rsid w:val="00386AC3"/>
    <w:pPr>
      <w:keepNext/>
      <w:keepLines/>
      <w:spacing w:before="120" w:after="120"/>
      <w:jc w:val="left"/>
      <w:outlineLvl w:val="0"/>
    </w:pPr>
    <w:rPr>
      <w:rFonts w:ascii="Times New Roman" w:hAnsi="Times New Roman" w:cs="Times New Roman"/>
      <w:b/>
      <w:szCs w:val="24"/>
      <w:lang w:val="en-US"/>
    </w:rPr>
  </w:style>
  <w:style w:type="paragraph" w:styleId="Heading2">
    <w:name w:val="heading 2"/>
    <w:basedOn w:val="Normal"/>
    <w:next w:val="Normal"/>
    <w:link w:val="Heading2Char"/>
    <w:autoRedefine/>
    <w:uiPriority w:val="9"/>
    <w:unhideWhenUsed/>
    <w:qFormat/>
    <w:rsid w:val="00C80453"/>
    <w:pPr>
      <w:keepNext/>
      <w:keepLines/>
      <w:spacing w:before="120" w:after="120"/>
      <w:jc w:val="left"/>
      <w:outlineLvl w:val="1"/>
    </w:pPr>
    <w:rPr>
      <w:rFonts w:ascii="Times New Roman" w:hAnsi="Times New Roman"/>
      <w:b/>
      <w:szCs w:val="26"/>
    </w:rPr>
  </w:style>
  <w:style w:type="paragraph" w:styleId="Heading3">
    <w:name w:val="heading 3"/>
    <w:basedOn w:val="Normal"/>
    <w:next w:val="Normal"/>
    <w:link w:val="Heading3Char"/>
    <w:autoRedefine/>
    <w:uiPriority w:val="9"/>
    <w:unhideWhenUsed/>
    <w:qFormat/>
    <w:rsid w:val="00CD17D5"/>
    <w:pPr>
      <w:keepNext/>
      <w:keepLines/>
      <w:spacing w:before="120" w:after="120" w:line="240" w:lineRule="auto"/>
      <w:jc w:val="left"/>
      <w:outlineLvl w:val="2"/>
    </w:pPr>
    <w:rPr>
      <w:rFonts w:ascii="Times New Roman" w:hAnsi="Times New Roman"/>
      <w:b/>
      <w:sz w:val="20"/>
      <w:szCs w:val="24"/>
    </w:rPr>
  </w:style>
  <w:style w:type="paragraph" w:styleId="Heading4">
    <w:name w:val="heading 4"/>
    <w:basedOn w:val="Normal"/>
    <w:next w:val="Normal"/>
    <w:link w:val="Heading4Char"/>
    <w:uiPriority w:val="9"/>
    <w:semiHidden/>
    <w:unhideWhenUsed/>
    <w:qFormat/>
    <w:rsid w:val="00C80453"/>
    <w:pPr>
      <w:keepNext/>
      <w:keepLines/>
      <w:spacing w:before="120" w:after="120" w:line="240" w:lineRule="auto"/>
      <w:outlineLvl w:val="3"/>
    </w:pPr>
    <w:rPr>
      <w:rFonts w:ascii="Times New Roman" w:hAnsi="Times New Roman"/>
      <w:b/>
      <w:iCs/>
      <w:sz w:val="20"/>
    </w:rPr>
  </w:style>
  <w:style w:type="paragraph" w:styleId="Heading5">
    <w:name w:val="heading 5"/>
    <w:basedOn w:val="Normal"/>
    <w:next w:val="Normal"/>
    <w:link w:val="Heading5Char"/>
    <w:uiPriority w:val="9"/>
    <w:semiHidden/>
    <w:unhideWhenUsed/>
    <w:qFormat/>
    <w:rsid w:val="00175CF9"/>
    <w:pPr>
      <w:keepNext/>
      <w:keepLines/>
      <w:spacing w:before="4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75CF9"/>
    <w:pPr>
      <w:keepNext/>
      <w:keepLines/>
      <w:spacing w:before="4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75CF9"/>
    <w:pPr>
      <w:keepNext/>
      <w:keepLines/>
      <w:spacing w:before="4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75CF9"/>
    <w:pPr>
      <w:keepNext/>
      <w:keepLines/>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75CF9"/>
    <w:pPr>
      <w:keepNext/>
      <w:keepLines/>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D58"/>
    <w:pPr>
      <w:tabs>
        <w:tab w:val="center" w:pos="4513"/>
        <w:tab w:val="right" w:pos="9026"/>
      </w:tabs>
      <w:spacing w:line="240" w:lineRule="auto"/>
    </w:pPr>
  </w:style>
  <w:style w:type="character" w:customStyle="1" w:styleId="HeaderChar">
    <w:name w:val="Header Char"/>
    <w:link w:val="Header"/>
    <w:uiPriority w:val="99"/>
    <w:rsid w:val="009E2D58"/>
    <w:rPr>
      <w:szCs w:val="22"/>
      <w:lang w:val="en-IN" w:bidi="ar-SA"/>
    </w:rPr>
  </w:style>
  <w:style w:type="paragraph" w:styleId="Footer">
    <w:name w:val="footer"/>
    <w:basedOn w:val="Normal"/>
    <w:link w:val="FooterChar"/>
    <w:uiPriority w:val="99"/>
    <w:unhideWhenUsed/>
    <w:rsid w:val="009E2D58"/>
    <w:pPr>
      <w:tabs>
        <w:tab w:val="center" w:pos="4513"/>
        <w:tab w:val="right" w:pos="9026"/>
      </w:tabs>
      <w:spacing w:line="240" w:lineRule="auto"/>
    </w:pPr>
  </w:style>
  <w:style w:type="character" w:customStyle="1" w:styleId="FooterChar">
    <w:name w:val="Footer Char"/>
    <w:link w:val="Footer"/>
    <w:uiPriority w:val="99"/>
    <w:rsid w:val="009E2D58"/>
    <w:rPr>
      <w:szCs w:val="22"/>
      <w:lang w:val="en-IN" w:bidi="ar-SA"/>
    </w:rPr>
  </w:style>
  <w:style w:type="paragraph" w:styleId="Title">
    <w:name w:val="Title"/>
    <w:basedOn w:val="Normal"/>
    <w:next w:val="Normal"/>
    <w:link w:val="TitleChar"/>
    <w:autoRedefine/>
    <w:qFormat/>
    <w:rsid w:val="003A54DB"/>
    <w:pPr>
      <w:jc w:val="center"/>
    </w:pPr>
    <w:rPr>
      <w:rFonts w:ascii="Times New Roman" w:eastAsia="Times New Roman" w:hAnsi="Times New Roman" w:cs="Times New Roman"/>
      <w:b/>
      <w:spacing w:val="-10"/>
      <w:kern w:val="28"/>
      <w:sz w:val="32"/>
      <w:szCs w:val="20"/>
      <w:lang w:val="en-US"/>
    </w:rPr>
  </w:style>
  <w:style w:type="character" w:customStyle="1" w:styleId="TitleChar">
    <w:name w:val="Title Char"/>
    <w:link w:val="Title"/>
    <w:rsid w:val="003A54DB"/>
    <w:rPr>
      <w:rFonts w:ascii="Times New Roman" w:eastAsia="Times New Roman" w:hAnsi="Times New Roman" w:cs="Times New Roman"/>
      <w:b/>
      <w:spacing w:val="-10"/>
      <w:kern w:val="28"/>
      <w:sz w:val="32"/>
      <w:lang w:bidi="ar-SA"/>
    </w:rPr>
  </w:style>
  <w:style w:type="paragraph" w:customStyle="1" w:styleId="Affiliation">
    <w:name w:val="Affiliation"/>
    <w:autoRedefine/>
    <w:rsid w:val="00B41614"/>
    <w:pPr>
      <w:tabs>
        <w:tab w:val="center" w:pos="5220"/>
        <w:tab w:val="right" w:pos="10441"/>
      </w:tabs>
      <w:spacing w:before="120" w:after="120" w:line="276" w:lineRule="auto"/>
    </w:pPr>
    <w:rPr>
      <w:rFonts w:ascii="Times New Roman" w:eastAsia="SimSun" w:hAnsi="Times New Roman" w:cs="Times New Roman"/>
      <w:bCs/>
      <w:szCs w:val="24"/>
      <w:lang w:val="en-US" w:eastAsia="en-US"/>
    </w:rPr>
  </w:style>
  <w:style w:type="paragraph" w:customStyle="1" w:styleId="Author">
    <w:name w:val="Author"/>
    <w:autoRedefine/>
    <w:rsid w:val="00654AAE"/>
    <w:pPr>
      <w:spacing w:before="120" w:after="120" w:line="300" w:lineRule="auto"/>
      <w:jc w:val="center"/>
    </w:pPr>
    <w:rPr>
      <w:rFonts w:ascii="Times New Roman" w:eastAsia="SimSun" w:hAnsi="Times New Roman" w:cs="Times New Roman"/>
      <w:noProof/>
      <w:sz w:val="22"/>
      <w:szCs w:val="22"/>
      <w:lang w:val="en-US" w:eastAsia="en-US"/>
    </w:rPr>
  </w:style>
  <w:style w:type="paragraph" w:customStyle="1" w:styleId="Abstract">
    <w:name w:val="Abstract"/>
    <w:basedOn w:val="Normal"/>
    <w:next w:val="Normal"/>
    <w:autoRedefine/>
    <w:rsid w:val="00386AC3"/>
    <w:pPr>
      <w:ind w:right="-46"/>
    </w:pPr>
    <w:rPr>
      <w:rFonts w:cs="Times New Roman"/>
      <w:sz w:val="20"/>
      <w:szCs w:val="24"/>
      <w:lang w:val="en-US"/>
    </w:rPr>
  </w:style>
  <w:style w:type="paragraph" w:styleId="ListParagraph">
    <w:name w:val="List Paragraph"/>
    <w:basedOn w:val="Normal"/>
    <w:uiPriority w:val="34"/>
    <w:qFormat/>
    <w:rsid w:val="009E2D58"/>
    <w:pPr>
      <w:ind w:left="720"/>
      <w:contextualSpacing/>
    </w:pPr>
  </w:style>
  <w:style w:type="paragraph" w:customStyle="1" w:styleId="Text">
    <w:name w:val="Text"/>
    <w:basedOn w:val="Normal"/>
    <w:autoRedefine/>
    <w:qFormat/>
    <w:rsid w:val="00505135"/>
    <w:pPr>
      <w:widowControl w:val="0"/>
    </w:pPr>
    <w:rPr>
      <w:rFonts w:ascii="Times New Roman" w:eastAsia="Times New Roman" w:hAnsi="Times New Roman" w:cs="Times New Roman"/>
      <w:b/>
      <w:bCs/>
      <w:sz w:val="20"/>
      <w:szCs w:val="20"/>
      <w:lang w:val="en-US"/>
    </w:rPr>
  </w:style>
  <w:style w:type="paragraph" w:customStyle="1" w:styleId="References">
    <w:name w:val="References"/>
    <w:basedOn w:val="ListNumber"/>
    <w:autoRedefine/>
    <w:qFormat/>
    <w:rsid w:val="009532F1"/>
    <w:pPr>
      <w:numPr>
        <w:numId w:val="0"/>
      </w:numPr>
      <w:spacing w:before="120" w:after="120"/>
      <w:contextualSpacing w:val="0"/>
    </w:pPr>
    <w:rPr>
      <w:rFonts w:ascii="Times New Roman" w:hAnsi="Times New Roman" w:cs="Times New Roman"/>
    </w:rPr>
  </w:style>
  <w:style w:type="character" w:styleId="Hyperlink">
    <w:name w:val="Hyperlink"/>
    <w:uiPriority w:val="99"/>
    <w:unhideWhenUsed/>
    <w:rsid w:val="009E2D58"/>
    <w:rPr>
      <w:color w:val="0563C1"/>
      <w:u w:val="single"/>
    </w:rPr>
  </w:style>
  <w:style w:type="paragraph" w:styleId="ListNumber">
    <w:name w:val="List Number"/>
    <w:basedOn w:val="Normal"/>
    <w:uiPriority w:val="99"/>
    <w:semiHidden/>
    <w:unhideWhenUsed/>
    <w:rsid w:val="009E2D58"/>
    <w:pPr>
      <w:numPr>
        <w:numId w:val="1"/>
      </w:numPr>
      <w:contextualSpacing/>
    </w:pPr>
  </w:style>
  <w:style w:type="character" w:customStyle="1" w:styleId="Heading2Char">
    <w:name w:val="Heading 2 Char"/>
    <w:link w:val="Heading2"/>
    <w:uiPriority w:val="9"/>
    <w:rsid w:val="00C80453"/>
    <w:rPr>
      <w:rFonts w:ascii="Times New Roman" w:eastAsia="PMingLiU" w:hAnsi="Times New Roman" w:cs="Mangal"/>
      <w:b/>
      <w:szCs w:val="26"/>
      <w:lang w:val="en-IN" w:bidi="ar-SA"/>
    </w:rPr>
  </w:style>
  <w:style w:type="character" w:customStyle="1" w:styleId="Heading1Char">
    <w:name w:val="Heading 1 Char"/>
    <w:link w:val="Heading1"/>
    <w:uiPriority w:val="9"/>
    <w:rsid w:val="00386AC3"/>
    <w:rPr>
      <w:rFonts w:ascii="Times New Roman" w:hAnsi="Times New Roman" w:cs="Times New Roman"/>
      <w:b/>
      <w:sz w:val="22"/>
      <w:szCs w:val="24"/>
      <w:lang w:val="en-US" w:eastAsia="en-US"/>
    </w:rPr>
  </w:style>
  <w:style w:type="character" w:customStyle="1" w:styleId="Heading3Char">
    <w:name w:val="Heading 3 Char"/>
    <w:link w:val="Heading3"/>
    <w:uiPriority w:val="9"/>
    <w:rsid w:val="00CD17D5"/>
    <w:rPr>
      <w:rFonts w:ascii="Times New Roman" w:eastAsia="PMingLiU" w:hAnsi="Times New Roman" w:cs="Mangal"/>
      <w:b/>
      <w:sz w:val="20"/>
      <w:szCs w:val="24"/>
      <w:lang w:val="en-IN" w:bidi="ar-SA"/>
    </w:rPr>
  </w:style>
  <w:style w:type="paragraph" w:customStyle="1" w:styleId="H1">
    <w:name w:val="H1"/>
    <w:basedOn w:val="Heading1"/>
    <w:next w:val="Normal"/>
    <w:autoRedefine/>
    <w:rsid w:val="00244B23"/>
    <w:pPr>
      <w:keepNext w:val="0"/>
      <w:keepLines w:val="0"/>
      <w:autoSpaceDE w:val="0"/>
      <w:autoSpaceDN w:val="0"/>
      <w:jc w:val="center"/>
    </w:pPr>
    <w:rPr>
      <w:rFonts w:eastAsia="Times New Roman" w:cs="AdvPSTim"/>
      <w:bCs/>
      <w:color w:val="000000"/>
      <w:spacing w:val="30"/>
      <w:kern w:val="28"/>
      <w:szCs w:val="25"/>
    </w:rPr>
  </w:style>
  <w:style w:type="paragraph" w:customStyle="1" w:styleId="nadeem">
    <w:name w:val="nadeem"/>
    <w:basedOn w:val="Normal"/>
    <w:next w:val="Normal"/>
    <w:rsid w:val="00322346"/>
    <w:pPr>
      <w:autoSpaceDE w:val="0"/>
      <w:autoSpaceDN w:val="0"/>
      <w:spacing w:after="120" w:line="360" w:lineRule="auto"/>
      <w:ind w:firstLine="720"/>
    </w:pPr>
    <w:rPr>
      <w:rFonts w:eastAsia="Times New Roman" w:cs="Times New Roman"/>
      <w:szCs w:val="24"/>
      <w:lang w:val="en-US"/>
    </w:rPr>
  </w:style>
  <w:style w:type="character" w:styleId="LineNumber">
    <w:name w:val="line number"/>
    <w:basedOn w:val="DefaultParagraphFont"/>
    <w:uiPriority w:val="99"/>
    <w:semiHidden/>
    <w:unhideWhenUsed/>
    <w:rsid w:val="00B80305"/>
  </w:style>
  <w:style w:type="table" w:styleId="TableGrid">
    <w:name w:val="Table Grid"/>
    <w:basedOn w:val="TableNormal"/>
    <w:uiPriority w:val="39"/>
    <w:rsid w:val="00BA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8630B0"/>
    <w:rPr>
      <w:color w:val="954F72"/>
      <w:u w:val="single"/>
    </w:rPr>
  </w:style>
  <w:style w:type="paragraph" w:styleId="NormalWeb">
    <w:name w:val="Normal (Web)"/>
    <w:basedOn w:val="Normal"/>
    <w:uiPriority w:val="99"/>
    <w:semiHidden/>
    <w:unhideWhenUsed/>
    <w:rsid w:val="00917F17"/>
    <w:pPr>
      <w:spacing w:before="100" w:beforeAutospacing="1" w:after="100" w:afterAutospacing="1" w:line="240" w:lineRule="auto"/>
      <w:jc w:val="left"/>
    </w:pPr>
    <w:rPr>
      <w:rFonts w:cs="Times New Roman"/>
      <w:szCs w:val="24"/>
      <w:lang w:val="fr-FR" w:eastAsia="fr-FR"/>
    </w:rPr>
  </w:style>
  <w:style w:type="paragraph" w:styleId="Revision">
    <w:name w:val="Revision"/>
    <w:hidden/>
    <w:uiPriority w:val="99"/>
    <w:semiHidden/>
    <w:rsid w:val="00731940"/>
    <w:rPr>
      <w:rFonts w:ascii="Times New Roman" w:hAnsi="Times New Roman"/>
      <w:sz w:val="24"/>
      <w:szCs w:val="22"/>
      <w:lang w:eastAsia="en-US"/>
    </w:rPr>
  </w:style>
  <w:style w:type="paragraph" w:styleId="BalloonText">
    <w:name w:val="Balloon Text"/>
    <w:basedOn w:val="Normal"/>
    <w:link w:val="BalloonTextChar"/>
    <w:uiPriority w:val="99"/>
    <w:semiHidden/>
    <w:unhideWhenUsed/>
    <w:rsid w:val="00731940"/>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731940"/>
    <w:rPr>
      <w:rFonts w:ascii="Segoe UI" w:hAnsi="Segoe UI" w:cs="Segoe UI"/>
      <w:sz w:val="18"/>
      <w:szCs w:val="18"/>
      <w:lang w:val="en-IN" w:bidi="ar-SA"/>
    </w:rPr>
  </w:style>
  <w:style w:type="character" w:customStyle="1" w:styleId="Heading4Char">
    <w:name w:val="Heading 4 Char"/>
    <w:link w:val="Heading4"/>
    <w:uiPriority w:val="9"/>
    <w:semiHidden/>
    <w:rsid w:val="00C80453"/>
    <w:rPr>
      <w:rFonts w:ascii="Times New Roman" w:eastAsia="PMingLiU" w:hAnsi="Times New Roman" w:cs="Mangal"/>
      <w:b/>
      <w:iCs/>
      <w:sz w:val="20"/>
      <w:szCs w:val="22"/>
      <w:lang w:val="en-IN" w:bidi="ar-SA"/>
    </w:rPr>
  </w:style>
  <w:style w:type="character" w:customStyle="1" w:styleId="Heading5Char">
    <w:name w:val="Heading 5 Char"/>
    <w:link w:val="Heading5"/>
    <w:uiPriority w:val="9"/>
    <w:semiHidden/>
    <w:rsid w:val="00175CF9"/>
    <w:rPr>
      <w:rFonts w:ascii="Calibri Light" w:eastAsia="PMingLiU" w:hAnsi="Calibri Light" w:cs="Mangal"/>
      <w:color w:val="2E74B5"/>
      <w:sz w:val="24"/>
      <w:szCs w:val="22"/>
      <w:lang w:val="en-IN" w:bidi="ar-SA"/>
    </w:rPr>
  </w:style>
  <w:style w:type="character" w:customStyle="1" w:styleId="Heading6Char">
    <w:name w:val="Heading 6 Char"/>
    <w:link w:val="Heading6"/>
    <w:uiPriority w:val="9"/>
    <w:semiHidden/>
    <w:rsid w:val="00175CF9"/>
    <w:rPr>
      <w:rFonts w:ascii="Calibri Light" w:eastAsia="PMingLiU" w:hAnsi="Calibri Light" w:cs="Mangal"/>
      <w:color w:val="1F4D78"/>
      <w:sz w:val="24"/>
      <w:szCs w:val="22"/>
      <w:lang w:val="en-IN" w:bidi="ar-SA"/>
    </w:rPr>
  </w:style>
  <w:style w:type="character" w:customStyle="1" w:styleId="Heading7Char">
    <w:name w:val="Heading 7 Char"/>
    <w:link w:val="Heading7"/>
    <w:uiPriority w:val="9"/>
    <w:semiHidden/>
    <w:rsid w:val="00175CF9"/>
    <w:rPr>
      <w:rFonts w:ascii="Calibri Light" w:eastAsia="PMingLiU" w:hAnsi="Calibri Light" w:cs="Mangal"/>
      <w:i/>
      <w:iCs/>
      <w:color w:val="1F4D78"/>
      <w:sz w:val="24"/>
      <w:szCs w:val="22"/>
      <w:lang w:val="en-IN" w:bidi="ar-SA"/>
    </w:rPr>
  </w:style>
  <w:style w:type="character" w:customStyle="1" w:styleId="Heading8Char">
    <w:name w:val="Heading 8 Char"/>
    <w:link w:val="Heading8"/>
    <w:uiPriority w:val="9"/>
    <w:semiHidden/>
    <w:rsid w:val="00175CF9"/>
    <w:rPr>
      <w:rFonts w:ascii="Calibri Light" w:eastAsia="PMingLiU" w:hAnsi="Calibri Light" w:cs="Mangal"/>
      <w:color w:val="272727"/>
      <w:sz w:val="21"/>
      <w:szCs w:val="21"/>
      <w:lang w:val="en-IN" w:bidi="ar-SA"/>
    </w:rPr>
  </w:style>
  <w:style w:type="character" w:customStyle="1" w:styleId="Heading9Char">
    <w:name w:val="Heading 9 Char"/>
    <w:link w:val="Heading9"/>
    <w:uiPriority w:val="9"/>
    <w:semiHidden/>
    <w:rsid w:val="00175CF9"/>
    <w:rPr>
      <w:rFonts w:ascii="Calibri Light" w:eastAsia="PMingLiU" w:hAnsi="Calibri Light" w:cs="Mangal"/>
      <w:i/>
      <w:iCs/>
      <w:color w:val="272727"/>
      <w:sz w:val="21"/>
      <w:szCs w:val="21"/>
      <w:lang w:val="en-IN" w:bidi="ar-SA"/>
    </w:rPr>
  </w:style>
  <w:style w:type="character" w:styleId="UnresolvedMention">
    <w:name w:val="Unresolved Mention"/>
    <w:uiPriority w:val="99"/>
    <w:semiHidden/>
    <w:unhideWhenUsed/>
    <w:rsid w:val="009F2232"/>
    <w:rPr>
      <w:color w:val="808080"/>
      <w:shd w:val="clear" w:color="auto" w:fill="E6E6E6"/>
    </w:rPr>
  </w:style>
  <w:style w:type="character" w:styleId="Emphasis">
    <w:name w:val="Emphasis"/>
    <w:uiPriority w:val="20"/>
    <w:qFormat/>
    <w:rsid w:val="00505F61"/>
    <w:rPr>
      <w:i/>
      <w:iCs/>
    </w:rPr>
  </w:style>
  <w:style w:type="character" w:styleId="PlaceholderText">
    <w:name w:val="Placeholder Text"/>
    <w:basedOn w:val="DefaultParagraphFont"/>
    <w:uiPriority w:val="99"/>
    <w:semiHidden/>
    <w:rsid w:val="00DB31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90099">
      <w:bodyDiv w:val="1"/>
      <w:marLeft w:val="0"/>
      <w:marRight w:val="0"/>
      <w:marTop w:val="0"/>
      <w:marBottom w:val="0"/>
      <w:divBdr>
        <w:top w:val="none" w:sz="0" w:space="0" w:color="auto"/>
        <w:left w:val="none" w:sz="0" w:space="0" w:color="auto"/>
        <w:bottom w:val="none" w:sz="0" w:space="0" w:color="auto"/>
        <w:right w:val="none" w:sz="0" w:space="0" w:color="auto"/>
      </w:divBdr>
      <w:divsChild>
        <w:div w:id="936209315">
          <w:marLeft w:val="0"/>
          <w:marRight w:val="0"/>
          <w:marTop w:val="0"/>
          <w:marBottom w:val="0"/>
          <w:divBdr>
            <w:top w:val="none" w:sz="0" w:space="0" w:color="auto"/>
            <w:left w:val="none" w:sz="0" w:space="0" w:color="auto"/>
            <w:bottom w:val="none" w:sz="0" w:space="0" w:color="auto"/>
            <w:right w:val="none" w:sz="0" w:space="0" w:color="auto"/>
          </w:divBdr>
          <w:divsChild>
            <w:div w:id="1827016570">
              <w:marLeft w:val="0"/>
              <w:marRight w:val="0"/>
              <w:marTop w:val="0"/>
              <w:marBottom w:val="0"/>
              <w:divBdr>
                <w:top w:val="none" w:sz="0" w:space="0" w:color="auto"/>
                <w:left w:val="none" w:sz="0" w:space="0" w:color="auto"/>
                <w:bottom w:val="none" w:sz="0" w:space="0" w:color="auto"/>
                <w:right w:val="none" w:sz="0" w:space="0" w:color="auto"/>
              </w:divBdr>
              <w:divsChild>
                <w:div w:id="639651368">
                  <w:marLeft w:val="0"/>
                  <w:marRight w:val="0"/>
                  <w:marTop w:val="0"/>
                  <w:marBottom w:val="0"/>
                  <w:divBdr>
                    <w:top w:val="none" w:sz="0" w:space="0" w:color="auto"/>
                    <w:left w:val="none" w:sz="0" w:space="0" w:color="auto"/>
                    <w:bottom w:val="none" w:sz="0" w:space="0" w:color="auto"/>
                    <w:right w:val="none" w:sz="0" w:space="0" w:color="auto"/>
                  </w:divBdr>
                  <w:divsChild>
                    <w:div w:id="15456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87745">
          <w:marLeft w:val="0"/>
          <w:marRight w:val="0"/>
          <w:marTop w:val="0"/>
          <w:marBottom w:val="0"/>
          <w:divBdr>
            <w:top w:val="none" w:sz="0" w:space="0" w:color="auto"/>
            <w:left w:val="none" w:sz="0" w:space="0" w:color="auto"/>
            <w:bottom w:val="none" w:sz="0" w:space="0" w:color="auto"/>
            <w:right w:val="none" w:sz="0" w:space="0" w:color="auto"/>
          </w:divBdr>
          <w:divsChild>
            <w:div w:id="353776022">
              <w:marLeft w:val="0"/>
              <w:marRight w:val="0"/>
              <w:marTop w:val="0"/>
              <w:marBottom w:val="0"/>
              <w:divBdr>
                <w:top w:val="none" w:sz="0" w:space="0" w:color="auto"/>
                <w:left w:val="none" w:sz="0" w:space="0" w:color="auto"/>
                <w:bottom w:val="none" w:sz="0" w:space="0" w:color="auto"/>
                <w:right w:val="none" w:sz="0" w:space="0" w:color="auto"/>
              </w:divBdr>
              <w:divsChild>
                <w:div w:id="1563130689">
                  <w:marLeft w:val="0"/>
                  <w:marRight w:val="0"/>
                  <w:marTop w:val="0"/>
                  <w:marBottom w:val="0"/>
                  <w:divBdr>
                    <w:top w:val="none" w:sz="0" w:space="0" w:color="auto"/>
                    <w:left w:val="none" w:sz="0" w:space="0" w:color="auto"/>
                    <w:bottom w:val="none" w:sz="0" w:space="0" w:color="auto"/>
                    <w:right w:val="none" w:sz="0" w:space="0" w:color="auto"/>
                  </w:divBdr>
                  <w:divsChild>
                    <w:div w:id="20171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51518">
      <w:bodyDiv w:val="1"/>
      <w:marLeft w:val="0"/>
      <w:marRight w:val="0"/>
      <w:marTop w:val="0"/>
      <w:marBottom w:val="0"/>
      <w:divBdr>
        <w:top w:val="none" w:sz="0" w:space="0" w:color="auto"/>
        <w:left w:val="none" w:sz="0" w:space="0" w:color="auto"/>
        <w:bottom w:val="none" w:sz="0" w:space="0" w:color="auto"/>
        <w:right w:val="none" w:sz="0" w:space="0" w:color="auto"/>
      </w:divBdr>
    </w:div>
    <w:div w:id="942763419">
      <w:bodyDiv w:val="1"/>
      <w:marLeft w:val="0"/>
      <w:marRight w:val="0"/>
      <w:marTop w:val="0"/>
      <w:marBottom w:val="0"/>
      <w:divBdr>
        <w:top w:val="none" w:sz="0" w:space="0" w:color="auto"/>
        <w:left w:val="none" w:sz="0" w:space="0" w:color="auto"/>
        <w:bottom w:val="none" w:sz="0" w:space="0" w:color="auto"/>
        <w:right w:val="none" w:sz="0" w:space="0" w:color="auto"/>
      </w:divBdr>
    </w:div>
    <w:div w:id="1178157387">
      <w:bodyDiv w:val="1"/>
      <w:marLeft w:val="0"/>
      <w:marRight w:val="0"/>
      <w:marTop w:val="0"/>
      <w:marBottom w:val="0"/>
      <w:divBdr>
        <w:top w:val="none" w:sz="0" w:space="0" w:color="auto"/>
        <w:left w:val="none" w:sz="0" w:space="0" w:color="auto"/>
        <w:bottom w:val="none" w:sz="0" w:space="0" w:color="auto"/>
        <w:right w:val="none" w:sz="0" w:space="0" w:color="auto"/>
      </w:divBdr>
      <w:divsChild>
        <w:div w:id="448858218">
          <w:marLeft w:val="0"/>
          <w:marRight w:val="0"/>
          <w:marTop w:val="0"/>
          <w:marBottom w:val="0"/>
          <w:divBdr>
            <w:top w:val="none" w:sz="0" w:space="0" w:color="auto"/>
            <w:left w:val="none" w:sz="0" w:space="0" w:color="auto"/>
            <w:bottom w:val="none" w:sz="0" w:space="0" w:color="auto"/>
            <w:right w:val="none" w:sz="0" w:space="0" w:color="auto"/>
          </w:divBdr>
          <w:divsChild>
            <w:div w:id="772556469">
              <w:marLeft w:val="0"/>
              <w:marRight w:val="0"/>
              <w:marTop w:val="0"/>
              <w:marBottom w:val="300"/>
              <w:divBdr>
                <w:top w:val="none" w:sz="0" w:space="0" w:color="auto"/>
                <w:left w:val="none" w:sz="0" w:space="0" w:color="auto"/>
                <w:bottom w:val="none" w:sz="0" w:space="0" w:color="auto"/>
                <w:right w:val="none" w:sz="0" w:space="0" w:color="auto"/>
              </w:divBdr>
            </w:div>
          </w:divsChild>
        </w:div>
        <w:div w:id="191112267">
          <w:marLeft w:val="0"/>
          <w:marRight w:val="0"/>
          <w:marTop w:val="0"/>
          <w:marBottom w:val="0"/>
          <w:divBdr>
            <w:top w:val="none" w:sz="0" w:space="0" w:color="auto"/>
            <w:left w:val="none" w:sz="0" w:space="0" w:color="auto"/>
            <w:bottom w:val="none" w:sz="0" w:space="0" w:color="auto"/>
            <w:right w:val="none" w:sz="0" w:space="0" w:color="auto"/>
          </w:divBdr>
          <w:divsChild>
            <w:div w:id="1595632818">
              <w:marLeft w:val="0"/>
              <w:marRight w:val="0"/>
              <w:marTop w:val="150"/>
              <w:marBottom w:val="300"/>
              <w:divBdr>
                <w:top w:val="none" w:sz="0" w:space="0" w:color="auto"/>
                <w:left w:val="none" w:sz="0" w:space="0" w:color="auto"/>
                <w:bottom w:val="none" w:sz="0" w:space="0" w:color="auto"/>
                <w:right w:val="none" w:sz="0" w:space="0" w:color="auto"/>
              </w:divBdr>
            </w:div>
          </w:divsChild>
        </w:div>
        <w:div w:id="561058204">
          <w:marLeft w:val="0"/>
          <w:marRight w:val="0"/>
          <w:marTop w:val="0"/>
          <w:marBottom w:val="0"/>
          <w:divBdr>
            <w:top w:val="none" w:sz="0" w:space="0" w:color="auto"/>
            <w:left w:val="none" w:sz="0" w:space="0" w:color="auto"/>
            <w:bottom w:val="none" w:sz="0" w:space="0" w:color="auto"/>
            <w:right w:val="none" w:sz="0" w:space="0" w:color="auto"/>
          </w:divBdr>
          <w:divsChild>
            <w:div w:id="1434860682">
              <w:marLeft w:val="0"/>
              <w:marRight w:val="0"/>
              <w:marTop w:val="300"/>
              <w:marBottom w:val="150"/>
              <w:divBdr>
                <w:top w:val="none" w:sz="0" w:space="0" w:color="auto"/>
                <w:left w:val="none" w:sz="0" w:space="0" w:color="auto"/>
                <w:bottom w:val="none" w:sz="0" w:space="0" w:color="auto"/>
                <w:right w:val="none" w:sz="0" w:space="0" w:color="auto"/>
              </w:divBdr>
            </w:div>
          </w:divsChild>
        </w:div>
        <w:div w:id="495534082">
          <w:marLeft w:val="0"/>
          <w:marRight w:val="0"/>
          <w:marTop w:val="0"/>
          <w:marBottom w:val="0"/>
          <w:divBdr>
            <w:top w:val="none" w:sz="0" w:space="0" w:color="auto"/>
            <w:left w:val="none" w:sz="0" w:space="0" w:color="auto"/>
            <w:bottom w:val="none" w:sz="0" w:space="0" w:color="auto"/>
            <w:right w:val="none" w:sz="0" w:space="0" w:color="auto"/>
          </w:divBdr>
        </w:div>
        <w:div w:id="281425467">
          <w:marLeft w:val="0"/>
          <w:marRight w:val="0"/>
          <w:marTop w:val="0"/>
          <w:marBottom w:val="0"/>
          <w:divBdr>
            <w:top w:val="none" w:sz="0" w:space="0" w:color="auto"/>
            <w:left w:val="none" w:sz="0" w:space="0" w:color="auto"/>
            <w:bottom w:val="none" w:sz="0" w:space="0" w:color="auto"/>
            <w:right w:val="none" w:sz="0" w:space="0" w:color="auto"/>
          </w:divBdr>
          <w:divsChild>
            <w:div w:id="636640613">
              <w:marLeft w:val="0"/>
              <w:marRight w:val="0"/>
              <w:marTop w:val="0"/>
              <w:marBottom w:val="0"/>
              <w:divBdr>
                <w:top w:val="none" w:sz="0" w:space="0" w:color="auto"/>
                <w:left w:val="none" w:sz="0" w:space="0" w:color="auto"/>
                <w:bottom w:val="none" w:sz="0" w:space="0" w:color="auto"/>
                <w:right w:val="none" w:sz="0" w:space="0" w:color="auto"/>
              </w:divBdr>
              <w:divsChild>
                <w:div w:id="8984438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3936980">
          <w:marLeft w:val="0"/>
          <w:marRight w:val="0"/>
          <w:marTop w:val="0"/>
          <w:marBottom w:val="0"/>
          <w:divBdr>
            <w:top w:val="none" w:sz="0" w:space="0" w:color="auto"/>
            <w:left w:val="none" w:sz="0" w:space="0" w:color="auto"/>
            <w:bottom w:val="none" w:sz="0" w:space="0" w:color="auto"/>
            <w:right w:val="none" w:sz="0" w:space="0" w:color="auto"/>
          </w:divBdr>
          <w:divsChild>
            <w:div w:id="1937132846">
              <w:marLeft w:val="0"/>
              <w:marRight w:val="0"/>
              <w:marTop w:val="0"/>
              <w:marBottom w:val="0"/>
              <w:divBdr>
                <w:top w:val="none" w:sz="0" w:space="0" w:color="auto"/>
                <w:left w:val="none" w:sz="0" w:space="0" w:color="auto"/>
                <w:bottom w:val="none" w:sz="0" w:space="0" w:color="auto"/>
                <w:right w:val="none" w:sz="0" w:space="0" w:color="auto"/>
              </w:divBdr>
              <w:divsChild>
                <w:div w:id="1731997030">
                  <w:marLeft w:val="0"/>
                  <w:marRight w:val="0"/>
                  <w:marTop w:val="0"/>
                  <w:marBottom w:val="0"/>
                  <w:divBdr>
                    <w:top w:val="none" w:sz="0" w:space="0" w:color="auto"/>
                    <w:left w:val="none" w:sz="0" w:space="0" w:color="auto"/>
                    <w:bottom w:val="none" w:sz="0" w:space="0" w:color="auto"/>
                    <w:right w:val="none" w:sz="0" w:space="0" w:color="auto"/>
                  </w:divBdr>
                </w:div>
                <w:div w:id="969164366">
                  <w:marLeft w:val="0"/>
                  <w:marRight w:val="0"/>
                  <w:marTop w:val="0"/>
                  <w:marBottom w:val="0"/>
                  <w:divBdr>
                    <w:top w:val="none" w:sz="0" w:space="0" w:color="auto"/>
                    <w:left w:val="none" w:sz="0" w:space="0" w:color="auto"/>
                    <w:bottom w:val="none" w:sz="0" w:space="0" w:color="auto"/>
                    <w:right w:val="none" w:sz="0" w:space="0" w:color="auto"/>
                  </w:divBdr>
                </w:div>
                <w:div w:id="1076516020">
                  <w:marLeft w:val="0"/>
                  <w:marRight w:val="0"/>
                  <w:marTop w:val="0"/>
                  <w:marBottom w:val="0"/>
                  <w:divBdr>
                    <w:top w:val="none" w:sz="0" w:space="0" w:color="auto"/>
                    <w:left w:val="none" w:sz="0" w:space="0" w:color="auto"/>
                    <w:bottom w:val="none" w:sz="0" w:space="0" w:color="auto"/>
                    <w:right w:val="none" w:sz="0" w:space="0" w:color="auto"/>
                  </w:divBdr>
                </w:div>
                <w:div w:id="763111072">
                  <w:marLeft w:val="0"/>
                  <w:marRight w:val="0"/>
                  <w:marTop w:val="0"/>
                  <w:marBottom w:val="0"/>
                  <w:divBdr>
                    <w:top w:val="none" w:sz="0" w:space="0" w:color="auto"/>
                    <w:left w:val="none" w:sz="0" w:space="0" w:color="auto"/>
                    <w:bottom w:val="none" w:sz="0" w:space="0" w:color="auto"/>
                    <w:right w:val="none" w:sz="0" w:space="0" w:color="auto"/>
                  </w:divBdr>
                </w:div>
                <w:div w:id="14853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7349">
          <w:marLeft w:val="0"/>
          <w:marRight w:val="0"/>
          <w:marTop w:val="0"/>
          <w:marBottom w:val="0"/>
          <w:divBdr>
            <w:top w:val="none" w:sz="0" w:space="0" w:color="auto"/>
            <w:left w:val="none" w:sz="0" w:space="0" w:color="auto"/>
            <w:bottom w:val="none" w:sz="0" w:space="0" w:color="auto"/>
            <w:right w:val="none" w:sz="0" w:space="0" w:color="auto"/>
          </w:divBdr>
          <w:divsChild>
            <w:div w:id="1289778496">
              <w:marLeft w:val="0"/>
              <w:marRight w:val="0"/>
              <w:marTop w:val="0"/>
              <w:marBottom w:val="0"/>
              <w:divBdr>
                <w:top w:val="none" w:sz="0" w:space="0" w:color="auto"/>
                <w:left w:val="none" w:sz="0" w:space="0" w:color="auto"/>
                <w:bottom w:val="none" w:sz="0" w:space="0" w:color="auto"/>
                <w:right w:val="none" w:sz="0" w:space="0" w:color="auto"/>
              </w:divBdr>
              <w:divsChild>
                <w:div w:id="17074107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2925462">
          <w:marLeft w:val="0"/>
          <w:marRight w:val="0"/>
          <w:marTop w:val="0"/>
          <w:marBottom w:val="0"/>
          <w:divBdr>
            <w:top w:val="none" w:sz="0" w:space="0" w:color="auto"/>
            <w:left w:val="none" w:sz="0" w:space="0" w:color="auto"/>
            <w:bottom w:val="none" w:sz="0" w:space="0" w:color="auto"/>
            <w:right w:val="none" w:sz="0" w:space="0" w:color="auto"/>
          </w:divBdr>
          <w:divsChild>
            <w:div w:id="979579935">
              <w:marLeft w:val="0"/>
              <w:marRight w:val="0"/>
              <w:marTop w:val="0"/>
              <w:marBottom w:val="0"/>
              <w:divBdr>
                <w:top w:val="none" w:sz="0" w:space="0" w:color="auto"/>
                <w:left w:val="none" w:sz="0" w:space="0" w:color="auto"/>
                <w:bottom w:val="none" w:sz="0" w:space="0" w:color="auto"/>
                <w:right w:val="none" w:sz="0" w:space="0" w:color="auto"/>
              </w:divBdr>
              <w:divsChild>
                <w:div w:id="436826082">
                  <w:marLeft w:val="0"/>
                  <w:marRight w:val="0"/>
                  <w:marTop w:val="0"/>
                  <w:marBottom w:val="0"/>
                  <w:divBdr>
                    <w:top w:val="none" w:sz="0" w:space="0" w:color="auto"/>
                    <w:left w:val="none" w:sz="0" w:space="0" w:color="auto"/>
                    <w:bottom w:val="none" w:sz="0" w:space="0" w:color="auto"/>
                    <w:right w:val="none" w:sz="0" w:space="0" w:color="auto"/>
                  </w:divBdr>
                  <w:divsChild>
                    <w:div w:id="708384110">
                      <w:marLeft w:val="-420"/>
                      <w:marRight w:val="0"/>
                      <w:marTop w:val="0"/>
                      <w:marBottom w:val="0"/>
                      <w:divBdr>
                        <w:top w:val="none" w:sz="0" w:space="0" w:color="auto"/>
                        <w:left w:val="none" w:sz="0" w:space="0" w:color="auto"/>
                        <w:bottom w:val="none" w:sz="0" w:space="0" w:color="auto"/>
                        <w:right w:val="none" w:sz="0" w:space="0" w:color="auto"/>
                      </w:divBdr>
                      <w:divsChild>
                        <w:div w:id="2042436190">
                          <w:marLeft w:val="0"/>
                          <w:marRight w:val="0"/>
                          <w:marTop w:val="0"/>
                          <w:marBottom w:val="0"/>
                          <w:divBdr>
                            <w:top w:val="none" w:sz="0" w:space="0" w:color="auto"/>
                            <w:left w:val="none" w:sz="0" w:space="0" w:color="auto"/>
                            <w:bottom w:val="none" w:sz="0" w:space="0" w:color="auto"/>
                            <w:right w:val="none" w:sz="0" w:space="0" w:color="auto"/>
                          </w:divBdr>
                          <w:divsChild>
                            <w:div w:id="807092215">
                              <w:marLeft w:val="0"/>
                              <w:marRight w:val="0"/>
                              <w:marTop w:val="0"/>
                              <w:marBottom w:val="0"/>
                              <w:divBdr>
                                <w:top w:val="none" w:sz="0" w:space="0" w:color="auto"/>
                                <w:left w:val="none" w:sz="0" w:space="0" w:color="auto"/>
                                <w:bottom w:val="none" w:sz="0" w:space="0" w:color="auto"/>
                                <w:right w:val="none" w:sz="0" w:space="0" w:color="auto"/>
                              </w:divBdr>
                              <w:divsChild>
                                <w:div w:id="2090886782">
                                  <w:marLeft w:val="0"/>
                                  <w:marRight w:val="0"/>
                                  <w:marTop w:val="0"/>
                                  <w:marBottom w:val="0"/>
                                  <w:divBdr>
                                    <w:top w:val="none" w:sz="0" w:space="0" w:color="auto"/>
                                    <w:left w:val="none" w:sz="0" w:space="0" w:color="auto"/>
                                    <w:bottom w:val="none" w:sz="0" w:space="0" w:color="auto"/>
                                    <w:right w:val="none" w:sz="0" w:space="0" w:color="auto"/>
                                  </w:divBdr>
                                </w:div>
                                <w:div w:id="389426530">
                                  <w:marLeft w:val="0"/>
                                  <w:marRight w:val="0"/>
                                  <w:marTop w:val="0"/>
                                  <w:marBottom w:val="0"/>
                                  <w:divBdr>
                                    <w:top w:val="none" w:sz="0" w:space="0" w:color="auto"/>
                                    <w:left w:val="none" w:sz="0" w:space="0" w:color="auto"/>
                                    <w:bottom w:val="none" w:sz="0" w:space="0" w:color="auto"/>
                                    <w:right w:val="none" w:sz="0" w:space="0" w:color="auto"/>
                                  </w:divBdr>
                                  <w:divsChild>
                                    <w:div w:id="240911868">
                                      <w:marLeft w:val="0"/>
                                      <w:marRight w:val="0"/>
                                      <w:marTop w:val="0"/>
                                      <w:marBottom w:val="0"/>
                                      <w:divBdr>
                                        <w:top w:val="none" w:sz="0" w:space="0" w:color="auto"/>
                                        <w:left w:val="none" w:sz="0" w:space="0" w:color="auto"/>
                                        <w:bottom w:val="none" w:sz="0" w:space="0" w:color="auto"/>
                                        <w:right w:val="none" w:sz="0" w:space="0" w:color="auto"/>
                                      </w:divBdr>
                                      <w:divsChild>
                                        <w:div w:id="1389765098">
                                          <w:marLeft w:val="0"/>
                                          <w:marRight w:val="0"/>
                                          <w:marTop w:val="0"/>
                                          <w:marBottom w:val="0"/>
                                          <w:divBdr>
                                            <w:top w:val="none" w:sz="0" w:space="0" w:color="auto"/>
                                            <w:left w:val="none" w:sz="0" w:space="0" w:color="auto"/>
                                            <w:bottom w:val="none" w:sz="0" w:space="0" w:color="auto"/>
                                            <w:right w:val="none" w:sz="0" w:space="0" w:color="auto"/>
                                          </w:divBdr>
                                        </w:div>
                                        <w:div w:id="3735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461248">
                  <w:marLeft w:val="0"/>
                  <w:marRight w:val="0"/>
                  <w:marTop w:val="0"/>
                  <w:marBottom w:val="0"/>
                  <w:divBdr>
                    <w:top w:val="none" w:sz="0" w:space="0" w:color="auto"/>
                    <w:left w:val="none" w:sz="0" w:space="0" w:color="auto"/>
                    <w:bottom w:val="none" w:sz="0" w:space="0" w:color="auto"/>
                    <w:right w:val="none" w:sz="0" w:space="0" w:color="auto"/>
                  </w:divBdr>
                  <w:divsChild>
                    <w:div w:id="327094755">
                      <w:marLeft w:val="-420"/>
                      <w:marRight w:val="0"/>
                      <w:marTop w:val="0"/>
                      <w:marBottom w:val="0"/>
                      <w:divBdr>
                        <w:top w:val="none" w:sz="0" w:space="0" w:color="auto"/>
                        <w:left w:val="none" w:sz="0" w:space="0" w:color="auto"/>
                        <w:bottom w:val="none" w:sz="0" w:space="0" w:color="auto"/>
                        <w:right w:val="none" w:sz="0" w:space="0" w:color="auto"/>
                      </w:divBdr>
                      <w:divsChild>
                        <w:div w:id="2112122725">
                          <w:marLeft w:val="0"/>
                          <w:marRight w:val="0"/>
                          <w:marTop w:val="0"/>
                          <w:marBottom w:val="0"/>
                          <w:divBdr>
                            <w:top w:val="none" w:sz="0" w:space="0" w:color="auto"/>
                            <w:left w:val="none" w:sz="0" w:space="0" w:color="auto"/>
                            <w:bottom w:val="none" w:sz="0" w:space="0" w:color="auto"/>
                            <w:right w:val="none" w:sz="0" w:space="0" w:color="auto"/>
                          </w:divBdr>
                          <w:divsChild>
                            <w:div w:id="1713647396">
                              <w:marLeft w:val="0"/>
                              <w:marRight w:val="0"/>
                              <w:marTop w:val="0"/>
                              <w:marBottom w:val="0"/>
                              <w:divBdr>
                                <w:top w:val="none" w:sz="0" w:space="0" w:color="auto"/>
                                <w:left w:val="none" w:sz="0" w:space="0" w:color="auto"/>
                                <w:bottom w:val="none" w:sz="0" w:space="0" w:color="auto"/>
                                <w:right w:val="none" w:sz="0" w:space="0" w:color="auto"/>
                              </w:divBdr>
                              <w:divsChild>
                                <w:div w:id="1419598505">
                                  <w:marLeft w:val="0"/>
                                  <w:marRight w:val="0"/>
                                  <w:marTop w:val="0"/>
                                  <w:marBottom w:val="0"/>
                                  <w:divBdr>
                                    <w:top w:val="none" w:sz="0" w:space="0" w:color="auto"/>
                                    <w:left w:val="none" w:sz="0" w:space="0" w:color="auto"/>
                                    <w:bottom w:val="none" w:sz="0" w:space="0" w:color="auto"/>
                                    <w:right w:val="none" w:sz="0" w:space="0" w:color="auto"/>
                                  </w:divBdr>
                                </w:div>
                                <w:div w:id="838890593">
                                  <w:marLeft w:val="0"/>
                                  <w:marRight w:val="0"/>
                                  <w:marTop w:val="0"/>
                                  <w:marBottom w:val="0"/>
                                  <w:divBdr>
                                    <w:top w:val="none" w:sz="0" w:space="0" w:color="auto"/>
                                    <w:left w:val="none" w:sz="0" w:space="0" w:color="auto"/>
                                    <w:bottom w:val="none" w:sz="0" w:space="0" w:color="auto"/>
                                    <w:right w:val="none" w:sz="0" w:space="0" w:color="auto"/>
                                  </w:divBdr>
                                  <w:divsChild>
                                    <w:div w:id="697000708">
                                      <w:marLeft w:val="0"/>
                                      <w:marRight w:val="0"/>
                                      <w:marTop w:val="0"/>
                                      <w:marBottom w:val="0"/>
                                      <w:divBdr>
                                        <w:top w:val="none" w:sz="0" w:space="0" w:color="auto"/>
                                        <w:left w:val="none" w:sz="0" w:space="0" w:color="auto"/>
                                        <w:bottom w:val="none" w:sz="0" w:space="0" w:color="auto"/>
                                        <w:right w:val="none" w:sz="0" w:space="0" w:color="auto"/>
                                      </w:divBdr>
                                      <w:divsChild>
                                        <w:div w:id="700014734">
                                          <w:marLeft w:val="0"/>
                                          <w:marRight w:val="0"/>
                                          <w:marTop w:val="0"/>
                                          <w:marBottom w:val="0"/>
                                          <w:divBdr>
                                            <w:top w:val="none" w:sz="0" w:space="0" w:color="auto"/>
                                            <w:left w:val="none" w:sz="0" w:space="0" w:color="auto"/>
                                            <w:bottom w:val="none" w:sz="0" w:space="0" w:color="auto"/>
                                            <w:right w:val="none" w:sz="0" w:space="0" w:color="auto"/>
                                          </w:divBdr>
                                        </w:div>
                                        <w:div w:id="12665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523794">
                  <w:marLeft w:val="0"/>
                  <w:marRight w:val="0"/>
                  <w:marTop w:val="0"/>
                  <w:marBottom w:val="0"/>
                  <w:divBdr>
                    <w:top w:val="none" w:sz="0" w:space="0" w:color="auto"/>
                    <w:left w:val="none" w:sz="0" w:space="0" w:color="auto"/>
                    <w:bottom w:val="none" w:sz="0" w:space="0" w:color="auto"/>
                    <w:right w:val="none" w:sz="0" w:space="0" w:color="auto"/>
                  </w:divBdr>
                  <w:divsChild>
                    <w:div w:id="1607620967">
                      <w:marLeft w:val="-420"/>
                      <w:marRight w:val="0"/>
                      <w:marTop w:val="0"/>
                      <w:marBottom w:val="0"/>
                      <w:divBdr>
                        <w:top w:val="none" w:sz="0" w:space="0" w:color="auto"/>
                        <w:left w:val="none" w:sz="0" w:space="0" w:color="auto"/>
                        <w:bottom w:val="none" w:sz="0" w:space="0" w:color="auto"/>
                        <w:right w:val="none" w:sz="0" w:space="0" w:color="auto"/>
                      </w:divBdr>
                      <w:divsChild>
                        <w:div w:id="1570533283">
                          <w:marLeft w:val="0"/>
                          <w:marRight w:val="0"/>
                          <w:marTop w:val="0"/>
                          <w:marBottom w:val="0"/>
                          <w:divBdr>
                            <w:top w:val="none" w:sz="0" w:space="0" w:color="auto"/>
                            <w:left w:val="none" w:sz="0" w:space="0" w:color="auto"/>
                            <w:bottom w:val="none" w:sz="0" w:space="0" w:color="auto"/>
                            <w:right w:val="none" w:sz="0" w:space="0" w:color="auto"/>
                          </w:divBdr>
                          <w:divsChild>
                            <w:div w:id="822741802">
                              <w:marLeft w:val="0"/>
                              <w:marRight w:val="0"/>
                              <w:marTop w:val="0"/>
                              <w:marBottom w:val="0"/>
                              <w:divBdr>
                                <w:top w:val="none" w:sz="0" w:space="0" w:color="auto"/>
                                <w:left w:val="none" w:sz="0" w:space="0" w:color="auto"/>
                                <w:bottom w:val="none" w:sz="0" w:space="0" w:color="auto"/>
                                <w:right w:val="none" w:sz="0" w:space="0" w:color="auto"/>
                              </w:divBdr>
                              <w:divsChild>
                                <w:div w:id="1970742498">
                                  <w:marLeft w:val="0"/>
                                  <w:marRight w:val="0"/>
                                  <w:marTop w:val="0"/>
                                  <w:marBottom w:val="0"/>
                                  <w:divBdr>
                                    <w:top w:val="none" w:sz="0" w:space="0" w:color="auto"/>
                                    <w:left w:val="none" w:sz="0" w:space="0" w:color="auto"/>
                                    <w:bottom w:val="none" w:sz="0" w:space="0" w:color="auto"/>
                                    <w:right w:val="none" w:sz="0" w:space="0" w:color="auto"/>
                                  </w:divBdr>
                                </w:div>
                                <w:div w:id="2109885273">
                                  <w:marLeft w:val="0"/>
                                  <w:marRight w:val="0"/>
                                  <w:marTop w:val="0"/>
                                  <w:marBottom w:val="0"/>
                                  <w:divBdr>
                                    <w:top w:val="none" w:sz="0" w:space="0" w:color="auto"/>
                                    <w:left w:val="none" w:sz="0" w:space="0" w:color="auto"/>
                                    <w:bottom w:val="none" w:sz="0" w:space="0" w:color="auto"/>
                                    <w:right w:val="none" w:sz="0" w:space="0" w:color="auto"/>
                                  </w:divBdr>
                                  <w:divsChild>
                                    <w:div w:id="859590898">
                                      <w:marLeft w:val="0"/>
                                      <w:marRight w:val="0"/>
                                      <w:marTop w:val="0"/>
                                      <w:marBottom w:val="0"/>
                                      <w:divBdr>
                                        <w:top w:val="none" w:sz="0" w:space="0" w:color="auto"/>
                                        <w:left w:val="none" w:sz="0" w:space="0" w:color="auto"/>
                                        <w:bottom w:val="none" w:sz="0" w:space="0" w:color="auto"/>
                                        <w:right w:val="none" w:sz="0" w:space="0" w:color="auto"/>
                                      </w:divBdr>
                                      <w:divsChild>
                                        <w:div w:id="296378122">
                                          <w:marLeft w:val="0"/>
                                          <w:marRight w:val="0"/>
                                          <w:marTop w:val="0"/>
                                          <w:marBottom w:val="0"/>
                                          <w:divBdr>
                                            <w:top w:val="none" w:sz="0" w:space="0" w:color="auto"/>
                                            <w:left w:val="none" w:sz="0" w:space="0" w:color="auto"/>
                                            <w:bottom w:val="none" w:sz="0" w:space="0" w:color="auto"/>
                                            <w:right w:val="none" w:sz="0" w:space="0" w:color="auto"/>
                                          </w:divBdr>
                                        </w:div>
                                        <w:div w:id="5128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60021">
                  <w:marLeft w:val="0"/>
                  <w:marRight w:val="0"/>
                  <w:marTop w:val="0"/>
                  <w:marBottom w:val="0"/>
                  <w:divBdr>
                    <w:top w:val="none" w:sz="0" w:space="0" w:color="auto"/>
                    <w:left w:val="none" w:sz="0" w:space="0" w:color="auto"/>
                    <w:bottom w:val="none" w:sz="0" w:space="0" w:color="auto"/>
                    <w:right w:val="none" w:sz="0" w:space="0" w:color="auto"/>
                  </w:divBdr>
                  <w:divsChild>
                    <w:div w:id="134838861">
                      <w:marLeft w:val="-420"/>
                      <w:marRight w:val="0"/>
                      <w:marTop w:val="0"/>
                      <w:marBottom w:val="0"/>
                      <w:divBdr>
                        <w:top w:val="none" w:sz="0" w:space="0" w:color="auto"/>
                        <w:left w:val="none" w:sz="0" w:space="0" w:color="auto"/>
                        <w:bottom w:val="none" w:sz="0" w:space="0" w:color="auto"/>
                        <w:right w:val="none" w:sz="0" w:space="0" w:color="auto"/>
                      </w:divBdr>
                      <w:divsChild>
                        <w:div w:id="1255895525">
                          <w:marLeft w:val="0"/>
                          <w:marRight w:val="0"/>
                          <w:marTop w:val="0"/>
                          <w:marBottom w:val="0"/>
                          <w:divBdr>
                            <w:top w:val="none" w:sz="0" w:space="0" w:color="auto"/>
                            <w:left w:val="none" w:sz="0" w:space="0" w:color="auto"/>
                            <w:bottom w:val="none" w:sz="0" w:space="0" w:color="auto"/>
                            <w:right w:val="none" w:sz="0" w:space="0" w:color="auto"/>
                          </w:divBdr>
                          <w:divsChild>
                            <w:div w:id="62460160">
                              <w:marLeft w:val="0"/>
                              <w:marRight w:val="0"/>
                              <w:marTop w:val="0"/>
                              <w:marBottom w:val="0"/>
                              <w:divBdr>
                                <w:top w:val="none" w:sz="0" w:space="0" w:color="auto"/>
                                <w:left w:val="none" w:sz="0" w:space="0" w:color="auto"/>
                                <w:bottom w:val="none" w:sz="0" w:space="0" w:color="auto"/>
                                <w:right w:val="none" w:sz="0" w:space="0" w:color="auto"/>
                              </w:divBdr>
                              <w:divsChild>
                                <w:div w:id="2026445582">
                                  <w:marLeft w:val="0"/>
                                  <w:marRight w:val="0"/>
                                  <w:marTop w:val="0"/>
                                  <w:marBottom w:val="0"/>
                                  <w:divBdr>
                                    <w:top w:val="none" w:sz="0" w:space="0" w:color="auto"/>
                                    <w:left w:val="none" w:sz="0" w:space="0" w:color="auto"/>
                                    <w:bottom w:val="none" w:sz="0" w:space="0" w:color="auto"/>
                                    <w:right w:val="none" w:sz="0" w:space="0" w:color="auto"/>
                                  </w:divBdr>
                                </w:div>
                                <w:div w:id="1720743544">
                                  <w:marLeft w:val="0"/>
                                  <w:marRight w:val="0"/>
                                  <w:marTop w:val="0"/>
                                  <w:marBottom w:val="0"/>
                                  <w:divBdr>
                                    <w:top w:val="none" w:sz="0" w:space="0" w:color="auto"/>
                                    <w:left w:val="none" w:sz="0" w:space="0" w:color="auto"/>
                                    <w:bottom w:val="none" w:sz="0" w:space="0" w:color="auto"/>
                                    <w:right w:val="none" w:sz="0" w:space="0" w:color="auto"/>
                                  </w:divBdr>
                                  <w:divsChild>
                                    <w:div w:id="395399643">
                                      <w:marLeft w:val="0"/>
                                      <w:marRight w:val="0"/>
                                      <w:marTop w:val="0"/>
                                      <w:marBottom w:val="0"/>
                                      <w:divBdr>
                                        <w:top w:val="none" w:sz="0" w:space="0" w:color="auto"/>
                                        <w:left w:val="none" w:sz="0" w:space="0" w:color="auto"/>
                                        <w:bottom w:val="none" w:sz="0" w:space="0" w:color="auto"/>
                                        <w:right w:val="none" w:sz="0" w:space="0" w:color="auto"/>
                                      </w:divBdr>
                                      <w:divsChild>
                                        <w:div w:id="79107397">
                                          <w:marLeft w:val="0"/>
                                          <w:marRight w:val="0"/>
                                          <w:marTop w:val="0"/>
                                          <w:marBottom w:val="0"/>
                                          <w:divBdr>
                                            <w:top w:val="none" w:sz="0" w:space="0" w:color="auto"/>
                                            <w:left w:val="none" w:sz="0" w:space="0" w:color="auto"/>
                                            <w:bottom w:val="none" w:sz="0" w:space="0" w:color="auto"/>
                                            <w:right w:val="none" w:sz="0" w:space="0" w:color="auto"/>
                                          </w:divBdr>
                                        </w:div>
                                        <w:div w:id="972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969371">
      <w:bodyDiv w:val="1"/>
      <w:marLeft w:val="0"/>
      <w:marRight w:val="0"/>
      <w:marTop w:val="0"/>
      <w:marBottom w:val="0"/>
      <w:divBdr>
        <w:top w:val="none" w:sz="0" w:space="0" w:color="auto"/>
        <w:left w:val="none" w:sz="0" w:space="0" w:color="auto"/>
        <w:bottom w:val="none" w:sz="0" w:space="0" w:color="auto"/>
        <w:right w:val="none" w:sz="0" w:space="0" w:color="auto"/>
      </w:divBdr>
      <w:divsChild>
        <w:div w:id="2017880696">
          <w:marLeft w:val="0"/>
          <w:marRight w:val="0"/>
          <w:marTop w:val="0"/>
          <w:marBottom w:val="0"/>
          <w:divBdr>
            <w:top w:val="none" w:sz="0" w:space="0" w:color="auto"/>
            <w:left w:val="none" w:sz="0" w:space="0" w:color="auto"/>
            <w:bottom w:val="none" w:sz="0" w:space="0" w:color="auto"/>
            <w:right w:val="none" w:sz="0" w:space="0" w:color="auto"/>
          </w:divBdr>
          <w:divsChild>
            <w:div w:id="621889314">
              <w:marLeft w:val="0"/>
              <w:marRight w:val="0"/>
              <w:marTop w:val="0"/>
              <w:marBottom w:val="300"/>
              <w:divBdr>
                <w:top w:val="none" w:sz="0" w:space="0" w:color="auto"/>
                <w:left w:val="none" w:sz="0" w:space="0" w:color="auto"/>
                <w:bottom w:val="none" w:sz="0" w:space="0" w:color="auto"/>
                <w:right w:val="none" w:sz="0" w:space="0" w:color="auto"/>
              </w:divBdr>
            </w:div>
          </w:divsChild>
        </w:div>
        <w:div w:id="1333487532">
          <w:marLeft w:val="0"/>
          <w:marRight w:val="0"/>
          <w:marTop w:val="0"/>
          <w:marBottom w:val="0"/>
          <w:divBdr>
            <w:top w:val="none" w:sz="0" w:space="0" w:color="auto"/>
            <w:left w:val="none" w:sz="0" w:space="0" w:color="auto"/>
            <w:bottom w:val="none" w:sz="0" w:space="0" w:color="auto"/>
            <w:right w:val="none" w:sz="0" w:space="0" w:color="auto"/>
          </w:divBdr>
          <w:divsChild>
            <w:div w:id="793452004">
              <w:marLeft w:val="0"/>
              <w:marRight w:val="0"/>
              <w:marTop w:val="150"/>
              <w:marBottom w:val="300"/>
              <w:divBdr>
                <w:top w:val="none" w:sz="0" w:space="0" w:color="auto"/>
                <w:left w:val="none" w:sz="0" w:space="0" w:color="auto"/>
                <w:bottom w:val="none" w:sz="0" w:space="0" w:color="auto"/>
                <w:right w:val="none" w:sz="0" w:space="0" w:color="auto"/>
              </w:divBdr>
            </w:div>
          </w:divsChild>
        </w:div>
        <w:div w:id="461389651">
          <w:marLeft w:val="0"/>
          <w:marRight w:val="0"/>
          <w:marTop w:val="0"/>
          <w:marBottom w:val="0"/>
          <w:divBdr>
            <w:top w:val="none" w:sz="0" w:space="0" w:color="auto"/>
            <w:left w:val="none" w:sz="0" w:space="0" w:color="auto"/>
            <w:bottom w:val="none" w:sz="0" w:space="0" w:color="auto"/>
            <w:right w:val="none" w:sz="0" w:space="0" w:color="auto"/>
          </w:divBdr>
          <w:divsChild>
            <w:div w:id="1687950181">
              <w:marLeft w:val="0"/>
              <w:marRight w:val="0"/>
              <w:marTop w:val="300"/>
              <w:marBottom w:val="150"/>
              <w:divBdr>
                <w:top w:val="none" w:sz="0" w:space="0" w:color="auto"/>
                <w:left w:val="none" w:sz="0" w:space="0" w:color="auto"/>
                <w:bottom w:val="none" w:sz="0" w:space="0" w:color="auto"/>
                <w:right w:val="none" w:sz="0" w:space="0" w:color="auto"/>
              </w:divBdr>
            </w:div>
          </w:divsChild>
        </w:div>
        <w:div w:id="895043309">
          <w:marLeft w:val="0"/>
          <w:marRight w:val="0"/>
          <w:marTop w:val="0"/>
          <w:marBottom w:val="0"/>
          <w:divBdr>
            <w:top w:val="none" w:sz="0" w:space="0" w:color="auto"/>
            <w:left w:val="none" w:sz="0" w:space="0" w:color="auto"/>
            <w:bottom w:val="none" w:sz="0" w:space="0" w:color="auto"/>
            <w:right w:val="none" w:sz="0" w:space="0" w:color="auto"/>
          </w:divBdr>
        </w:div>
        <w:div w:id="1307977581">
          <w:marLeft w:val="0"/>
          <w:marRight w:val="0"/>
          <w:marTop w:val="0"/>
          <w:marBottom w:val="0"/>
          <w:divBdr>
            <w:top w:val="none" w:sz="0" w:space="0" w:color="auto"/>
            <w:left w:val="none" w:sz="0" w:space="0" w:color="auto"/>
            <w:bottom w:val="none" w:sz="0" w:space="0" w:color="auto"/>
            <w:right w:val="none" w:sz="0" w:space="0" w:color="auto"/>
          </w:divBdr>
          <w:divsChild>
            <w:div w:id="185801401">
              <w:marLeft w:val="0"/>
              <w:marRight w:val="0"/>
              <w:marTop w:val="0"/>
              <w:marBottom w:val="0"/>
              <w:divBdr>
                <w:top w:val="none" w:sz="0" w:space="0" w:color="auto"/>
                <w:left w:val="none" w:sz="0" w:space="0" w:color="auto"/>
                <w:bottom w:val="none" w:sz="0" w:space="0" w:color="auto"/>
                <w:right w:val="none" w:sz="0" w:space="0" w:color="auto"/>
              </w:divBdr>
              <w:divsChild>
                <w:div w:id="3602777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24165616">
          <w:marLeft w:val="0"/>
          <w:marRight w:val="0"/>
          <w:marTop w:val="0"/>
          <w:marBottom w:val="0"/>
          <w:divBdr>
            <w:top w:val="none" w:sz="0" w:space="0" w:color="auto"/>
            <w:left w:val="none" w:sz="0" w:space="0" w:color="auto"/>
            <w:bottom w:val="none" w:sz="0" w:space="0" w:color="auto"/>
            <w:right w:val="none" w:sz="0" w:space="0" w:color="auto"/>
          </w:divBdr>
          <w:divsChild>
            <w:div w:id="1484465569">
              <w:marLeft w:val="0"/>
              <w:marRight w:val="0"/>
              <w:marTop w:val="0"/>
              <w:marBottom w:val="0"/>
              <w:divBdr>
                <w:top w:val="none" w:sz="0" w:space="0" w:color="auto"/>
                <w:left w:val="none" w:sz="0" w:space="0" w:color="auto"/>
                <w:bottom w:val="none" w:sz="0" w:space="0" w:color="auto"/>
                <w:right w:val="none" w:sz="0" w:space="0" w:color="auto"/>
              </w:divBdr>
              <w:divsChild>
                <w:div w:id="585695966">
                  <w:marLeft w:val="0"/>
                  <w:marRight w:val="0"/>
                  <w:marTop w:val="0"/>
                  <w:marBottom w:val="0"/>
                  <w:divBdr>
                    <w:top w:val="none" w:sz="0" w:space="0" w:color="auto"/>
                    <w:left w:val="none" w:sz="0" w:space="0" w:color="auto"/>
                    <w:bottom w:val="none" w:sz="0" w:space="0" w:color="auto"/>
                    <w:right w:val="none" w:sz="0" w:space="0" w:color="auto"/>
                  </w:divBdr>
                </w:div>
                <w:div w:id="366947766">
                  <w:marLeft w:val="0"/>
                  <w:marRight w:val="0"/>
                  <w:marTop w:val="0"/>
                  <w:marBottom w:val="0"/>
                  <w:divBdr>
                    <w:top w:val="none" w:sz="0" w:space="0" w:color="auto"/>
                    <w:left w:val="none" w:sz="0" w:space="0" w:color="auto"/>
                    <w:bottom w:val="none" w:sz="0" w:space="0" w:color="auto"/>
                    <w:right w:val="none" w:sz="0" w:space="0" w:color="auto"/>
                  </w:divBdr>
                </w:div>
                <w:div w:id="759790862">
                  <w:marLeft w:val="0"/>
                  <w:marRight w:val="0"/>
                  <w:marTop w:val="0"/>
                  <w:marBottom w:val="0"/>
                  <w:divBdr>
                    <w:top w:val="none" w:sz="0" w:space="0" w:color="auto"/>
                    <w:left w:val="none" w:sz="0" w:space="0" w:color="auto"/>
                    <w:bottom w:val="none" w:sz="0" w:space="0" w:color="auto"/>
                    <w:right w:val="none" w:sz="0" w:space="0" w:color="auto"/>
                  </w:divBdr>
                </w:div>
                <w:div w:id="549193101">
                  <w:marLeft w:val="0"/>
                  <w:marRight w:val="0"/>
                  <w:marTop w:val="0"/>
                  <w:marBottom w:val="0"/>
                  <w:divBdr>
                    <w:top w:val="none" w:sz="0" w:space="0" w:color="auto"/>
                    <w:left w:val="none" w:sz="0" w:space="0" w:color="auto"/>
                    <w:bottom w:val="none" w:sz="0" w:space="0" w:color="auto"/>
                    <w:right w:val="none" w:sz="0" w:space="0" w:color="auto"/>
                  </w:divBdr>
                </w:div>
                <w:div w:id="21208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4988">
          <w:marLeft w:val="0"/>
          <w:marRight w:val="0"/>
          <w:marTop w:val="0"/>
          <w:marBottom w:val="0"/>
          <w:divBdr>
            <w:top w:val="none" w:sz="0" w:space="0" w:color="auto"/>
            <w:left w:val="none" w:sz="0" w:space="0" w:color="auto"/>
            <w:bottom w:val="none" w:sz="0" w:space="0" w:color="auto"/>
            <w:right w:val="none" w:sz="0" w:space="0" w:color="auto"/>
          </w:divBdr>
          <w:divsChild>
            <w:div w:id="1056900346">
              <w:marLeft w:val="0"/>
              <w:marRight w:val="0"/>
              <w:marTop w:val="0"/>
              <w:marBottom w:val="0"/>
              <w:divBdr>
                <w:top w:val="none" w:sz="0" w:space="0" w:color="auto"/>
                <w:left w:val="none" w:sz="0" w:space="0" w:color="auto"/>
                <w:bottom w:val="none" w:sz="0" w:space="0" w:color="auto"/>
                <w:right w:val="none" w:sz="0" w:space="0" w:color="auto"/>
              </w:divBdr>
              <w:divsChild>
                <w:div w:id="9911749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9646314">
          <w:marLeft w:val="0"/>
          <w:marRight w:val="0"/>
          <w:marTop w:val="0"/>
          <w:marBottom w:val="0"/>
          <w:divBdr>
            <w:top w:val="none" w:sz="0" w:space="0" w:color="auto"/>
            <w:left w:val="none" w:sz="0" w:space="0" w:color="auto"/>
            <w:bottom w:val="none" w:sz="0" w:space="0" w:color="auto"/>
            <w:right w:val="none" w:sz="0" w:space="0" w:color="auto"/>
          </w:divBdr>
          <w:divsChild>
            <w:div w:id="692801952">
              <w:marLeft w:val="0"/>
              <w:marRight w:val="0"/>
              <w:marTop w:val="0"/>
              <w:marBottom w:val="0"/>
              <w:divBdr>
                <w:top w:val="none" w:sz="0" w:space="0" w:color="auto"/>
                <w:left w:val="none" w:sz="0" w:space="0" w:color="auto"/>
                <w:bottom w:val="none" w:sz="0" w:space="0" w:color="auto"/>
                <w:right w:val="none" w:sz="0" w:space="0" w:color="auto"/>
              </w:divBdr>
              <w:divsChild>
                <w:div w:id="1704596575">
                  <w:marLeft w:val="0"/>
                  <w:marRight w:val="0"/>
                  <w:marTop w:val="0"/>
                  <w:marBottom w:val="0"/>
                  <w:divBdr>
                    <w:top w:val="none" w:sz="0" w:space="0" w:color="auto"/>
                    <w:left w:val="none" w:sz="0" w:space="0" w:color="auto"/>
                    <w:bottom w:val="none" w:sz="0" w:space="0" w:color="auto"/>
                    <w:right w:val="none" w:sz="0" w:space="0" w:color="auto"/>
                  </w:divBdr>
                  <w:divsChild>
                    <w:div w:id="1711808597">
                      <w:marLeft w:val="-420"/>
                      <w:marRight w:val="0"/>
                      <w:marTop w:val="0"/>
                      <w:marBottom w:val="0"/>
                      <w:divBdr>
                        <w:top w:val="none" w:sz="0" w:space="0" w:color="auto"/>
                        <w:left w:val="none" w:sz="0" w:space="0" w:color="auto"/>
                        <w:bottom w:val="none" w:sz="0" w:space="0" w:color="auto"/>
                        <w:right w:val="none" w:sz="0" w:space="0" w:color="auto"/>
                      </w:divBdr>
                      <w:divsChild>
                        <w:div w:id="1271551892">
                          <w:marLeft w:val="0"/>
                          <w:marRight w:val="0"/>
                          <w:marTop w:val="0"/>
                          <w:marBottom w:val="0"/>
                          <w:divBdr>
                            <w:top w:val="none" w:sz="0" w:space="0" w:color="auto"/>
                            <w:left w:val="none" w:sz="0" w:space="0" w:color="auto"/>
                            <w:bottom w:val="none" w:sz="0" w:space="0" w:color="auto"/>
                            <w:right w:val="none" w:sz="0" w:space="0" w:color="auto"/>
                          </w:divBdr>
                          <w:divsChild>
                            <w:div w:id="898903832">
                              <w:marLeft w:val="0"/>
                              <w:marRight w:val="0"/>
                              <w:marTop w:val="0"/>
                              <w:marBottom w:val="0"/>
                              <w:divBdr>
                                <w:top w:val="none" w:sz="0" w:space="0" w:color="auto"/>
                                <w:left w:val="none" w:sz="0" w:space="0" w:color="auto"/>
                                <w:bottom w:val="none" w:sz="0" w:space="0" w:color="auto"/>
                                <w:right w:val="none" w:sz="0" w:space="0" w:color="auto"/>
                              </w:divBdr>
                              <w:divsChild>
                                <w:div w:id="1370035985">
                                  <w:marLeft w:val="0"/>
                                  <w:marRight w:val="0"/>
                                  <w:marTop w:val="0"/>
                                  <w:marBottom w:val="0"/>
                                  <w:divBdr>
                                    <w:top w:val="none" w:sz="0" w:space="0" w:color="auto"/>
                                    <w:left w:val="none" w:sz="0" w:space="0" w:color="auto"/>
                                    <w:bottom w:val="none" w:sz="0" w:space="0" w:color="auto"/>
                                    <w:right w:val="none" w:sz="0" w:space="0" w:color="auto"/>
                                  </w:divBdr>
                                </w:div>
                                <w:div w:id="877350722">
                                  <w:marLeft w:val="0"/>
                                  <w:marRight w:val="0"/>
                                  <w:marTop w:val="0"/>
                                  <w:marBottom w:val="0"/>
                                  <w:divBdr>
                                    <w:top w:val="none" w:sz="0" w:space="0" w:color="auto"/>
                                    <w:left w:val="none" w:sz="0" w:space="0" w:color="auto"/>
                                    <w:bottom w:val="none" w:sz="0" w:space="0" w:color="auto"/>
                                    <w:right w:val="none" w:sz="0" w:space="0" w:color="auto"/>
                                  </w:divBdr>
                                  <w:divsChild>
                                    <w:div w:id="1224609204">
                                      <w:marLeft w:val="0"/>
                                      <w:marRight w:val="0"/>
                                      <w:marTop w:val="0"/>
                                      <w:marBottom w:val="0"/>
                                      <w:divBdr>
                                        <w:top w:val="none" w:sz="0" w:space="0" w:color="auto"/>
                                        <w:left w:val="none" w:sz="0" w:space="0" w:color="auto"/>
                                        <w:bottom w:val="none" w:sz="0" w:space="0" w:color="auto"/>
                                        <w:right w:val="none" w:sz="0" w:space="0" w:color="auto"/>
                                      </w:divBdr>
                                      <w:divsChild>
                                        <w:div w:id="425540441">
                                          <w:marLeft w:val="0"/>
                                          <w:marRight w:val="0"/>
                                          <w:marTop w:val="0"/>
                                          <w:marBottom w:val="0"/>
                                          <w:divBdr>
                                            <w:top w:val="none" w:sz="0" w:space="0" w:color="auto"/>
                                            <w:left w:val="none" w:sz="0" w:space="0" w:color="auto"/>
                                            <w:bottom w:val="none" w:sz="0" w:space="0" w:color="auto"/>
                                            <w:right w:val="none" w:sz="0" w:space="0" w:color="auto"/>
                                          </w:divBdr>
                                        </w:div>
                                        <w:div w:id="167788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342600">
                  <w:marLeft w:val="0"/>
                  <w:marRight w:val="0"/>
                  <w:marTop w:val="0"/>
                  <w:marBottom w:val="0"/>
                  <w:divBdr>
                    <w:top w:val="none" w:sz="0" w:space="0" w:color="auto"/>
                    <w:left w:val="none" w:sz="0" w:space="0" w:color="auto"/>
                    <w:bottom w:val="none" w:sz="0" w:space="0" w:color="auto"/>
                    <w:right w:val="none" w:sz="0" w:space="0" w:color="auto"/>
                  </w:divBdr>
                  <w:divsChild>
                    <w:div w:id="778374718">
                      <w:marLeft w:val="-420"/>
                      <w:marRight w:val="0"/>
                      <w:marTop w:val="0"/>
                      <w:marBottom w:val="0"/>
                      <w:divBdr>
                        <w:top w:val="none" w:sz="0" w:space="0" w:color="auto"/>
                        <w:left w:val="none" w:sz="0" w:space="0" w:color="auto"/>
                        <w:bottom w:val="none" w:sz="0" w:space="0" w:color="auto"/>
                        <w:right w:val="none" w:sz="0" w:space="0" w:color="auto"/>
                      </w:divBdr>
                      <w:divsChild>
                        <w:div w:id="814833218">
                          <w:marLeft w:val="0"/>
                          <w:marRight w:val="0"/>
                          <w:marTop w:val="0"/>
                          <w:marBottom w:val="0"/>
                          <w:divBdr>
                            <w:top w:val="none" w:sz="0" w:space="0" w:color="auto"/>
                            <w:left w:val="none" w:sz="0" w:space="0" w:color="auto"/>
                            <w:bottom w:val="none" w:sz="0" w:space="0" w:color="auto"/>
                            <w:right w:val="none" w:sz="0" w:space="0" w:color="auto"/>
                          </w:divBdr>
                          <w:divsChild>
                            <w:div w:id="363406797">
                              <w:marLeft w:val="0"/>
                              <w:marRight w:val="0"/>
                              <w:marTop w:val="0"/>
                              <w:marBottom w:val="0"/>
                              <w:divBdr>
                                <w:top w:val="none" w:sz="0" w:space="0" w:color="auto"/>
                                <w:left w:val="none" w:sz="0" w:space="0" w:color="auto"/>
                                <w:bottom w:val="none" w:sz="0" w:space="0" w:color="auto"/>
                                <w:right w:val="none" w:sz="0" w:space="0" w:color="auto"/>
                              </w:divBdr>
                              <w:divsChild>
                                <w:div w:id="463355001">
                                  <w:marLeft w:val="0"/>
                                  <w:marRight w:val="0"/>
                                  <w:marTop w:val="0"/>
                                  <w:marBottom w:val="0"/>
                                  <w:divBdr>
                                    <w:top w:val="none" w:sz="0" w:space="0" w:color="auto"/>
                                    <w:left w:val="none" w:sz="0" w:space="0" w:color="auto"/>
                                    <w:bottom w:val="none" w:sz="0" w:space="0" w:color="auto"/>
                                    <w:right w:val="none" w:sz="0" w:space="0" w:color="auto"/>
                                  </w:divBdr>
                                </w:div>
                                <w:div w:id="1122262747">
                                  <w:marLeft w:val="0"/>
                                  <w:marRight w:val="0"/>
                                  <w:marTop w:val="0"/>
                                  <w:marBottom w:val="0"/>
                                  <w:divBdr>
                                    <w:top w:val="none" w:sz="0" w:space="0" w:color="auto"/>
                                    <w:left w:val="none" w:sz="0" w:space="0" w:color="auto"/>
                                    <w:bottom w:val="none" w:sz="0" w:space="0" w:color="auto"/>
                                    <w:right w:val="none" w:sz="0" w:space="0" w:color="auto"/>
                                  </w:divBdr>
                                  <w:divsChild>
                                    <w:div w:id="88429168">
                                      <w:marLeft w:val="0"/>
                                      <w:marRight w:val="0"/>
                                      <w:marTop w:val="0"/>
                                      <w:marBottom w:val="0"/>
                                      <w:divBdr>
                                        <w:top w:val="none" w:sz="0" w:space="0" w:color="auto"/>
                                        <w:left w:val="none" w:sz="0" w:space="0" w:color="auto"/>
                                        <w:bottom w:val="none" w:sz="0" w:space="0" w:color="auto"/>
                                        <w:right w:val="none" w:sz="0" w:space="0" w:color="auto"/>
                                      </w:divBdr>
                                      <w:divsChild>
                                        <w:div w:id="92023016">
                                          <w:marLeft w:val="0"/>
                                          <w:marRight w:val="0"/>
                                          <w:marTop w:val="0"/>
                                          <w:marBottom w:val="0"/>
                                          <w:divBdr>
                                            <w:top w:val="none" w:sz="0" w:space="0" w:color="auto"/>
                                            <w:left w:val="none" w:sz="0" w:space="0" w:color="auto"/>
                                            <w:bottom w:val="none" w:sz="0" w:space="0" w:color="auto"/>
                                            <w:right w:val="none" w:sz="0" w:space="0" w:color="auto"/>
                                          </w:divBdr>
                                        </w:div>
                                        <w:div w:id="14405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835851">
                  <w:marLeft w:val="0"/>
                  <w:marRight w:val="0"/>
                  <w:marTop w:val="0"/>
                  <w:marBottom w:val="0"/>
                  <w:divBdr>
                    <w:top w:val="none" w:sz="0" w:space="0" w:color="auto"/>
                    <w:left w:val="none" w:sz="0" w:space="0" w:color="auto"/>
                    <w:bottom w:val="none" w:sz="0" w:space="0" w:color="auto"/>
                    <w:right w:val="none" w:sz="0" w:space="0" w:color="auto"/>
                  </w:divBdr>
                  <w:divsChild>
                    <w:div w:id="2022931273">
                      <w:marLeft w:val="-420"/>
                      <w:marRight w:val="0"/>
                      <w:marTop w:val="0"/>
                      <w:marBottom w:val="0"/>
                      <w:divBdr>
                        <w:top w:val="none" w:sz="0" w:space="0" w:color="auto"/>
                        <w:left w:val="none" w:sz="0" w:space="0" w:color="auto"/>
                        <w:bottom w:val="none" w:sz="0" w:space="0" w:color="auto"/>
                        <w:right w:val="none" w:sz="0" w:space="0" w:color="auto"/>
                      </w:divBdr>
                      <w:divsChild>
                        <w:div w:id="1004432375">
                          <w:marLeft w:val="0"/>
                          <w:marRight w:val="0"/>
                          <w:marTop w:val="0"/>
                          <w:marBottom w:val="0"/>
                          <w:divBdr>
                            <w:top w:val="none" w:sz="0" w:space="0" w:color="auto"/>
                            <w:left w:val="none" w:sz="0" w:space="0" w:color="auto"/>
                            <w:bottom w:val="none" w:sz="0" w:space="0" w:color="auto"/>
                            <w:right w:val="none" w:sz="0" w:space="0" w:color="auto"/>
                          </w:divBdr>
                          <w:divsChild>
                            <w:div w:id="765688672">
                              <w:marLeft w:val="0"/>
                              <w:marRight w:val="0"/>
                              <w:marTop w:val="0"/>
                              <w:marBottom w:val="0"/>
                              <w:divBdr>
                                <w:top w:val="none" w:sz="0" w:space="0" w:color="auto"/>
                                <w:left w:val="none" w:sz="0" w:space="0" w:color="auto"/>
                                <w:bottom w:val="none" w:sz="0" w:space="0" w:color="auto"/>
                                <w:right w:val="none" w:sz="0" w:space="0" w:color="auto"/>
                              </w:divBdr>
                              <w:divsChild>
                                <w:div w:id="1978561491">
                                  <w:marLeft w:val="0"/>
                                  <w:marRight w:val="0"/>
                                  <w:marTop w:val="0"/>
                                  <w:marBottom w:val="0"/>
                                  <w:divBdr>
                                    <w:top w:val="none" w:sz="0" w:space="0" w:color="auto"/>
                                    <w:left w:val="none" w:sz="0" w:space="0" w:color="auto"/>
                                    <w:bottom w:val="none" w:sz="0" w:space="0" w:color="auto"/>
                                    <w:right w:val="none" w:sz="0" w:space="0" w:color="auto"/>
                                  </w:divBdr>
                                </w:div>
                                <w:div w:id="370620307">
                                  <w:marLeft w:val="0"/>
                                  <w:marRight w:val="0"/>
                                  <w:marTop w:val="0"/>
                                  <w:marBottom w:val="0"/>
                                  <w:divBdr>
                                    <w:top w:val="none" w:sz="0" w:space="0" w:color="auto"/>
                                    <w:left w:val="none" w:sz="0" w:space="0" w:color="auto"/>
                                    <w:bottom w:val="none" w:sz="0" w:space="0" w:color="auto"/>
                                    <w:right w:val="none" w:sz="0" w:space="0" w:color="auto"/>
                                  </w:divBdr>
                                  <w:divsChild>
                                    <w:div w:id="917060970">
                                      <w:marLeft w:val="0"/>
                                      <w:marRight w:val="0"/>
                                      <w:marTop w:val="0"/>
                                      <w:marBottom w:val="0"/>
                                      <w:divBdr>
                                        <w:top w:val="none" w:sz="0" w:space="0" w:color="auto"/>
                                        <w:left w:val="none" w:sz="0" w:space="0" w:color="auto"/>
                                        <w:bottom w:val="none" w:sz="0" w:space="0" w:color="auto"/>
                                        <w:right w:val="none" w:sz="0" w:space="0" w:color="auto"/>
                                      </w:divBdr>
                                      <w:divsChild>
                                        <w:div w:id="503714383">
                                          <w:marLeft w:val="0"/>
                                          <w:marRight w:val="0"/>
                                          <w:marTop w:val="0"/>
                                          <w:marBottom w:val="0"/>
                                          <w:divBdr>
                                            <w:top w:val="none" w:sz="0" w:space="0" w:color="auto"/>
                                            <w:left w:val="none" w:sz="0" w:space="0" w:color="auto"/>
                                            <w:bottom w:val="none" w:sz="0" w:space="0" w:color="auto"/>
                                            <w:right w:val="none" w:sz="0" w:space="0" w:color="auto"/>
                                          </w:divBdr>
                                        </w:div>
                                        <w:div w:id="19822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102976">
                  <w:marLeft w:val="0"/>
                  <w:marRight w:val="0"/>
                  <w:marTop w:val="0"/>
                  <w:marBottom w:val="0"/>
                  <w:divBdr>
                    <w:top w:val="none" w:sz="0" w:space="0" w:color="auto"/>
                    <w:left w:val="none" w:sz="0" w:space="0" w:color="auto"/>
                    <w:bottom w:val="none" w:sz="0" w:space="0" w:color="auto"/>
                    <w:right w:val="none" w:sz="0" w:space="0" w:color="auto"/>
                  </w:divBdr>
                  <w:divsChild>
                    <w:div w:id="1079209672">
                      <w:marLeft w:val="-420"/>
                      <w:marRight w:val="0"/>
                      <w:marTop w:val="0"/>
                      <w:marBottom w:val="0"/>
                      <w:divBdr>
                        <w:top w:val="none" w:sz="0" w:space="0" w:color="auto"/>
                        <w:left w:val="none" w:sz="0" w:space="0" w:color="auto"/>
                        <w:bottom w:val="none" w:sz="0" w:space="0" w:color="auto"/>
                        <w:right w:val="none" w:sz="0" w:space="0" w:color="auto"/>
                      </w:divBdr>
                      <w:divsChild>
                        <w:div w:id="218519019">
                          <w:marLeft w:val="0"/>
                          <w:marRight w:val="0"/>
                          <w:marTop w:val="0"/>
                          <w:marBottom w:val="0"/>
                          <w:divBdr>
                            <w:top w:val="none" w:sz="0" w:space="0" w:color="auto"/>
                            <w:left w:val="none" w:sz="0" w:space="0" w:color="auto"/>
                            <w:bottom w:val="none" w:sz="0" w:space="0" w:color="auto"/>
                            <w:right w:val="none" w:sz="0" w:space="0" w:color="auto"/>
                          </w:divBdr>
                          <w:divsChild>
                            <w:div w:id="589704395">
                              <w:marLeft w:val="0"/>
                              <w:marRight w:val="0"/>
                              <w:marTop w:val="0"/>
                              <w:marBottom w:val="0"/>
                              <w:divBdr>
                                <w:top w:val="none" w:sz="0" w:space="0" w:color="auto"/>
                                <w:left w:val="none" w:sz="0" w:space="0" w:color="auto"/>
                                <w:bottom w:val="none" w:sz="0" w:space="0" w:color="auto"/>
                                <w:right w:val="none" w:sz="0" w:space="0" w:color="auto"/>
                              </w:divBdr>
                              <w:divsChild>
                                <w:div w:id="740908668">
                                  <w:marLeft w:val="0"/>
                                  <w:marRight w:val="0"/>
                                  <w:marTop w:val="0"/>
                                  <w:marBottom w:val="0"/>
                                  <w:divBdr>
                                    <w:top w:val="none" w:sz="0" w:space="0" w:color="auto"/>
                                    <w:left w:val="none" w:sz="0" w:space="0" w:color="auto"/>
                                    <w:bottom w:val="none" w:sz="0" w:space="0" w:color="auto"/>
                                    <w:right w:val="none" w:sz="0" w:space="0" w:color="auto"/>
                                  </w:divBdr>
                                </w:div>
                                <w:div w:id="1083725354">
                                  <w:marLeft w:val="0"/>
                                  <w:marRight w:val="0"/>
                                  <w:marTop w:val="0"/>
                                  <w:marBottom w:val="0"/>
                                  <w:divBdr>
                                    <w:top w:val="none" w:sz="0" w:space="0" w:color="auto"/>
                                    <w:left w:val="none" w:sz="0" w:space="0" w:color="auto"/>
                                    <w:bottom w:val="none" w:sz="0" w:space="0" w:color="auto"/>
                                    <w:right w:val="none" w:sz="0" w:space="0" w:color="auto"/>
                                  </w:divBdr>
                                  <w:divsChild>
                                    <w:div w:id="931544674">
                                      <w:marLeft w:val="0"/>
                                      <w:marRight w:val="0"/>
                                      <w:marTop w:val="0"/>
                                      <w:marBottom w:val="0"/>
                                      <w:divBdr>
                                        <w:top w:val="none" w:sz="0" w:space="0" w:color="auto"/>
                                        <w:left w:val="none" w:sz="0" w:space="0" w:color="auto"/>
                                        <w:bottom w:val="none" w:sz="0" w:space="0" w:color="auto"/>
                                        <w:right w:val="none" w:sz="0" w:space="0" w:color="auto"/>
                                      </w:divBdr>
                                      <w:divsChild>
                                        <w:div w:id="1722552519">
                                          <w:marLeft w:val="0"/>
                                          <w:marRight w:val="0"/>
                                          <w:marTop w:val="0"/>
                                          <w:marBottom w:val="0"/>
                                          <w:divBdr>
                                            <w:top w:val="none" w:sz="0" w:space="0" w:color="auto"/>
                                            <w:left w:val="none" w:sz="0" w:space="0" w:color="auto"/>
                                            <w:bottom w:val="none" w:sz="0" w:space="0" w:color="auto"/>
                                            <w:right w:val="none" w:sz="0" w:space="0" w:color="auto"/>
                                          </w:divBdr>
                                        </w:div>
                                        <w:div w:id="7679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443069">
      <w:bodyDiv w:val="1"/>
      <w:marLeft w:val="0"/>
      <w:marRight w:val="0"/>
      <w:marTop w:val="0"/>
      <w:marBottom w:val="0"/>
      <w:divBdr>
        <w:top w:val="none" w:sz="0" w:space="0" w:color="auto"/>
        <w:left w:val="none" w:sz="0" w:space="0" w:color="auto"/>
        <w:bottom w:val="none" w:sz="0" w:space="0" w:color="auto"/>
        <w:right w:val="none" w:sz="0" w:space="0" w:color="auto"/>
      </w:divBdr>
    </w:div>
    <w:div w:id="1738429471">
      <w:bodyDiv w:val="1"/>
      <w:marLeft w:val="0"/>
      <w:marRight w:val="0"/>
      <w:marTop w:val="0"/>
      <w:marBottom w:val="0"/>
      <w:divBdr>
        <w:top w:val="none" w:sz="0" w:space="0" w:color="auto"/>
        <w:left w:val="none" w:sz="0" w:space="0" w:color="auto"/>
        <w:bottom w:val="none" w:sz="0" w:space="0" w:color="auto"/>
        <w:right w:val="none" w:sz="0" w:space="0" w:color="auto"/>
      </w:divBdr>
    </w:div>
    <w:div w:id="206852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v.Shivhare\Downloads\Word_Template_AIJ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136B4-8E25-4110-853A-83137D94C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Word_Template_AIJR</Template>
  <TotalTime>344</TotalTime>
  <Pages>6</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lastModifiedBy>Gulshan Shrivastava</cp:lastModifiedBy>
  <cp:revision>2</cp:revision>
  <cp:lastPrinted>2016-06-17T10:15:00Z</cp:lastPrinted>
  <dcterms:created xsi:type="dcterms:W3CDTF">2025-02-18T06:49:00Z</dcterms:created>
  <dcterms:modified xsi:type="dcterms:W3CDTF">2026-01-15T05:11:00Z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d98572e9863016be85c149e7113bb6bc5d4791a9a6992630033f98d169e74a62</vt:lpwstr>
  </property>
</Properties>
</file>