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B3A6B"/>
          <w:sz w:val="56"/>
          <w:szCs w:val="56"/>
        </w:rPr>
        <w:t xml:space="preserve">Security Architecture Framework Agent</w:t>
      </w:r>
    </w:p>
    <w:p>
      <w:pPr>
        <w:spacing w:after="80" w:before="80"/>
        <w:jc w:val="center"/>
      </w:pPr>
      <w:r>
        <w:rPr>
          <w:rFonts w:ascii="Arial" w:cs="Arial" w:eastAsia="Arial" w:hAnsi="Arial"/>
          <w:color w:val="0F4C5C"/>
          <w:sz w:val="32"/>
          <w:szCs w:val="32"/>
        </w:rPr>
        <w:t xml:space="preserve">Prototype Technical Documentation</w:t>
      </w:r>
    </w:p>
    <w:p>
      <w:pPr>
        <w:spacing w:after="480" w:before="80"/>
        <w:jc w:val="center"/>
      </w:pPr>
      <w:r>
        <w:rPr>
          <w:rFonts w:ascii="Arial" w:cs="Arial" w:eastAsia="Arial" w:hAnsi="Arial"/>
          <w:color w:val="555555"/>
          <w:sz w:val="22"/>
          <w:szCs w:val="22"/>
        </w:rPr>
        <w:t xml:space="preserve">Version 1.0  |  March 2026  |  Dakshan Product Development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vAlign w:val="center"/>
          </w:tcPr>
          <w:p>
            <w:pPr>
              <w:jc w:val="center"/>
            </w:pPr>
            <w:r>
              <w:rPr>
                <w:rFonts w:ascii="Arial" w:cs="Arial" w:eastAsia="Arial" w:hAnsi="Arial"/>
                <w:b/>
                <w:bCs/>
                <w:color w:val="1B3A6B"/>
                <w:sz w:val="20"/>
                <w:szCs w:val="20"/>
              </w:rPr>
              <w:t xml:space="preserve">PROTOTYPE</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This document covers the full technical design, implementation challenges, RAG architecture, data flow, and demo guide for the Security Architecture Framework Agent built in a single session.</w:t>
            </w:r>
          </w:p>
        </w:tc>
      </w:tr>
    </w:tbl>
    <w:p>
      <w:r>
        <w:br w:type="page"/>
      </w:r>
    </w:p>
    <w:p>
      <w:pPr>
        <w:pStyle w:val="Heading1"/>
        <w:spacing w:after="120" w:before="360"/>
      </w:pPr>
      <w:r>
        <w:rPr>
          <w:rFonts w:ascii="Arial" w:cs="Arial" w:eastAsia="Arial" w:hAnsi="Arial"/>
          <w:b/>
          <w:bCs/>
          <w:color w:val="1B3A6B"/>
          <w:sz w:val="36"/>
          <w:szCs w:val="36"/>
        </w:rPr>
        <w:t xml:space="preserve">1. Executive Summary</w:t>
      </w:r>
    </w:p>
    <w:p>
      <w:pPr>
        <w:spacing w:after="80" w:before="80"/>
      </w:pPr>
      <w:r>
        <w:rPr>
          <w:rFonts w:ascii="Arial" w:cs="Arial" w:eastAsia="Arial" w:hAnsi="Arial"/>
          <w:color w:val="1A1A1A"/>
          <w:sz w:val="22"/>
          <w:szCs w:val="22"/>
        </w:rPr>
        <w:t xml:space="preserve">The Security Architecture Framework Agent is an AI-powered tool that automates the most time-consuming task in security architecture practice: cross-referencing multiple heavyweight frameworks to produce a tailored security architecture for a specific organisation.</w:t>
      </w:r>
    </w:p>
    <w:p>
      <w:r>
        <w:t xml:space="preserve"/>
      </w:r>
    </w:p>
    <w:p>
      <w:pPr>
        <w:spacing w:after="80" w:before="80"/>
      </w:pPr>
      <w:r>
        <w:rPr>
          <w:rFonts w:ascii="Arial" w:cs="Arial" w:eastAsia="Arial" w:hAnsi="Arial"/>
          <w:color w:val="1A1A1A"/>
          <w:sz w:val="22"/>
          <w:szCs w:val="22"/>
        </w:rPr>
        <w:t xml:space="preserve">A senior security architect typically spends days manually reading SABSA, TOGAF, Zachman, NIST CSF, Zero Trust, NAF, and DODAF documents, then synthesising a custom architecture. This prototype does it in under 30 seconds, grounded in 1,450 real passages from 22 framework documents.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documents ingested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PDFs and DOCX files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Vector chunks stored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1,450 passages in ChromaDB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Frameworks covered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SABSA, TOGAF, Zachman, NIST CSF, Zero Trust, NAF, DNDAF, DODAF, NIST AI RMF</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Requirements generated per analysis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 tailored security requirements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Citations per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30–45 real framework passages with page numbers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to generate full mapping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15–30 seconds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session (~4 hours)</w:t>
            </w:r>
          </w:p>
        </w:tc>
      </w:tr>
    </w:tbl>
    <w:p>
      <w:r>
        <w:br w:type="page"/>
      </w:r>
    </w:p>
    <w:p>
      <w:pPr>
        <w:pStyle w:val="Heading1"/>
        <w:spacing w:after="120" w:before="360"/>
      </w:pPr>
      <w:r>
        <w:rPr>
          <w:rFonts w:ascii="Arial" w:cs="Arial" w:eastAsia="Arial" w:hAnsi="Arial"/>
          <w:b/>
          <w:bCs/>
          <w:color w:val="1B3A6B"/>
          <w:sz w:val="36"/>
          <w:szCs w:val="36"/>
        </w:rPr>
        <w:t xml:space="preserve">2. Challenges Encountered</w:t>
      </w:r>
    </w:p>
    <w:p>
      <w:pPr>
        <w:pStyle w:val="Heading2"/>
        <w:spacing w:after="100" w:before="280"/>
      </w:pPr>
      <w:r>
        <w:rPr>
          <w:rFonts w:ascii="Arial" w:cs="Arial" w:eastAsia="Arial" w:hAnsi="Arial"/>
          <w:b/>
          <w:bCs/>
          <w:color w:val="0F4C5C"/>
          <w:sz w:val="28"/>
          <w:szCs w:val="28"/>
        </w:rPr>
        <w:t xml:space="preserve">2.1 Technical challenges</w:t>
      </w:r>
    </w:p>
    <w:p>
      <w:pPr>
        <w:pStyle w:val="ListParagraph"/>
        <w:numPr>
          <w:ilvl w:val="0"/>
          <w:numId w:val="2"/>
        </w:numPr>
        <w:spacing w:after="40" w:before="40"/>
      </w:pPr>
      <w:r>
        <w:rPr>
          <w:rFonts w:ascii="Arial" w:cs="Arial" w:eastAsia="Arial" w:hAnsi="Arial"/>
          <w:color w:val="1A1A1A"/>
          <w:sz w:val="22"/>
          <w:szCs w:val="22"/>
        </w:rPr>
        <w:t xml:space="preserve">Browser sandbox restriction: Claude.ai artifact iframe blocks outbound API calls. Direct browser-to-API calls to Gemini and Anthropic fail silently. Required moving all AI logic to a local Python backend.</w:t>
      </w:r>
    </w:p>
    <w:p>
      <w:pPr>
        <w:pStyle w:val="ListParagraph"/>
        <w:numPr>
          <w:ilvl w:val="0"/>
          <w:numId w:val="2"/>
        </w:numPr>
        <w:spacing w:after="40" w:before="40"/>
      </w:pPr>
      <w:r>
        <w:rPr>
          <w:rFonts w:ascii="Arial" w:cs="Arial" w:eastAsia="Arial" w:hAnsi="Arial"/>
          <w:color w:val="1A1A1A"/>
          <w:sz w:val="22"/>
          <w:szCs w:val="22"/>
        </w:rPr>
        <w:t xml:space="preserve">Gemini model deprecation: gemini-2.0-flash was deprecated mid-session. Required identifying the correct model string (gemini-2.5-flash) from live API documentation.</w:t>
      </w:r>
    </w:p>
    <w:p>
      <w:pPr>
        <w:pStyle w:val="ListParagraph"/>
        <w:numPr>
          <w:ilvl w:val="0"/>
          <w:numId w:val="2"/>
        </w:numPr>
        <w:spacing w:after="40" w:before="40"/>
      </w:pPr>
      <w:r>
        <w:rPr>
          <w:rFonts w:ascii="Arial" w:cs="Arial" w:eastAsia="Arial" w:hAnsi="Arial"/>
          <w:color w:val="1A1A1A"/>
          <w:sz w:val="22"/>
          <w:szCs w:val="22"/>
        </w:rPr>
        <w:t xml:space="preserve">LangChain template conflicts: Curly braces {} in system prompts are interpreted as template variables by ChatPromptTemplate. Required switching to SystemMessage/HumanMessage direct invocation to bypass the template engine.</w:t>
      </w:r>
    </w:p>
    <w:p>
      <w:pPr>
        <w:pStyle w:val="ListParagraph"/>
        <w:numPr>
          <w:ilvl w:val="0"/>
          <w:numId w:val="2"/>
        </w:numPr>
        <w:spacing w:after="40" w:before="40"/>
      </w:pPr>
      <w:r>
        <w:rPr>
          <w:rFonts w:ascii="Arial" w:cs="Arial" w:eastAsia="Arial" w:hAnsi="Arial"/>
          <w:color w:val="1A1A1A"/>
          <w:sz w:val="22"/>
          <w:szCs w:val="22"/>
        </w:rPr>
        <w:t xml:space="preserve">Windows path issues: Python running on Windows with Python 3.13 via Microsoft Store had PATH issues for installed scripts (uvicorn, fastapi). Resolved by running scripts as Python modules.</w:t>
      </w:r>
    </w:p>
    <w:p>
      <w:pPr>
        <w:pStyle w:val="ListParagraph"/>
        <w:numPr>
          <w:ilvl w:val="0"/>
          <w:numId w:val="2"/>
        </w:numPr>
        <w:spacing w:after="40" w:before="40"/>
      </w:pPr>
      <w:r>
        <w:rPr>
          <w:rFonts w:ascii="Arial" w:cs="Arial" w:eastAsia="Arial" w:hAnsi="Arial"/>
          <w:color w:val="1A1A1A"/>
          <w:sz w:val="22"/>
          <w:szCs w:val="22"/>
        </w:rPr>
        <w:t xml:space="preserve">Gemini free tier quota: Initial API calls hit rate limits on the free tier. Resolved by enabling billing on Google Cloud.</w:t>
      </w:r>
    </w:p>
    <w:p>
      <w:pPr>
        <w:pStyle w:val="ListParagraph"/>
        <w:numPr>
          <w:ilvl w:val="0"/>
          <w:numId w:val="2"/>
        </w:numPr>
        <w:spacing w:after="40" w:before="40"/>
      </w:pPr>
      <w:r>
        <w:rPr>
          <w:rFonts w:ascii="Arial" w:cs="Arial" w:eastAsia="Arial" w:hAnsi="Arial"/>
          <w:color w:val="1A1A1A"/>
          <w:sz w:val="22"/>
          <w:szCs w:val="22"/>
        </w:rPr>
        <w:t xml:space="preserve">JSON parsing fragility: Gemini sometimes truncated the JSON block before the closing &gt;&gt;&gt; delimiter. Required a regex fallback that matches to end-of-string when the delimiter is missing.</w:t>
      </w:r>
    </w:p>
    <w:p>
      <w:pPr>
        <w:pStyle w:val="ListParagraph"/>
        <w:numPr>
          <w:ilvl w:val="0"/>
          <w:numId w:val="2"/>
        </w:numPr>
        <w:spacing w:after="40" w:before="40"/>
      </w:pPr>
      <w:r>
        <w:rPr>
          <w:rFonts w:ascii="Arial" w:cs="Arial" w:eastAsia="Arial" w:hAnsi="Arial"/>
          <w:color w:val="1A1A1A"/>
          <w:sz w:val="22"/>
          <w:szCs w:val="22"/>
        </w:rPr>
        <w:t xml:space="preserve">TOGAF zip structure: TOGAF 10 was distributed as a zip bundle with parts named C220-Part0e through C220-Part5e. The ingestion script did not initially recognise these as TOGAF documents. Fixed by adding C220 to the framework detection map.</w:t>
      </w:r>
    </w:p>
    <w:p>
      <w:pPr>
        <w:pStyle w:val="ListParagraph"/>
        <w:numPr>
          <w:ilvl w:val="0"/>
          <w:numId w:val="2"/>
        </w:numPr>
        <w:spacing w:after="40" w:before="40"/>
      </w:pPr>
      <w:r>
        <w:rPr>
          <w:rFonts w:ascii="Arial" w:cs="Arial" w:eastAsia="Arial" w:hAnsi="Arial"/>
          <w:color w:val="1A1A1A"/>
          <w:sz w:val="22"/>
          <w:szCs w:val="22"/>
        </w:rPr>
        <w:t xml:space="preserve">NIST AI RMF not surfacing in citations: The RAG system queried the 6 core frameworks (SABSA, TOGAF, etc.) but NIST AI RMF is not one of the mapping table columns. Required an additional retrieval pass for AI-native objectives.</w:t>
      </w:r>
    </w:p>
    <w:p>
      <w:r>
        <w:t xml:space="preserve"/>
      </w:r>
    </w:p>
    <w:p>
      <w:pPr>
        <w:pStyle w:val="Heading2"/>
        <w:spacing w:after="100" w:before="280"/>
      </w:pPr>
      <w:r>
        <w:rPr>
          <w:rFonts w:ascii="Arial" w:cs="Arial" w:eastAsia="Arial" w:hAnsi="Arial"/>
          <w:b/>
          <w:bCs/>
          <w:color w:val="0F4C5C"/>
          <w:sz w:val="28"/>
          <w:szCs w:val="28"/>
        </w:rPr>
        <w:t xml:space="preserve">2.2 Conceptual challenges</w:t>
      </w:r>
    </w:p>
    <w:p>
      <w:pPr>
        <w:pStyle w:val="ListParagraph"/>
        <w:numPr>
          <w:ilvl w:val="0"/>
          <w:numId w:val="2"/>
        </w:numPr>
        <w:spacing w:after="40" w:before="40"/>
      </w:pPr>
      <w:r>
        <w:rPr>
          <w:rFonts w:ascii="Arial" w:cs="Arial" w:eastAsia="Arial" w:hAnsi="Arial"/>
          <w:color w:val="1A1A1A"/>
          <w:sz w:val="22"/>
          <w:szCs w:val="22"/>
        </w:rPr>
        <w:t xml:space="preserve">Micro vs macro framework selection: Determining not just which frameworks apply, but which specific viewpoints, phases, and artifacts within each framework is the hard intelligence problem. Solved via a structured system prompt with explicit rules per framework and per objective type.</w:t>
      </w:r>
    </w:p>
    <w:p>
      <w:pPr>
        <w:pStyle w:val="ListParagraph"/>
        <w:numPr>
          <w:ilvl w:val="0"/>
          <w:numId w:val="2"/>
        </w:numPr>
        <w:spacing w:after="40" w:before="40"/>
      </w:pPr>
      <w:r>
        <w:rPr>
          <w:rFonts w:ascii="Arial" w:cs="Arial" w:eastAsia="Arial" w:hAnsi="Arial"/>
          <w:color w:val="1A1A1A"/>
          <w:sz w:val="22"/>
          <w:szCs w:val="22"/>
        </w:rPr>
        <w:t xml:space="preserve">RAG domain mismatch: Embedding queries like AI Model Governance did not match AI RMF chunks reliably. Solved by adding domain boost terms and framework-specific context to each retrieval query.</w:t>
      </w:r>
    </w:p>
    <w:p>
      <w:r>
        <w:br w:type="page"/>
      </w:r>
    </w:p>
    <w:p>
      <w:pPr>
        <w:pStyle w:val="Heading1"/>
        <w:spacing w:after="120" w:before="360"/>
      </w:pPr>
      <w:r>
        <w:rPr>
          <w:rFonts w:ascii="Arial" w:cs="Arial" w:eastAsia="Arial" w:hAnsi="Arial"/>
          <w:b/>
          <w:bCs/>
          <w:color w:val="1B3A6B"/>
          <w:sz w:val="36"/>
          <w:szCs w:val="36"/>
        </w:rPr>
        <w:t xml:space="preserve">3. Lessons Learned</w:t>
      </w:r>
    </w:p>
    <w:p>
      <w:pPr>
        <w:pStyle w:val="Heading2"/>
        <w:spacing w:after="100" w:before="280"/>
      </w:pPr>
      <w:r>
        <w:rPr>
          <w:rFonts w:ascii="Arial" w:cs="Arial" w:eastAsia="Arial" w:hAnsi="Arial"/>
          <w:b/>
          <w:bCs/>
          <w:color w:val="0F4C5C"/>
          <w:sz w:val="28"/>
          <w:szCs w:val="28"/>
        </w:rPr>
        <w:t xml:space="preserve">3.1 Architecture decisions</w:t>
      </w:r>
    </w:p>
    <w:p>
      <w:pPr>
        <w:pStyle w:val="ListParagraph"/>
        <w:numPr>
          <w:ilvl w:val="0"/>
          <w:numId w:val="2"/>
        </w:numPr>
        <w:spacing w:after="40" w:before="40"/>
      </w:pPr>
      <w:r>
        <w:rPr>
          <w:rFonts w:ascii="Arial" w:cs="Arial" w:eastAsia="Arial" w:hAnsi="Arial"/>
          <w:color w:val="1A1A1A"/>
          <w:sz w:val="22"/>
          <w:szCs w:val="22"/>
        </w:rPr>
        <w:t xml:space="preserve">Server-side LLM is non-negotiable for production: Browser sandboxes block direct API calls. Any production tool must run the LLM behind an API endpoint, even for simple prototypes.</w:t>
      </w:r>
    </w:p>
    <w:p>
      <w:pPr>
        <w:pStyle w:val="ListParagraph"/>
        <w:numPr>
          <w:ilvl w:val="0"/>
          <w:numId w:val="2"/>
        </w:numPr>
        <w:spacing w:after="40" w:before="40"/>
      </w:pPr>
      <w:r>
        <w:rPr>
          <w:rFonts w:ascii="Arial" w:cs="Arial" w:eastAsia="Arial" w:hAnsi="Arial"/>
          <w:color w:val="1A1A1A"/>
          <w:sz w:val="22"/>
          <w:szCs w:val="22"/>
        </w:rPr>
        <w:t xml:space="preserve">LangChain prompt templates are not suitable for complex system prompts with JSON examples: Use SystemMessage/HumanMessage directly when the prompt contains JSON structure with curly braces.</w:t>
      </w:r>
    </w:p>
    <w:p>
      <w:pPr>
        <w:pStyle w:val="ListParagraph"/>
        <w:numPr>
          <w:ilvl w:val="0"/>
          <w:numId w:val="2"/>
        </w:numPr>
        <w:spacing w:after="40" w:before="40"/>
      </w:pPr>
      <w:r>
        <w:rPr>
          <w:rFonts w:ascii="Arial" w:cs="Arial" w:eastAsia="Arial" w:hAnsi="Arial"/>
          <w:color w:val="1A1A1A"/>
          <w:sz w:val="22"/>
          <w:szCs w:val="22"/>
        </w:rPr>
        <w:t xml:space="preserve">RAG domain boosting is essential: A generic similarity search returns the most similar chunks globally. Adding domain-specific boost terms and per-framework queries dramatically improves citation relevance and precision.</w:t>
      </w:r>
    </w:p>
    <w:p>
      <w:pPr>
        <w:pStyle w:val="ListParagraph"/>
        <w:numPr>
          <w:ilvl w:val="0"/>
          <w:numId w:val="2"/>
        </w:numPr>
        <w:spacing w:after="40" w:before="40"/>
      </w:pPr>
      <w:r>
        <w:rPr>
          <w:rFonts w:ascii="Arial" w:cs="Arial" w:eastAsia="Arial" w:hAnsi="Arial"/>
          <w:color w:val="1A1A1A"/>
          <w:sz w:val="22"/>
          <w:szCs w:val="22"/>
        </w:rPr>
        <w:t xml:space="preserve">Graceful degradation matters: The knowledge_base.py fallback means the agent still produces citations even when ChromaDB is not available, making the system resilient for demos.</w:t>
      </w:r>
    </w:p>
    <w:p>
      <w:r>
        <w:t xml:space="preserve"/>
      </w:r>
    </w:p>
    <w:p>
      <w:pPr>
        <w:pStyle w:val="Heading2"/>
        <w:spacing w:after="100" w:before="280"/>
      </w:pPr>
      <w:r>
        <w:rPr>
          <w:rFonts w:ascii="Arial" w:cs="Arial" w:eastAsia="Arial" w:hAnsi="Arial"/>
          <w:b/>
          <w:bCs/>
          <w:color w:val="0F4C5C"/>
          <w:sz w:val="28"/>
          <w:szCs w:val="28"/>
        </w:rPr>
        <w:t xml:space="preserve">3.2 Framework knowledge insights</w:t>
      </w:r>
    </w:p>
    <w:p>
      <w:pPr>
        <w:pStyle w:val="ListParagraph"/>
        <w:numPr>
          <w:ilvl w:val="0"/>
          <w:numId w:val="2"/>
        </w:numPr>
        <w:spacing w:after="40" w:before="40"/>
      </w:pPr>
      <w:r>
        <w:rPr>
          <w:rFonts w:ascii="Arial" w:cs="Arial" w:eastAsia="Arial" w:hAnsi="Arial"/>
          <w:color w:val="1A1A1A"/>
          <w:sz w:val="22"/>
          <w:szCs w:val="22"/>
        </w:rPr>
        <w:t xml:space="preserve">SABSA should anchor every commercial security architecture: It is the only framework that explicitly connects security to business outcomes via the Business Attribute Profile. All other frameworks describe what to build; SABSA explains why.</w:t>
      </w:r>
    </w:p>
    <w:p>
      <w:pPr>
        <w:pStyle w:val="ListParagraph"/>
        <w:numPr>
          <w:ilvl w:val="0"/>
          <w:numId w:val="2"/>
        </w:numPr>
        <w:spacing w:after="40" w:before="40"/>
      </w:pPr>
      <w:r>
        <w:rPr>
          <w:rFonts w:ascii="Arial" w:cs="Arial" w:eastAsia="Arial" w:hAnsi="Arial"/>
          <w:color w:val="1A1A1A"/>
          <w:sz w:val="22"/>
          <w:szCs w:val="22"/>
        </w:rPr>
        <w:t xml:space="preserve">NAF/DODAF should be excluded by default for commercial organisations: Including them adds noise. The exclusion logic in the framework scoring engine correctly handles this.</w:t>
      </w:r>
    </w:p>
    <w:p>
      <w:pPr>
        <w:pStyle w:val="ListParagraph"/>
        <w:numPr>
          <w:ilvl w:val="0"/>
          <w:numId w:val="2"/>
        </w:numPr>
        <w:spacing w:after="40" w:before="40"/>
      </w:pPr>
      <w:r>
        <w:rPr>
          <w:rFonts w:ascii="Arial" w:cs="Arial" w:eastAsia="Arial" w:hAnsi="Arial"/>
          <w:color w:val="1A1A1A"/>
          <w:sz w:val="22"/>
          <w:szCs w:val="22"/>
        </w:rPr>
        <w:t xml:space="preserve">NIST AI RMF is genuinely differentiated: No commercial security architecture tool currently has AI RMF integrated into its framework mapping. This is a competitive advantage for AI-native clients.</w:t>
      </w:r>
    </w:p>
    <w:p>
      <w:pPr>
        <w:pStyle w:val="ListParagraph"/>
        <w:numPr>
          <w:ilvl w:val="0"/>
          <w:numId w:val="2"/>
        </w:numPr>
        <w:spacing w:after="40" w:before="40"/>
      </w:pPr>
      <w:r>
        <w:rPr>
          <w:rFonts w:ascii="Arial" w:cs="Arial" w:eastAsia="Arial" w:hAnsi="Arial"/>
          <w:color w:val="1A1A1A"/>
          <w:sz w:val="22"/>
          <w:szCs w:val="22"/>
        </w:rPr>
        <w:t xml:space="preserve">Zero Trust is an overlay, not a framework: It does not replace SABSA or TOGAF; it supplements them with implementation-level guidance for specific pillars. The agent correctly treats it as a supporting framework for cloud and modernisation objectives.</w:t>
      </w:r>
    </w:p>
    <w:p>
      <w:r>
        <w:br w:type="page"/>
      </w:r>
    </w:p>
    <w:p>
      <w:pPr>
        <w:pStyle w:val="Heading1"/>
        <w:spacing w:after="120" w:before="360"/>
      </w:pPr>
      <w:r>
        <w:rPr>
          <w:rFonts w:ascii="Arial" w:cs="Arial" w:eastAsia="Arial" w:hAnsi="Arial"/>
          <w:b/>
          <w:bCs/>
          <w:color w:val="1B3A6B"/>
          <w:sz w:val="36"/>
          <w:szCs w:val="36"/>
        </w:rPr>
        <w:t xml:space="preserve">4. Solution Overview</w:t>
      </w:r>
    </w:p>
    <w:p>
      <w:pPr>
        <w:spacing w:after="80" w:before="80"/>
      </w:pPr>
      <w:r>
        <w:rPr>
          <w:rFonts w:ascii="Arial" w:cs="Arial" w:eastAsia="Arial" w:hAnsi="Arial"/>
          <w:color w:val="1A1A1A"/>
          <w:sz w:val="22"/>
          <w:szCs w:val="22"/>
        </w:rPr>
        <w:t xml:space="preserve">The Security Architecture Framework Agent is a three-tier system: a browser frontend, a Python backend powered by LangChain and Gemini, and a local ChromaDB vector store containing 1,450 chunks from 22 real framework documents.</w:t>
      </w:r>
    </w:p>
    <w:p>
      <w:r>
        <w:t xml:space="preserve"/>
      </w:r>
    </w:p>
    <w:p>
      <w:pPr>
        <w:pStyle w:val="Heading2"/>
        <w:spacing w:after="100" w:before="280"/>
      </w:pPr>
      <w:r>
        <w:rPr>
          <w:rFonts w:ascii="Arial" w:cs="Arial" w:eastAsia="Arial" w:hAnsi="Arial"/>
          <w:b/>
          <w:bCs/>
          <w:color w:val="0F4C5C"/>
          <w:sz w:val="28"/>
          <w:szCs w:val="28"/>
        </w:rPr>
        <w:t xml:space="preserve">4.1 What it produces</w:t>
      </w:r>
    </w:p>
    <w:p>
      <w:pPr>
        <w:pStyle w:val="ListParagraph"/>
        <w:numPr>
          <w:ilvl w:val="0"/>
          <w:numId w:val="2"/>
        </w:numPr>
        <w:spacing w:after="40" w:before="40"/>
      </w:pPr>
      <w:r>
        <w:rPr>
          <w:rFonts w:ascii="Arial" w:cs="Arial" w:eastAsia="Arial" w:hAnsi="Arial"/>
          <w:color w:val="1A1A1A"/>
          <w:sz w:val="22"/>
          <w:szCs w:val="22"/>
        </w:rPr>
        <w:t xml:space="preserve">Framework mapping table: 10 security requirements tailored to the organisation's objectives, with fit levels (primary / secondary / optional / none) for each of the 6 frameworks and specific artifact citations.</w:t>
      </w:r>
    </w:p>
    <w:p>
      <w:pPr>
        <w:pStyle w:val="ListParagraph"/>
        <w:numPr>
          <w:ilvl w:val="0"/>
          <w:numId w:val="2"/>
        </w:numPr>
        <w:spacing w:after="40" w:before="40"/>
      </w:pPr>
      <w:r>
        <w:rPr>
          <w:rFonts w:ascii="Arial" w:cs="Arial" w:eastAsia="Arial" w:hAnsi="Arial"/>
          <w:color w:val="1A1A1A"/>
          <w:sz w:val="22"/>
          <w:szCs w:val="22"/>
        </w:rPr>
        <w:t xml:space="preserve">Framework blend analysis: Macro-level rationale explaining which frameworks apply and why, with explicit exclusions and reasoning.</w:t>
      </w:r>
    </w:p>
    <w:p>
      <w:pPr>
        <w:pStyle w:val="ListParagraph"/>
        <w:numPr>
          <w:ilvl w:val="0"/>
          <w:numId w:val="2"/>
        </w:numPr>
        <w:spacing w:after="40" w:before="40"/>
      </w:pPr>
      <w:r>
        <w:rPr>
          <w:rFonts w:ascii="Arial" w:cs="Arial" w:eastAsia="Arial" w:hAnsi="Arial"/>
          <w:color w:val="1A1A1A"/>
          <w:sz w:val="22"/>
          <w:szCs w:val="22"/>
        </w:rPr>
        <w:t xml:space="preserve">RAG-grounded citations: Real passages retrieved from actual PDF documents, with page numbers and document source. Not summaries — the actual text the architect would read.</w:t>
      </w:r>
    </w:p>
    <w:p>
      <w:pPr>
        <w:pStyle w:val="ListParagraph"/>
        <w:numPr>
          <w:ilvl w:val="0"/>
          <w:numId w:val="2"/>
        </w:numPr>
        <w:spacing w:after="40" w:before="40"/>
      </w:pPr>
      <w:r>
        <w:rPr>
          <w:rFonts w:ascii="Arial" w:cs="Arial" w:eastAsia="Arial" w:hAnsi="Arial"/>
          <w:color w:val="1A1A1A"/>
          <w:sz w:val="22"/>
          <w:szCs w:val="22"/>
        </w:rPr>
        <w:t xml:space="preserve">Conceptual architecture diagram: A layered security reference architecture with 5–6 layers and 3–4 components per layer, each mapped to a framework reference, colour-coded by domain.</w:t>
      </w:r>
    </w:p>
    <w:p>
      <w:r>
        <w:t xml:space="preserve"/>
      </w:r>
    </w:p>
    <w:p>
      <w:pPr>
        <w:pStyle w:val="Heading2"/>
        <w:spacing w:after="100" w:before="280"/>
      </w:pPr>
      <w:r>
        <w:rPr>
          <w:rFonts w:ascii="Arial" w:cs="Arial" w:eastAsia="Arial" w:hAnsi="Arial"/>
          <w:b/>
          <w:bCs/>
          <w:color w:val="0F4C5C"/>
          <w:sz w:val="28"/>
          <w:szCs w:val="28"/>
        </w:rPr>
        <w:t xml:space="preserve">4.2 Objectives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Strategic objective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frameworks activated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Cloud-first migration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SABSA, TOGAF Phase E/F, NIST CSF, Zero Trust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Infra modernization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SABSA, TOGAF Phase C, Zero Trust, Zachman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API-first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SABSA, Zero Trust Application Pillar, NIST CSF PR.AA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AI-native platform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SABSA, NIST AI RMF, Zero Trust Data Pillar, NIST CSF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Trust adoption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Trust (all pillars), NIST SP 800-207, NIST CSF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Government/Defence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NAF, DODAF, DNDAF, NIST CSF, Zero Trust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DevSecOps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SABSA, TOGAF Phase C, NIST CSF PR.PS, Zero Trust Workload Pillar</w:t>
            </w:r>
          </w:p>
        </w:tc>
      </w:tr>
    </w:tbl>
    <w:p>
      <w:r>
        <w:br w:type="page"/>
      </w:r>
    </w:p>
    <w:p>
      <w:pPr>
        <w:pStyle w:val="Heading1"/>
        <w:spacing w:after="120" w:before="360"/>
      </w:pPr>
      <w:r>
        <w:rPr>
          <w:rFonts w:ascii="Arial" w:cs="Arial" w:eastAsia="Arial" w:hAnsi="Arial"/>
          <w:b/>
          <w:bCs/>
          <w:color w:val="1B3A6B"/>
          <w:sz w:val="36"/>
          <w:szCs w:val="36"/>
        </w:rPr>
        <w:t xml:space="preserve">5. Technical End-to-End Architecture</w:t>
      </w:r>
    </w:p>
    <w:p>
      <w:pPr>
        <w:pStyle w:val="Heading2"/>
        <w:spacing w:after="100" w:before="280"/>
      </w:pPr>
      <w:r>
        <w:rPr>
          <w:rFonts w:ascii="Arial" w:cs="Arial" w:eastAsia="Arial" w:hAnsi="Arial"/>
          <w:b/>
          <w:bCs/>
          <w:color w:val="0F4C5C"/>
          <w:sz w:val="28"/>
          <w:szCs w:val="28"/>
        </w:rPr>
        <w:t xml:space="preserve">5.1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HTML/CSS/JS (single file)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Intake form, mapping table renderer, diagram renderer, citation panel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 Python 3.13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Receives org profile, orchestrates LLM calls, manages RAG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2.5 Flash via LangChain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scoring, requirement generation, diagram generation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Vector store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ChromaDB (local persistent)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Stores 1,450 embedded framework document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Embedding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all-MiniLM-L6-v2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Converts text queries and chunks to 384-dimensional vectors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PDF parser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pypdf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Extracts text page-by-page from framework PDFs during ingestion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Citation 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knowledge_base.py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Hand-curated clause summaries when RAG returns low-confidence results</w:t>
            </w:r>
          </w:p>
        </w:tc>
      </w:tr>
    </w:tbl>
    <w:p>
      <w:r>
        <w:t xml:space="preserve"/>
      </w:r>
    </w:p>
    <w:p>
      <w:pPr>
        <w:pStyle w:val="Heading2"/>
        <w:spacing w:after="100" w:before="280"/>
      </w:pPr>
      <w:r>
        <w:rPr>
          <w:rFonts w:ascii="Arial" w:cs="Arial" w:eastAsia="Arial" w:hAnsi="Arial"/>
          <w:b/>
          <w:bCs/>
          <w:color w:val="0F4C5C"/>
          <w:sz w:val="28"/>
          <w:szCs w:val="28"/>
        </w:rPr>
        <w:t xml:space="preserve">5.2 Data flow — mapping request</w:t>
      </w:r>
    </w:p>
    <w:p>
      <w:pPr>
        <w:spacing w:after="80" w:before="80"/>
      </w:pPr>
      <w:r>
        <w:rPr>
          <w:rFonts w:ascii="Arial" w:cs="Arial" w:eastAsia="Arial" w:hAnsi="Arial"/>
          <w:color w:val="1A1A1A"/>
          <w:sz w:val="22"/>
          <w:szCs w:val="22"/>
        </w:rPr>
        <w:t xml:space="preserve">The following sequence describes a complete /analyze request from browser to citations panel:</w:t>
      </w:r>
    </w:p>
    <w:p>
      <w:r>
        <w:t xml:space="preserve"/>
      </w:r>
    </w:p>
    <w:p>
      <w:pPr>
        <w:pStyle w:val="ListParagraph"/>
        <w:numPr>
          <w:ilvl w:val="0"/>
          <w:numId w:val="2"/>
        </w:numPr>
        <w:spacing w:after="40" w:before="40"/>
      </w:pPr>
      <w:r>
        <w:rPr>
          <w:rFonts w:ascii="Arial" w:cs="Arial" w:eastAsia="Arial" w:hAnsi="Arial"/>
          <w:color w:val="1A1A1A"/>
          <w:sz w:val="22"/>
          <w:szCs w:val="22"/>
        </w:rPr>
        <w:t xml:space="preserve">1  User completes the intake form (org type, regulatory, maturity, objectives, context) and clicks Mapping.</w:t>
      </w:r>
    </w:p>
    <w:p>
      <w:pPr>
        <w:pStyle w:val="ListParagraph"/>
        <w:numPr>
          <w:ilvl w:val="0"/>
          <w:numId w:val="2"/>
        </w:numPr>
        <w:spacing w:after="40" w:before="40"/>
      </w:pPr>
      <w:r>
        <w:rPr>
          <w:rFonts w:ascii="Arial" w:cs="Arial" w:eastAsia="Arial" w:hAnsi="Arial"/>
          <w:color w:val="1A1A1A"/>
          <w:sz w:val="22"/>
          <w:szCs w:val="22"/>
        </w:rPr>
        <w:t xml:space="preserve">2  Browser sends HTTP POST to localhost:8000/analyze with JSON body containing the org profile.</w:t>
      </w:r>
    </w:p>
    <w:p>
      <w:pPr>
        <w:pStyle w:val="ListParagraph"/>
        <w:numPr>
          <w:ilvl w:val="0"/>
          <w:numId w:val="2"/>
        </w:numPr>
        <w:spacing w:after="40" w:before="40"/>
      </w:pPr>
      <w:r>
        <w:rPr>
          <w:rFonts w:ascii="Arial" w:cs="Arial" w:eastAsia="Arial" w:hAnsi="Arial"/>
          <w:color w:val="1A1A1A"/>
          <w:sz w:val="22"/>
          <w:szCs w:val="22"/>
        </w:rPr>
        <w:t xml:space="preserve">3  FastAPI receives the request and validates required fields (org_type, maturity, objectives).</w:t>
      </w:r>
    </w:p>
    <w:p>
      <w:pPr>
        <w:pStyle w:val="ListParagraph"/>
        <w:numPr>
          <w:ilvl w:val="0"/>
          <w:numId w:val="2"/>
        </w:numPr>
        <w:spacing w:after="40" w:before="40"/>
      </w:pPr>
      <w:r>
        <w:rPr>
          <w:rFonts w:ascii="Arial" w:cs="Arial" w:eastAsia="Arial" w:hAnsi="Arial"/>
          <w:color w:val="1A1A1A"/>
          <w:sz w:val="22"/>
          <w:szCs w:val="22"/>
        </w:rPr>
        <w:t xml:space="preserve">4  agent_v2.py constructs a structured user message from the org profile fields.</w:t>
      </w:r>
    </w:p>
    <w:p>
      <w:pPr>
        <w:pStyle w:val="ListParagraph"/>
        <w:numPr>
          <w:ilvl w:val="0"/>
          <w:numId w:val="2"/>
        </w:numPr>
        <w:spacing w:after="40" w:before="40"/>
      </w:pPr>
      <w:r>
        <w:rPr>
          <w:rFonts w:ascii="Arial" w:cs="Arial" w:eastAsia="Arial" w:hAnsi="Arial"/>
          <w:color w:val="1A1A1A"/>
          <w:sz w:val="22"/>
          <w:szCs w:val="22"/>
        </w:rPr>
        <w:t xml:space="preserve">5  LangChain invokes Gemini 2.5 Flash with a SystemMessage containing the framework scoring rules and a HumanMessage containing the org profile.</w:t>
      </w:r>
    </w:p>
    <w:p>
      <w:pPr>
        <w:pStyle w:val="ListParagraph"/>
        <w:numPr>
          <w:ilvl w:val="0"/>
          <w:numId w:val="2"/>
        </w:numPr>
        <w:spacing w:after="40" w:before="40"/>
      </w:pPr>
      <w:r>
        <w:rPr>
          <w:rFonts w:ascii="Arial" w:cs="Arial" w:eastAsia="Arial" w:hAnsi="Arial"/>
          <w:color w:val="1A1A1A"/>
          <w:sz w:val="22"/>
          <w:szCs w:val="22"/>
        </w:rPr>
        <w:t xml:space="preserve">6  Gemini returns a text response containing (a) a 3–5 sentence analyst rationale and (b) a JSON block delimited by &lt;&lt;&lt;JSON and &gt;&gt;&gt; containing the 10-requirement mapping.</w:t>
      </w:r>
    </w:p>
    <w:p>
      <w:pPr>
        <w:pStyle w:val="ListParagraph"/>
        <w:numPr>
          <w:ilvl w:val="0"/>
          <w:numId w:val="2"/>
        </w:numPr>
        <w:spacing w:after="40" w:before="40"/>
      </w:pPr>
      <w:r>
        <w:rPr>
          <w:rFonts w:ascii="Arial" w:cs="Arial" w:eastAsia="Arial" w:hAnsi="Arial"/>
          <w:color w:val="1A1A1A"/>
          <w:sz w:val="22"/>
          <w:szCs w:val="22"/>
        </w:rPr>
        <w:t xml:space="preserve">7  The parse function extracts the JSON block using regex, strips any markdown fences, and parses it with json.loads().</w:t>
      </w:r>
    </w:p>
    <w:p>
      <w:pPr>
        <w:pStyle w:val="ListParagraph"/>
        <w:numPr>
          <w:ilvl w:val="0"/>
          <w:numId w:val="2"/>
        </w:numPr>
        <w:spacing w:after="40" w:before="40"/>
      </w:pPr>
      <w:r>
        <w:rPr>
          <w:rFonts w:ascii="Arial" w:cs="Arial" w:eastAsia="Arial" w:hAnsi="Arial"/>
          <w:color w:val="1A1A1A"/>
          <w:sz w:val="22"/>
          <w:szCs w:val="22"/>
        </w:rPr>
        <w:t xml:space="preserve">8  For each of the 10 requirements, get_all_citations() is called. For each active framework (primary or secondary fit), retrieve_for_requirement() builds an enriched query: requirement name + domain boost terms + framework-specific boost terms.</w:t>
      </w:r>
    </w:p>
    <w:p>
      <w:pPr>
        <w:pStyle w:val="ListParagraph"/>
        <w:numPr>
          <w:ilvl w:val="0"/>
          <w:numId w:val="2"/>
        </w:numPr>
        <w:spacing w:after="40" w:before="40"/>
      </w:pPr>
      <w:r>
        <w:rPr>
          <w:rFonts w:ascii="Arial" w:cs="Arial" w:eastAsia="Arial" w:hAnsi="Arial"/>
          <w:color w:val="1A1A1A"/>
          <w:sz w:val="22"/>
          <w:szCs w:val="22"/>
        </w:rPr>
        <w:t xml:space="preserve">9  The enriched query is embedded using all-MiniLM-L6-v2 (384-dimensional vector). ChromaDB performs cosine similarity search, returning the top 4 chunks filtered by that framework label.</w:t>
      </w:r>
    </w:p>
    <w:p>
      <w:pPr>
        <w:pStyle w:val="ListParagraph"/>
        <w:numPr>
          <w:ilvl w:val="0"/>
          <w:numId w:val="2"/>
        </w:numPr>
        <w:spacing w:after="40" w:before="40"/>
      </w:pPr>
      <w:r>
        <w:rPr>
          <w:rFonts w:ascii="Arial" w:cs="Arial" w:eastAsia="Arial" w:hAnsi="Arial"/>
          <w:color w:val="1A1A1A"/>
          <w:sz w:val="22"/>
          <w:szCs w:val="22"/>
        </w:rPr>
        <w:t xml:space="preserve">10 For AI-native objectives, an additional pass queries NIST AI RMF and AI Security collections with AI-specific boost terms.</w:t>
      </w:r>
    </w:p>
    <w:p>
      <w:pPr>
        <w:pStyle w:val="ListParagraph"/>
        <w:numPr>
          <w:ilvl w:val="0"/>
          <w:numId w:val="2"/>
        </w:numPr>
        <w:spacing w:after="40" w:before="40"/>
      </w:pPr>
      <w:r>
        <w:rPr>
          <w:rFonts w:ascii="Arial" w:cs="Arial" w:eastAsia="Arial" w:hAnsi="Arial"/>
          <w:color w:val="1A1A1A"/>
          <w:sz w:val="22"/>
          <w:szCs w:val="22"/>
        </w:rPr>
        <w:t xml:space="preserve">11 Results with similarity score below 0.15 are discarded. Remaining passages are deduplicated by source+page and sorted by score.</w:t>
      </w:r>
    </w:p>
    <w:p>
      <w:pPr>
        <w:pStyle w:val="ListParagraph"/>
        <w:numPr>
          <w:ilvl w:val="0"/>
          <w:numId w:val="2"/>
        </w:numPr>
        <w:spacing w:after="40" w:before="40"/>
      </w:pPr>
      <w:r>
        <w:rPr>
          <w:rFonts w:ascii="Arial" w:cs="Arial" w:eastAsia="Arial" w:hAnsi="Arial"/>
          <w:color w:val="1A1A1A"/>
          <w:sz w:val="22"/>
          <w:szCs w:val="22"/>
        </w:rPr>
        <w:t xml:space="preserve">12 For any framework not covered by RAG results, knowledge_base.py provides hand-curated clause summaries as fallback.</w:t>
      </w:r>
    </w:p>
    <w:p>
      <w:pPr>
        <w:pStyle w:val="ListParagraph"/>
        <w:numPr>
          <w:ilvl w:val="0"/>
          <w:numId w:val="2"/>
        </w:numPr>
        <w:spacing w:after="40" w:before="40"/>
      </w:pPr>
      <w:r>
        <w:rPr>
          <w:rFonts w:ascii="Arial" w:cs="Arial" w:eastAsia="Arial" w:hAnsi="Arial"/>
          <w:color w:val="1A1A1A"/>
          <w:sz w:val="22"/>
          <w:szCs w:val="22"/>
        </w:rPr>
        <w:t xml:space="preserve">13 The complete AnalysisResponse (analysis_text, mapping with citations, rag_active flag) is returned as JSON.</w:t>
      </w:r>
    </w:p>
    <w:p>
      <w:pPr>
        <w:pStyle w:val="ListParagraph"/>
        <w:numPr>
          <w:ilvl w:val="0"/>
          <w:numId w:val="2"/>
        </w:numPr>
        <w:spacing w:after="40" w:before="40"/>
      </w:pPr>
      <w:r>
        <w:rPr>
          <w:rFonts w:ascii="Arial" w:cs="Arial" w:eastAsia="Arial" w:hAnsi="Arial"/>
          <w:color w:val="1A1A1A"/>
          <w:sz w:val="22"/>
          <w:szCs w:val="22"/>
        </w:rPr>
        <w:t xml:space="preserve">14 The browser renders the stat cards, framework blend badges, analyst rationale, mapping table, and citations panel.</w:t>
      </w:r>
    </w:p>
    <w:p>
      <w:r>
        <w:br w:type="page"/>
      </w:r>
    </w:p>
    <w:p>
      <w:pPr>
        <w:pStyle w:val="Heading1"/>
        <w:spacing w:after="120" w:before="360"/>
      </w:pPr>
      <w:r>
        <w:rPr>
          <w:rFonts w:ascii="Arial" w:cs="Arial" w:eastAsia="Arial" w:hAnsi="Arial"/>
          <w:b/>
          <w:bCs/>
          <w:color w:val="1B3A6B"/>
          <w:sz w:val="36"/>
          <w:szCs w:val="36"/>
        </w:rPr>
        <w:t xml:space="preserve">6. Foundational Concepts</w:t>
      </w:r>
    </w:p>
    <w:p>
      <w:pPr>
        <w:pStyle w:val="Heading2"/>
        <w:spacing w:after="100" w:before="280"/>
      </w:pPr>
      <w:r>
        <w:rPr>
          <w:rFonts w:ascii="Arial" w:cs="Arial" w:eastAsia="Arial" w:hAnsi="Arial"/>
          <w:b/>
          <w:bCs/>
          <w:color w:val="0F4C5C"/>
          <w:sz w:val="28"/>
          <w:szCs w:val="28"/>
        </w:rPr>
        <w:t xml:space="preserve">6.1 Retrieval-Augmented Generation (RAG)</w:t>
      </w:r>
    </w:p>
    <w:p>
      <w:pPr>
        <w:spacing w:after="80" w:before="80"/>
      </w:pPr>
      <w:r>
        <w:rPr>
          <w:rFonts w:ascii="Arial" w:cs="Arial" w:eastAsia="Arial" w:hAnsi="Arial"/>
          <w:color w:val="1A1A1A"/>
          <w:sz w:val="22"/>
          <w:szCs w:val="22"/>
        </w:rPr>
        <w:t xml:space="preserve">RAG is the practice of retrieving relevant passages from a document corpus and injecting them into the LLM context before generating a response. Without RAG, the LLM answers from general training knowledge which may be imprecise or out-of-date. With RAG, the LLM answers from specific passages retrieved from the actual source documents.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FE0" w:val="clear"/>
            <w:tcMar>
              <w:top w:type="dxa" w:w="100"/>
              <w:left w:type="dxa" w:w="120"/>
              <w:bottom w:type="dxa" w:w="100"/>
              <w:right w:type="dxa" w:w="120"/>
            </w:tcMar>
            <w:vAlign w:val="center"/>
          </w:tcPr>
          <w:p>
            <w:pPr>
              <w:jc w:val="center"/>
            </w:pPr>
            <w:r>
              <w:rPr>
                <w:rFonts w:ascii="Arial" w:cs="Arial" w:eastAsia="Arial" w:hAnsi="Arial"/>
                <w:b/>
                <w:bCs/>
                <w:color w:val="1D6A3A"/>
                <w:sz w:val="20"/>
                <w:szCs w:val="20"/>
              </w:rPr>
              <w:t xml:space="preserve">Why RAG</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A senior architect asking which SABSA artifact defines trust zones between hybrid cloud domains gets an answer grounded in the actual SABSA Blue Book text, not a paraphrase from training data.</w:t>
            </w:r>
          </w:p>
        </w:tc>
      </w:tr>
    </w:tbl>
    <w:p>
      <w:r>
        <w:t xml:space="preserve"/>
      </w:r>
    </w:p>
    <w:p>
      <w:pPr>
        <w:pStyle w:val="Heading2"/>
        <w:spacing w:after="100" w:before="280"/>
      </w:pPr>
      <w:r>
        <w:rPr>
          <w:rFonts w:ascii="Arial" w:cs="Arial" w:eastAsia="Arial" w:hAnsi="Arial"/>
          <w:b/>
          <w:bCs/>
          <w:color w:val="0F4C5C"/>
          <w:sz w:val="28"/>
          <w:szCs w:val="28"/>
        </w:rPr>
        <w:t xml:space="preserve">6.2 Text chunking</w:t>
      </w:r>
    </w:p>
    <w:p>
      <w:pPr>
        <w:spacing w:after="80" w:before="80"/>
      </w:pPr>
      <w:r>
        <w:rPr>
          <w:rFonts w:ascii="Arial" w:cs="Arial" w:eastAsia="Arial" w:hAnsi="Arial"/>
          <w:color w:val="1A1A1A"/>
          <w:sz w:val="22"/>
          <w:szCs w:val="22"/>
        </w:rPr>
        <w:t xml:space="preserve">PDFs are split into overlapping 500-word chunks with a 50-word overlap between adjacent chunks. The overlap ensures that sentences spanning a chunk boundary are captured in at least one chunk. Each chunk stores its source filename, framework label, and page number range as metadata.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20"/>
            </w:tcMar>
            <w:vAlign w:val="center"/>
          </w:tcPr>
          <w:p>
            <w:pPr>
              <w:jc w:val="center"/>
            </w:pPr>
            <w:r>
              <w:rPr>
                <w:rFonts w:ascii="Arial" w:cs="Arial" w:eastAsia="Arial" w:hAnsi="Arial"/>
                <w:b/>
                <w:bCs/>
                <w:color w:val="7A4800"/>
                <w:sz w:val="20"/>
                <w:szCs w:val="20"/>
              </w:rPr>
              <w:t xml:space="preserve">Why 500 words</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Too short (100 words) loses context. Too long (2,000 words) dilutes the embedding signal — the vector represents the average meaning and becomes less precise. 500 words balances context richness with retrieval precision.</w:t>
            </w:r>
          </w:p>
        </w:tc>
      </w:tr>
    </w:tbl>
    <w:p>
      <w:r>
        <w:t xml:space="preserve"/>
      </w:r>
    </w:p>
    <w:p>
      <w:pPr>
        <w:pStyle w:val="Heading2"/>
        <w:spacing w:after="100" w:before="280"/>
      </w:pPr>
      <w:r>
        <w:rPr>
          <w:rFonts w:ascii="Arial" w:cs="Arial" w:eastAsia="Arial" w:hAnsi="Arial"/>
          <w:b/>
          <w:bCs/>
          <w:color w:val="0F4C5C"/>
          <w:sz w:val="28"/>
          <w:szCs w:val="28"/>
        </w:rPr>
        <w:t xml:space="preserve">6.3 Vector embeddings</w:t>
      </w:r>
    </w:p>
    <w:p>
      <w:pPr>
        <w:spacing w:after="80" w:before="80"/>
      </w:pPr>
      <w:r>
        <w:rPr>
          <w:rFonts w:ascii="Arial" w:cs="Arial" w:eastAsia="Arial" w:hAnsi="Arial"/>
          <w:color w:val="1A1A1A"/>
          <w:sz w:val="22"/>
          <w:szCs w:val="22"/>
        </w:rPr>
        <w:t xml:space="preserve">Each chunk is converted to a 384-dimensional floating-point vector using the all-MiniLM-L6-v2 sentence transformer model. This model maps semantically similar text to nearby points in 384-dimensional space, regardless of exact wording. A query about identity governance will retrieve chunks about access control and IAM even if those exact words do not appear in the query.</w:t>
      </w:r>
    </w:p>
    <w:p>
      <w:r>
        <w:t xml:space="preserve"/>
      </w:r>
    </w:p>
    <w:p>
      <w:pPr>
        <w:pStyle w:val="Heading2"/>
        <w:spacing w:after="100" w:before="280"/>
      </w:pPr>
      <w:r>
        <w:rPr>
          <w:rFonts w:ascii="Arial" w:cs="Arial" w:eastAsia="Arial" w:hAnsi="Arial"/>
          <w:b/>
          <w:bCs/>
          <w:color w:val="0F4C5C"/>
          <w:sz w:val="28"/>
          <w:szCs w:val="28"/>
        </w:rPr>
        <w:t xml:space="preserve">6.4 Cosine similarity search</w:t>
      </w:r>
    </w:p>
    <w:p>
      <w:pPr>
        <w:spacing w:after="80" w:before="80"/>
      </w:pPr>
      <w:r>
        <w:rPr>
          <w:rFonts w:ascii="Arial" w:cs="Arial" w:eastAsia="Arial" w:hAnsi="Arial"/>
          <w:color w:val="1A1A1A"/>
          <w:sz w:val="22"/>
          <w:szCs w:val="22"/>
        </w:rPr>
        <w:t xml:space="preserve">At query time, the retrieval query is embedded with the same model. ChromaDB finds the top-K chunks whose vectors have the smallest cosine distance from the query vector. Cosine distance measures the angle between vectors — 0 means identical direction (perfect match), 1 means perpendicular (no semantic overlap). The system discards results with similarity below 0.15.</w:t>
      </w:r>
    </w:p>
    <w:p>
      <w:r>
        <w:t xml:space="preserve"/>
      </w:r>
    </w:p>
    <w:p>
      <w:pPr>
        <w:pStyle w:val="Heading2"/>
        <w:spacing w:after="100" w:before="280"/>
      </w:pPr>
      <w:r>
        <w:rPr>
          <w:rFonts w:ascii="Arial" w:cs="Arial" w:eastAsia="Arial" w:hAnsi="Arial"/>
          <w:b/>
          <w:bCs/>
          <w:color w:val="0F4C5C"/>
          <w:sz w:val="28"/>
          <w:szCs w:val="28"/>
        </w:rPr>
        <w:t xml:space="preserve">6.5 Cached embeddings (ChromaDB persistence)</w:t>
      </w:r>
    </w:p>
    <w:p>
      <w:pPr>
        <w:spacing w:after="80" w:before="80"/>
      </w:pPr>
      <w:r>
        <w:rPr>
          <w:rFonts w:ascii="Arial" w:cs="Arial" w:eastAsia="Arial" w:hAnsi="Arial"/>
          <w:color w:val="1A1A1A"/>
          <w:sz w:val="22"/>
          <w:szCs w:val="22"/>
        </w:rPr>
        <w:t xml:space="preserve">ChromaDB stores all chunk vectors in a persistent local database at ./chroma_db/. The embedding model runs once during ingestion. At query time, only the query string is re-embedded — the 1,450 chunk vectors are already stored and do not need to be recomputed. This makes retrieval fast (&lt; 100ms per query) regardless of corpus size.</w:t>
      </w:r>
    </w:p>
    <w:p>
      <w:r>
        <w:t xml:space="preserve"/>
      </w:r>
    </w:p>
    <w:p>
      <w:pPr>
        <w:pStyle w:val="Heading2"/>
        <w:spacing w:after="100" w:before="280"/>
      </w:pPr>
      <w:r>
        <w:rPr>
          <w:rFonts w:ascii="Arial" w:cs="Arial" w:eastAsia="Arial" w:hAnsi="Arial"/>
          <w:b/>
          <w:bCs/>
          <w:color w:val="0F4C5C"/>
          <w:sz w:val="28"/>
          <w:szCs w:val="28"/>
        </w:rPr>
        <w:t xml:space="preserve">6.6 Domain and framework boost terms</w:t>
      </w:r>
    </w:p>
    <w:p>
      <w:pPr>
        <w:spacing w:after="80" w:before="80"/>
      </w:pPr>
      <w:r>
        <w:rPr>
          <w:rFonts w:ascii="Arial" w:cs="Arial" w:eastAsia="Arial" w:hAnsi="Arial"/>
          <w:color w:val="1A1A1A"/>
          <w:sz w:val="22"/>
          <w:szCs w:val="22"/>
        </w:rPr>
        <w:t xml:space="preserve">A plain similarity search for AI Model Governance may not match the most relevant AI RMF chunks if the document uses different terminology (trustworthy AI, model risk, AI governance). The retriever augments every query with domain-specific boost terms and framework-specific context strings before embedding. This improves recall for specialised domains.</w:t>
      </w:r>
    </w:p>
    <w:p>
      <w:r>
        <w:t xml:space="preserve"/>
      </w:r>
    </w:p>
    <w:p>
      <w:pPr>
        <w:pStyle w:val="Heading2"/>
        <w:spacing w:after="100" w:before="280"/>
      </w:pPr>
      <w:r>
        <w:rPr>
          <w:rFonts w:ascii="Arial" w:cs="Arial" w:eastAsia="Arial" w:hAnsi="Arial"/>
          <w:b/>
          <w:bCs/>
          <w:color w:val="0F4C5C"/>
          <w:sz w:val="28"/>
          <w:szCs w:val="28"/>
        </w:rPr>
        <w:t xml:space="preserve">6.7 LangChain orchestration</w:t>
      </w:r>
    </w:p>
    <w:p>
      <w:pPr>
        <w:spacing w:after="80" w:before="80"/>
      </w:pPr>
      <w:r>
        <w:rPr>
          <w:rFonts w:ascii="Arial" w:cs="Arial" w:eastAsia="Arial" w:hAnsi="Arial"/>
          <w:color w:val="1A1A1A"/>
          <w:sz w:val="22"/>
          <w:szCs w:val="22"/>
        </w:rPr>
        <w:t xml:space="preserve">LangChain manages the sequence of LLM calls. It handles message formatting (SystemMessage + HumanMessage), invokes the Gemini API asynchronously, and parses the string output. For this prototype, two LangChain chains are used: one for the framework mapping and one for the conceptual architecture diagram.</w:t>
      </w:r>
    </w:p>
    <w:p>
      <w:r>
        <w:t xml:space="preserve"/>
      </w:r>
    </w:p>
    <w:p>
      <w:pPr>
        <w:pStyle w:val="Heading2"/>
        <w:spacing w:after="100" w:before="280"/>
      </w:pPr>
      <w:r>
        <w:rPr>
          <w:rFonts w:ascii="Arial" w:cs="Arial" w:eastAsia="Arial" w:hAnsi="Arial"/>
          <w:b/>
          <w:bCs/>
          <w:color w:val="0F4C5C"/>
          <w:sz w:val="28"/>
          <w:szCs w:val="28"/>
        </w:rPr>
        <w:t xml:space="preserve">6.8 Structured output via delimiters</w:t>
      </w:r>
    </w:p>
    <w:p>
      <w:pPr>
        <w:spacing w:after="80" w:before="80"/>
      </w:pPr>
      <w:r>
        <w:rPr>
          <w:rFonts w:ascii="Arial" w:cs="Arial" w:eastAsia="Arial" w:hAnsi="Arial"/>
          <w:color w:val="1A1A1A"/>
          <w:sz w:val="22"/>
          <w:szCs w:val="22"/>
        </w:rPr>
        <w:t xml:space="preserve">Gemini does not natively support JSON mode in all configurations. The system prompts instruct Gemini to wrap JSON output between &lt;&lt;&lt;JSON and &gt;&gt;&gt; delimiters. The Python parser uses a regex to extract the JSON block, strips any markdown code fences, and parses it. A fallback regex matches to end-of-string if the closing delimiter is truncated.</w:t>
      </w:r>
    </w:p>
    <w:p>
      <w:r>
        <w:br w:type="page"/>
      </w:r>
    </w:p>
    <w:p>
      <w:pPr>
        <w:pStyle w:val="Heading1"/>
        <w:spacing w:after="120" w:before="360"/>
      </w:pPr>
      <w:r>
        <w:rPr>
          <w:rFonts w:ascii="Arial" w:cs="Arial" w:eastAsia="Arial" w:hAnsi="Arial"/>
          <w:b/>
          <w:bCs/>
          <w:color w:val="1B3A6B"/>
          <w:sz w:val="36"/>
          <w:szCs w:val="36"/>
        </w:rPr>
        <w:t xml:space="preserve">7. Components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runtime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0.135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 API framework with async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Uvicorn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ASGI server for FastAPI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LangChain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orchestration and message formatting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langchain-google-genai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API integration for LangChain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Gemini 2.5 Flash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Primary LLM for framework scoring and diagram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ChromaDB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persistent vector database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sentence-transformers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5.3</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all-MiniLM-L6-v2 embedding model (384-dim)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text extraction page by 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python-docx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DOCX file text extraction for Zachman Framework.docx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python-dotenv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variable loading from .env 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httpx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Async HTTP client for test_agent.py</w:t>
            </w:r>
          </w:p>
        </w:tc>
      </w:tr>
    </w:tbl>
    <w:p>
      <w:r>
        <w:br w:type="page"/>
      </w:r>
    </w:p>
    <w:p>
      <w:pPr>
        <w:pStyle w:val="Heading1"/>
        <w:spacing w:after="120" w:before="360"/>
      </w:pPr>
      <w:r>
        <w:rPr>
          <w:rFonts w:ascii="Arial" w:cs="Arial" w:eastAsia="Arial" w:hAnsi="Arial"/>
          <w:b/>
          <w:bCs/>
          <w:color w:val="1B3A6B"/>
          <w:sz w:val="36"/>
          <w:szCs w:val="36"/>
        </w:rPr>
        <w:t xml:space="preserve">8. Demo Script</w:t>
      </w:r>
    </w:p>
    <w:p>
      <w:pPr>
        <w:pStyle w:val="Heading2"/>
        <w:spacing w:after="100" w:before="280"/>
      </w:pPr>
      <w:r>
        <w:rPr>
          <w:rFonts w:ascii="Arial" w:cs="Arial" w:eastAsia="Arial" w:hAnsi="Arial"/>
          <w:b/>
          <w:bCs/>
          <w:color w:val="0F4C5C"/>
          <w:sz w:val="28"/>
          <w:szCs w:val="28"/>
        </w:rPr>
        <w:t xml:space="preserve">Prerequisites</w:t>
      </w:r>
    </w:p>
    <w:p>
      <w:pPr>
        <w:pStyle w:val="ListParagraph"/>
        <w:numPr>
          <w:ilvl w:val="0"/>
          <w:numId w:val="2"/>
        </w:numPr>
        <w:spacing w:after="40" w:before="40"/>
      </w:pPr>
      <w:r>
        <w:rPr>
          <w:rFonts w:ascii="Arial" w:cs="Arial" w:eastAsia="Arial" w:hAnsi="Arial"/>
          <w:color w:val="1A1A1A"/>
          <w:sz w:val="22"/>
          <w:szCs w:val="22"/>
        </w:rPr>
        <w:t xml:space="preserve">agent_v2.py running (python agent_v2.py in Window 1)</w:t>
      </w:r>
    </w:p>
    <w:p>
      <w:pPr>
        <w:pStyle w:val="ListParagraph"/>
        <w:numPr>
          <w:ilvl w:val="0"/>
          <w:numId w:val="2"/>
        </w:numPr>
        <w:spacing w:after="40" w:before="40"/>
      </w:pPr>
      <w:r>
        <w:rPr>
          <w:rFonts w:ascii="Arial" w:cs="Arial" w:eastAsia="Arial" w:hAnsi="Arial"/>
          <w:color w:val="1A1A1A"/>
          <w:sz w:val="22"/>
          <w:szCs w:val="22"/>
        </w:rPr>
        <w:t xml:space="preserve">Startup shows: [RAG] Ready — 1450 chunks loaded from ChromaDB</w:t>
      </w:r>
    </w:p>
    <w:p>
      <w:pPr>
        <w:pStyle w:val="ListParagraph"/>
        <w:numPr>
          <w:ilvl w:val="0"/>
          <w:numId w:val="2"/>
        </w:numPr>
        <w:spacing w:after="40" w:before="40"/>
      </w:pPr>
      <w:r>
        <w:rPr>
          <w:rFonts w:ascii="Arial" w:cs="Arial" w:eastAsia="Arial" w:hAnsi="Arial"/>
          <w:color w:val="1A1A1A"/>
          <w:sz w:val="22"/>
          <w:szCs w:val="22"/>
        </w:rPr>
        <w:t xml:space="preserve">security_architect_agent.html open in Chrome or Edge</w:t>
      </w:r>
    </w:p>
    <w:p>
      <w:r>
        <w:t xml:space="preserve"/>
      </w:r>
    </w:p>
    <w:p>
      <w:pPr>
        <w:pStyle w:val="Heading2"/>
        <w:spacing w:after="100" w:before="280"/>
      </w:pPr>
      <w:r>
        <w:rPr>
          <w:rFonts w:ascii="Arial" w:cs="Arial" w:eastAsia="Arial" w:hAnsi="Arial"/>
          <w:b/>
          <w:bCs/>
          <w:color w:val="0F4C5C"/>
          <w:sz w:val="28"/>
          <w:szCs w:val="28"/>
        </w:rPr>
        <w:t xml:space="preserve">Demo scenario 1 — Financial services cloud migration (5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vAlign w:val="center"/>
          </w:tcPr>
          <w:p>
            <w:pPr>
              <w:jc w:val="center"/>
            </w:pPr>
            <w:r>
              <w:rPr>
                <w:rFonts w:ascii="Arial" w:cs="Arial" w:eastAsia="Arial" w:hAnsi="Arial"/>
                <w:b/>
                <w:bCs/>
                <w:color w:val="1B3A6B"/>
                <w:sz w:val="20"/>
                <w:szCs w:val="20"/>
              </w:rPr>
              <w:t xml:space="preserve">Setup</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Select: Financial services | PCI-DSS | Managed maturity | Cloud-first migration + Infra modernization | Context: Migrating 40 legacy Java banking apps to AWS. New CISO. Zero trust posture target.</w:t>
            </w:r>
          </w:p>
        </w:tc>
      </w:tr>
    </w:tbl>
    <w:p>
      <w:r>
        <w:t xml:space="preserve"/>
      </w:r>
    </w:p>
    <w:p>
      <w:pPr>
        <w:pStyle w:val="ListParagraph"/>
        <w:numPr>
          <w:ilvl w:val="0"/>
          <w:numId w:val="2"/>
        </w:numPr>
        <w:spacing w:after="40" w:before="40"/>
      </w:pPr>
      <w:r>
        <w:rPr>
          <w:rFonts w:ascii="Arial" w:cs="Arial" w:eastAsia="Arial" w:hAnsi="Arial"/>
          <w:color w:val="1A1A1A"/>
          <w:sz w:val="22"/>
          <w:szCs w:val="22"/>
        </w:rPr>
        <w:t xml:space="preserve">Click Mapping. Narrate: The agent is now sending the org profile to Gemini 2.5 Flash. It knows the framework scoring rules — SABSA for business outcomes, TOGAF for enterprise transformation, NIST CSF for PCI-DSS compliance, Zero Trust for cloud workloads.</w:t>
      </w:r>
    </w:p>
    <w:p>
      <w:pPr>
        <w:pStyle w:val="ListParagraph"/>
        <w:numPr>
          <w:ilvl w:val="0"/>
          <w:numId w:val="2"/>
        </w:numPr>
        <w:spacing w:after="40" w:before="40"/>
      </w:pPr>
      <w:r>
        <w:rPr>
          <w:rFonts w:ascii="Arial" w:cs="Arial" w:eastAsia="Arial" w:hAnsi="Arial"/>
          <w:color w:val="1A1A1A"/>
          <w:sz w:val="22"/>
          <w:szCs w:val="22"/>
        </w:rPr>
        <w:t xml:space="preserve">Point to the framework blend row: SABSA + NIST CSF 2.0 + Zero Trust as primary, TOGAF supporting. NAF/DODAF correctly excluded — this is a commercial entity.</w:t>
      </w:r>
    </w:p>
    <w:p>
      <w:pPr>
        <w:pStyle w:val="ListParagraph"/>
        <w:numPr>
          <w:ilvl w:val="0"/>
          <w:numId w:val="2"/>
        </w:numPr>
        <w:spacing w:after="40" w:before="40"/>
      </w:pPr>
      <w:r>
        <w:rPr>
          <w:rFonts w:ascii="Arial" w:cs="Arial" w:eastAsia="Arial" w:hAnsi="Arial"/>
          <w:color w:val="1A1A1A"/>
          <w:sz w:val="22"/>
          <w:szCs w:val="22"/>
        </w:rPr>
        <w:t xml:space="preserve">Scroll through the table: 10 requirements with specific artifacts — Protect.Network.Security, Identity Pillar, Designer Viewpoint Where.</w:t>
      </w:r>
    </w:p>
    <w:p>
      <w:pPr>
        <w:pStyle w:val="ListParagraph"/>
        <w:numPr>
          <w:ilvl w:val="0"/>
          <w:numId w:val="2"/>
        </w:numPr>
        <w:spacing w:after="40" w:before="40"/>
      </w:pPr>
      <w:r>
        <w:rPr>
          <w:rFonts w:ascii="Arial" w:cs="Arial" w:eastAsia="Arial" w:hAnsi="Arial"/>
          <w:color w:val="1A1A1A"/>
          <w:sz w:val="22"/>
          <w:szCs w:val="22"/>
        </w:rPr>
        <w:t xml:space="preserve">Scroll to Framework Citations: Show TOGAF-p87 — this is actual text from the TOGAF C220 standard, page 87. Not a summary. The actual clause.</w:t>
      </w:r>
    </w:p>
    <w:p>
      <w:pPr>
        <w:pStyle w:val="ListParagraph"/>
        <w:numPr>
          <w:ilvl w:val="0"/>
          <w:numId w:val="2"/>
        </w:numPr>
        <w:spacing w:after="40" w:before="40"/>
      </w:pPr>
      <w:r>
        <w:rPr>
          <w:rFonts w:ascii="Arial" w:cs="Arial" w:eastAsia="Arial" w:hAnsi="Arial"/>
          <w:color w:val="1A1A1A"/>
          <w:sz w:val="22"/>
          <w:szCs w:val="22"/>
        </w:rPr>
        <w:t xml:space="preserve">Click Diagram: Show the layered architecture — Identity &amp; Access, Data, Application, Infrastructure, Operations, Governance — each component mapped to a framework reference.</w:t>
      </w:r>
    </w:p>
    <w:p>
      <w:r>
        <w:t xml:space="preserve"/>
      </w:r>
    </w:p>
    <w:p>
      <w:pPr>
        <w:pStyle w:val="Heading2"/>
        <w:spacing w:after="100" w:before="280"/>
      </w:pPr>
      <w:r>
        <w:rPr>
          <w:rFonts w:ascii="Arial" w:cs="Arial" w:eastAsia="Arial" w:hAnsi="Arial"/>
          <w:b/>
          <w:bCs/>
          <w:color w:val="0F4C5C"/>
          <w:sz w:val="28"/>
          <w:szCs w:val="28"/>
        </w:rPr>
        <w:t xml:space="preserve">Demo scenario 2 — AI-native SaaS (3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FE0" w:val="clear"/>
            <w:tcMar>
              <w:top w:type="dxa" w:w="100"/>
              <w:left w:type="dxa" w:w="120"/>
              <w:bottom w:type="dxa" w:w="100"/>
              <w:right w:type="dxa" w:w="120"/>
            </w:tcMar>
            <w:vAlign w:val="center"/>
          </w:tcPr>
          <w:p>
            <w:pPr>
              <w:jc w:val="center"/>
            </w:pPr>
            <w:r>
              <w:rPr>
                <w:rFonts w:ascii="Arial" w:cs="Arial" w:eastAsia="Arial" w:hAnsi="Arial"/>
                <w:b/>
                <w:bCs/>
                <w:color w:val="1D6A3A"/>
                <w:sz w:val="20"/>
                <w:szCs w:val="20"/>
              </w:rPr>
              <w:t xml:space="preserve">Setup</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Select: Technology/SaaS | SOC 2 / ISO 27001 | Initial maturity | AI-native + API-first + DevSecOps | Context: Series B startup, GCP, LLM features on customer financial data, first CISO hire.</w:t>
            </w:r>
          </w:p>
        </w:tc>
      </w:tr>
    </w:tbl>
    <w:p>
      <w:r>
        <w:t xml:space="preserve"/>
      </w:r>
    </w:p>
    <w:p>
      <w:pPr>
        <w:pStyle w:val="ListParagraph"/>
        <w:numPr>
          <w:ilvl w:val="0"/>
          <w:numId w:val="2"/>
        </w:numPr>
        <w:spacing w:after="40" w:before="40"/>
      </w:pPr>
      <w:r>
        <w:rPr>
          <w:rFonts w:ascii="Arial" w:cs="Arial" w:eastAsia="Arial" w:hAnsi="Arial"/>
          <w:color w:val="1A1A1A"/>
          <w:sz w:val="22"/>
          <w:szCs w:val="22"/>
        </w:rPr>
        <w:t xml:space="preserve">Point to requirement 01: AI Model Risk Management &amp; Governance. This requirement does not exist in any standard security architecture tool. It appeared because our knowledge base includes NIST AI RMF.</w:t>
      </w:r>
    </w:p>
    <w:p>
      <w:pPr>
        <w:pStyle w:val="ListParagraph"/>
        <w:numPr>
          <w:ilvl w:val="0"/>
          <w:numId w:val="2"/>
        </w:numPr>
        <w:spacing w:after="40" w:before="40"/>
      </w:pPr>
      <w:r>
        <w:rPr>
          <w:rFonts w:ascii="Arial" w:cs="Arial" w:eastAsia="Arial" w:hAnsi="Arial"/>
          <w:color w:val="1A1A1A"/>
          <w:sz w:val="22"/>
          <w:szCs w:val="22"/>
        </w:rPr>
        <w:t xml:space="preserve">Scroll to citations: Show NIST AI RMF-p13, p14, p4. These are real passages from NIST.AI.600-1.pdf about C-Suite AI risk accountability, AI portfolio management, and AI governance policies.</w:t>
      </w:r>
    </w:p>
    <w:p>
      <w:pPr>
        <w:pStyle w:val="ListParagraph"/>
        <w:numPr>
          <w:ilvl w:val="0"/>
          <w:numId w:val="2"/>
        </w:numPr>
        <w:spacing w:after="40" w:before="40"/>
      </w:pPr>
      <w:r>
        <w:rPr>
          <w:rFonts w:ascii="Arial" w:cs="Arial" w:eastAsia="Arial" w:hAnsi="Arial"/>
          <w:color w:val="1A1A1A"/>
          <w:sz w:val="22"/>
          <w:szCs w:val="22"/>
        </w:rPr>
        <w:t xml:space="preserve">Key message: No commercial security architecture tool currently has NIST AI RMF integrated. For an AI-native client, this is the differentiator.</w:t>
      </w:r>
    </w:p>
    <w:p>
      <w:r>
        <w:t xml:space="preserve"/>
      </w:r>
    </w:p>
    <w:p>
      <w:pPr>
        <w:pStyle w:val="Heading2"/>
        <w:spacing w:after="100" w:before="280"/>
      </w:pPr>
      <w:r>
        <w:rPr>
          <w:rFonts w:ascii="Arial" w:cs="Arial" w:eastAsia="Arial" w:hAnsi="Arial"/>
          <w:b/>
          <w:bCs/>
          <w:color w:val="0F4C5C"/>
          <w:sz w:val="28"/>
          <w:szCs w:val="28"/>
        </w:rPr>
        <w:t xml:space="preserve">Demo scenario 3 — Government Zero Trust (2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EF3DC" w:val="clear"/>
            <w:tcMar>
              <w:top w:type="dxa" w:w="100"/>
              <w:left w:type="dxa" w:w="120"/>
              <w:bottom w:type="dxa" w:w="100"/>
              <w:right w:type="dxa" w:w="120"/>
            </w:tcMar>
            <w:vAlign w:val="center"/>
          </w:tcPr>
          <w:p>
            <w:pPr>
              <w:jc w:val="center"/>
            </w:pPr>
            <w:r>
              <w:rPr>
                <w:rFonts w:ascii="Arial" w:cs="Arial" w:eastAsia="Arial" w:hAnsi="Arial"/>
                <w:b/>
                <w:bCs/>
                <w:color w:val="7A4800"/>
                <w:sz w:val="20"/>
                <w:szCs w:val="20"/>
              </w:rPr>
              <w:t xml:space="preserve">Setup</w:t>
            </w:r>
          </w:p>
        </w:tc>
        <w:tc>
          <w:tcPr>
            <w:tcW w:type="dxa" w:w="81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r>
              <w:rPr>
                <w:rFonts w:ascii="Arial" w:cs="Arial" w:eastAsia="Arial" w:hAnsi="Arial"/>
                <w:color w:val="1A1A1A"/>
                <w:sz w:val="20"/>
                <w:szCs w:val="20"/>
              </w:rPr>
              <w:t xml:space="preserve">Select: Government/Public sector | FedRAMP | Defined maturity | Zero Trust + Infra modernization | Context: Federal agency, 3500 users, DoD adjacent, must align to DODAF/NAF for allied interoperability.</w:t>
            </w:r>
          </w:p>
        </w:tc>
      </w:tr>
    </w:tbl>
    <w:p>
      <w:r>
        <w:t xml:space="preserve"/>
      </w:r>
    </w:p>
    <w:p>
      <w:pPr>
        <w:pStyle w:val="ListParagraph"/>
        <w:numPr>
          <w:ilvl w:val="0"/>
          <w:numId w:val="2"/>
        </w:numPr>
        <w:spacing w:after="40" w:before="40"/>
      </w:pPr>
      <w:r>
        <w:rPr>
          <w:rFonts w:ascii="Arial" w:cs="Arial" w:eastAsia="Arial" w:hAnsi="Arial"/>
          <w:color w:val="1A1A1A"/>
          <w:sz w:val="22"/>
          <w:szCs w:val="22"/>
        </w:rPr>
        <w:t xml:space="preserve">Show framework blend: NAF and DODAF now appear as supporting frameworks — correctly activated by the Government/Defense org type.</w:t>
      </w:r>
    </w:p>
    <w:p>
      <w:pPr>
        <w:pStyle w:val="ListParagraph"/>
        <w:numPr>
          <w:ilvl w:val="0"/>
          <w:numId w:val="2"/>
        </w:numPr>
        <w:spacing w:after="40" w:before="40"/>
      </w:pPr>
      <w:r>
        <w:rPr>
          <w:rFonts w:ascii="Arial" w:cs="Arial" w:eastAsia="Arial" w:hAnsi="Arial"/>
          <w:color w:val="1A1A1A"/>
          <w:sz w:val="22"/>
          <w:szCs w:val="22"/>
        </w:rPr>
        <w:t xml:space="preserve">Point to contrast with scenario 1: Same objectives (Zero Trust + modernization) but different org type produces different framework blend. The macro scoring logic is working.</w:t>
      </w:r>
    </w:p>
    <w:p>
      <w:r>
        <w:br w:type="page"/>
      </w:r>
    </w:p>
    <w:p>
      <w:pPr>
        <w:pStyle w:val="Heading1"/>
        <w:spacing w:after="120" w:before="360"/>
      </w:pPr>
      <w:r>
        <w:rPr>
          <w:rFonts w:ascii="Arial" w:cs="Arial" w:eastAsia="Arial" w:hAnsi="Arial"/>
          <w:b/>
          <w:bCs/>
          <w:color w:val="1B3A6B"/>
          <w:sz w:val="36"/>
          <w:szCs w:val="36"/>
        </w:rPr>
        <w:t xml:space="preserve">9. Roadmap — Next Steps</w:t>
      </w:r>
    </w:p>
    <w:p>
      <w:pPr>
        <w:pStyle w:val="Heading2"/>
        <w:spacing w:after="100" w:before="280"/>
      </w:pPr>
      <w:r>
        <w:rPr>
          <w:rFonts w:ascii="Arial" w:cs="Arial" w:eastAsia="Arial" w:hAnsi="Arial"/>
          <w:b/>
          <w:bCs/>
          <w:color w:val="0F4C5C"/>
          <w:sz w:val="28"/>
          <w:szCs w:val="28"/>
        </w:rPr>
        <w:t xml:space="preserve">Next session</w:t>
      </w:r>
    </w:p>
    <w:p>
      <w:pPr>
        <w:pStyle w:val="ListParagraph"/>
        <w:numPr>
          <w:ilvl w:val="0"/>
          <w:numId w:val="2"/>
        </w:numPr>
        <w:spacing w:after="40" w:before="40"/>
      </w:pPr>
      <w:r>
        <w:rPr>
          <w:rFonts w:ascii="Arial" w:cs="Arial" w:eastAsia="Arial" w:hAnsi="Arial"/>
          <w:color w:val="1A1A1A"/>
          <w:sz w:val="22"/>
          <w:szCs w:val="22"/>
        </w:rPr>
        <w:t xml:space="preserve">Export to Word/PowerPoint: Generate a fully formatted security architecture document from the mapping output</w:t>
      </w:r>
    </w:p>
    <w:p>
      <w:pPr>
        <w:pStyle w:val="ListParagraph"/>
        <w:numPr>
          <w:ilvl w:val="0"/>
          <w:numId w:val="2"/>
        </w:numPr>
        <w:spacing w:after="40" w:before="40"/>
      </w:pPr>
      <w:r>
        <w:rPr>
          <w:rFonts w:ascii="Arial" w:cs="Arial" w:eastAsia="Arial" w:hAnsi="Arial"/>
          <w:color w:val="1A1A1A"/>
          <w:sz w:val="22"/>
          <w:szCs w:val="22"/>
        </w:rPr>
        <w:t xml:space="preserve">SABSA Blue Book integration: Add the licensed SABSA PDF to the docs/ folder and re-run ingestion for full SABSA clause coverage</w:t>
      </w:r>
    </w:p>
    <w:p>
      <w:pPr>
        <w:pStyle w:val="ListParagraph"/>
        <w:numPr>
          <w:ilvl w:val="0"/>
          <w:numId w:val="2"/>
        </w:numPr>
        <w:spacing w:after="40" w:before="40"/>
      </w:pPr>
      <w:r>
        <w:rPr>
          <w:rFonts w:ascii="Arial" w:cs="Arial" w:eastAsia="Arial" w:hAnsi="Arial"/>
          <w:color w:val="1A1A1A"/>
          <w:sz w:val="22"/>
          <w:szCs w:val="22"/>
        </w:rPr>
        <w:t xml:space="preserve">Multi-turn refinement: Allow the architect to ask follow-up questions like make requirement 3 more specific to AWS Lambda</w:t>
      </w:r>
    </w:p>
    <w:p>
      <w:r>
        <w:t xml:space="preserve"/>
      </w:r>
    </w:p>
    <w:p>
      <w:pPr>
        <w:pStyle w:val="Heading2"/>
        <w:spacing w:after="100" w:before="280"/>
      </w:pPr>
      <w:r>
        <w:rPr>
          <w:rFonts w:ascii="Arial" w:cs="Arial" w:eastAsia="Arial" w:hAnsi="Arial"/>
          <w:b/>
          <w:bCs/>
          <w:color w:val="0F4C5C"/>
          <w:sz w:val="28"/>
          <w:szCs w:val="28"/>
        </w:rPr>
        <w:t xml:space="preserve">Future sessions</w:t>
      </w:r>
    </w:p>
    <w:p>
      <w:pPr>
        <w:pStyle w:val="ListParagraph"/>
        <w:numPr>
          <w:ilvl w:val="0"/>
          <w:numId w:val="2"/>
        </w:numPr>
        <w:spacing w:after="40" w:before="40"/>
      </w:pPr>
      <w:r>
        <w:rPr>
          <w:rFonts w:ascii="Arial" w:cs="Arial" w:eastAsia="Arial" w:hAnsi="Arial"/>
          <w:color w:val="1A1A1A"/>
          <w:sz w:val="22"/>
          <w:szCs w:val="22"/>
        </w:rPr>
        <w:t xml:space="preserve">Phased security roadmap: A third output type showing requirements sequenced into Phase 1 / Phase 2 / Phase 3 implementation waves</w:t>
      </w:r>
    </w:p>
    <w:p>
      <w:pPr>
        <w:pStyle w:val="ListParagraph"/>
        <w:numPr>
          <w:ilvl w:val="0"/>
          <w:numId w:val="2"/>
        </w:numPr>
        <w:spacing w:after="40" w:before="40"/>
      </w:pPr>
      <w:r>
        <w:rPr>
          <w:rFonts w:ascii="Arial" w:cs="Arial" w:eastAsia="Arial" w:hAnsi="Arial"/>
          <w:color w:val="1A1A1A"/>
          <w:sz w:val="22"/>
          <w:szCs w:val="22"/>
        </w:rPr>
        <w:t xml:space="preserve">Comparison mode: Run two org profiles side by side to show framework differences</w:t>
      </w:r>
    </w:p>
    <w:p>
      <w:pPr>
        <w:pStyle w:val="ListParagraph"/>
        <w:numPr>
          <w:ilvl w:val="0"/>
          <w:numId w:val="2"/>
        </w:numPr>
        <w:spacing w:after="40" w:before="40"/>
      </w:pPr>
      <w:r>
        <w:rPr>
          <w:rFonts w:ascii="Arial" w:cs="Arial" w:eastAsia="Arial" w:hAnsi="Arial"/>
          <w:color w:val="1A1A1A"/>
          <w:sz w:val="22"/>
          <w:szCs w:val="22"/>
        </w:rPr>
        <w:t xml:space="preserve">Cloud deployment: Package as a Docker container and deploy to GCP Cloud Run for shared team access</w:t>
      </w:r>
    </w:p>
    <w:p>
      <w:pPr>
        <w:pStyle w:val="ListParagraph"/>
        <w:numPr>
          <w:ilvl w:val="0"/>
          <w:numId w:val="2"/>
        </w:numPr>
        <w:spacing w:after="40" w:before="40"/>
      </w:pPr>
      <w:r>
        <w:rPr>
          <w:rFonts w:ascii="Arial" w:cs="Arial" w:eastAsia="Arial" w:hAnsi="Arial"/>
          <w:color w:val="1A1A1A"/>
          <w:sz w:val="22"/>
          <w:szCs w:val="22"/>
        </w:rPr>
        <w:t xml:space="preserve">Enterprise integration: REST API wrapper for integration with GRC platforms</w:t>
      </w:r>
    </w:p>
    <w:p>
      <w:r>
        <w:t xml:space="preserve"/>
      </w:r>
    </w:p>
    <w:p>
      <w:pPr>
        <w:spacing w:before="480"/>
        <w:jc w:val="center"/>
      </w:pPr>
      <w:r>
        <w:rPr>
          <w:rFonts w:ascii="Arial" w:cs="Arial" w:eastAsia="Arial" w:hAnsi="Arial"/>
          <w:i/>
          <w:iCs/>
          <w:color w:val="999999"/>
          <w:sz w:val="18"/>
          <w:szCs w:val="18"/>
        </w:rPr>
        <w:t xml:space="preserve">Built in a single session — March 2026 — Dakshan Product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F4C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2026-03-17T02:07:25.121Z</dcterms:created>
  <dcterms:modified xsi:type="dcterms:W3CDTF">2026-03-17T02:07:25.122Z</dcterms:modified>
</cp:coreProperties>
</file>

<file path=docProps/custom.xml><?xml version="1.0" encoding="utf-8"?>
<Properties xmlns="http://schemas.openxmlformats.org/officeDocument/2006/custom-properties" xmlns:vt="http://schemas.openxmlformats.org/officeDocument/2006/docPropsVTypes"/>
</file>