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E3A5F"/>
          <w:sz w:val="64"/>
        </w:rPr>
        <w:t>India Goes Cashless</w:t>
      </w:r>
    </w:p>
    <w:p>
      <w:pPr>
        <w:spacing w:before="80"/>
        <w:jc w:val="center"/>
      </w:pPr>
      <w:r>
        <w:rPr>
          <w:b/>
          <w:color w:val="3B82F6"/>
          <w:sz w:val="36"/>
        </w:rPr>
        <w:t>UPI Analytics — Project Report</w:t>
      </w:r>
    </w:p>
    <w:p>
      <w:pPr>
        <w:spacing w:after="240" w:before="0"/>
        <w:jc w:val="center"/>
      </w:pPr>
      <w:r>
        <w:rPr>
          <w:b w:val="0"/>
          <w:color w:val="57606A"/>
          <w:sz w:val="22"/>
        </w:rPr>
        <w:t>A comprehensive data analysis of India's Unified Payments Interface (UPI) for the calendar year 2024. Covers data cleaning, KPI metrics, trend analysis, geography, demographics, bank analysis, device usage, fraud detection, and interactive Streamlit dashboard outputs.</w:t>
      </w:r>
    </w:p>
    <w:p>
      <w:pPr>
        <w:spacing w:before="60" w:after="60"/>
        <w:pBdr>
          <w:bottom w:val="single" w:sz="4" w:space="1" w:color="3b82f6"/>
        </w:pBdr>
      </w:pPr>
    </w:p>
    <w:p>
      <w:pPr>
        <w:spacing w:after="80"/>
      </w:pPr>
    </w:p>
    <w:p>
      <w:pPr>
        <w:spacing w:before="60" w:after="40"/>
        <w:jc w:val="center"/>
      </w:pPr>
      <w:r>
        <w:drawing>
          <wp:inline xmlns:a="http://schemas.openxmlformats.org/drawingml/2006/main" xmlns:pic="http://schemas.openxmlformats.org/drawingml/2006/picture">
            <wp:extent cx="9360000" cy="3456000"/>
            <wp:docPr id="1" name="Picture 1"/>
            <wp:cNvGraphicFramePr>
              <a:graphicFrameLocks noChangeAspect="1"/>
            </wp:cNvGraphicFramePr>
            <a:graphic>
              <a:graphicData uri="http://schemas.openxmlformats.org/drawingml/2006/picture">
                <pic:pic>
                  <pic:nvPicPr>
                    <pic:cNvPr id="0" name="01_kpi.png"/>
                    <pic:cNvPicPr/>
                  </pic:nvPicPr>
                  <pic:blipFill>
                    <a:blip r:embed="rId9"/>
                    <a:stretch>
                      <a:fillRect/>
                    </a:stretch>
                  </pic:blipFill>
                  <pic:spPr>
                    <a:xfrm>
                      <a:off x="0" y="0"/>
                      <a:ext cx="9360000" cy="3456000"/>
                    </a:xfrm>
                    <a:prstGeom prst="rect"/>
                  </pic:spPr>
                </pic:pic>
              </a:graphicData>
            </a:graphic>
          </wp:inline>
        </w:drawing>
      </w:r>
    </w:p>
    <w:p>
      <w:pPr>
        <w:spacing w:after="200" w:before="0"/>
        <w:jc w:val="center"/>
      </w:pPr>
      <w:r>
        <w:rPr>
          <w:i/>
          <w:color w:val="57606A"/>
          <w:sz w:val="17"/>
        </w:rPr>
        <w:t>▲  Dashboard KPI Banner — 8 key metrics computed live from the dataset</w:t>
      </w:r>
    </w:p>
    <w:p>
      <w:pPr>
        <w:spacing w:after="80" w:before="0"/>
        <w:jc w:val="center"/>
      </w:pPr>
      <w:r>
        <w:rPr>
          <w:b w:val="0"/>
          <w:color w:val="57606A"/>
          <w:sz w:val="19"/>
        </w:rPr>
        <w:t>Dataset: upi_transactions_2024.csv   |   Records: 250,000   |   Period: Jan 2024 – Dec 2024   |   Success Rate: 95.0%   |   Fraud Rate: 0.19%</w:t>
      </w:r>
    </w:p>
    <w:p>
      <w:r>
        <w:br w:type="page"/>
      </w:r>
    </w:p>
    <w:p>
      <w:pPr>
        <w:spacing w:before="280" w:after="120"/>
      </w:pPr>
      <w:r>
        <w:rPr>
          <w:b/>
          <w:color w:val="1E3A5F"/>
          <w:sz w:val="30"/>
        </w:rPr>
        <w:t>1  Executive Summary</w:t>
      </w:r>
    </w:p>
    <w:p>
      <w:pPr>
        <w:spacing w:after="100" w:before="0"/>
      </w:pPr>
      <w:r>
        <w:rPr>
          <w:b w:val="0"/>
          <w:color w:val="1F2328"/>
          <w:sz w:val="21"/>
        </w:rPr>
        <w:t>This project analyses 250,000 UPI transactions recorded across India throughout 2024 using a single-file Streamlit dashboard (app.py). The data is loaded, cleaned, and explored across 8 interactive tabs: Trends, Categories, Geography, Banks, Device &amp; Network, Demographics, Fraud, and Raw Data.</w:t>
      </w:r>
    </w:p>
    <w:p>
      <w:pPr>
        <w:spacing w:after="160" w:before="0"/>
      </w:pPr>
      <w:r>
        <w:rPr>
          <w:b w:val="0"/>
          <w:color w:val="1F2328"/>
          <w:sz w:val="21"/>
        </w:rPr>
        <w:t>Key findings: success rate 95.0%, fraud rate 0.19%, average transaction ₹1,312, peak usage at 19:00 hrs. Android + 4G dominates. The 26–35 age group is the most active demographic. A small number of states drive the majority of transaction volume.</w:t>
      </w:r>
    </w:p>
    <w:p>
      <w:pPr>
        <w:spacing w:before="280" w:after="120"/>
      </w:pPr>
      <w:r>
        <w:rPr>
          <w:b/>
          <w:color w:val="1E3A5F"/>
          <w:sz w:val="30"/>
        </w:rPr>
        <w:t>2  Dataset Description</w:t>
      </w:r>
    </w:p>
    <w:p>
      <w:pPr>
        <w:spacing w:after="120" w:before="0"/>
      </w:pPr>
      <w:r>
        <w:rPr>
          <w:b/>
          <w:color w:val="1F2328"/>
          <w:sz w:val="21"/>
        </w:rPr>
        <w:t>File: upi_transactions_2024.csv  |  Rows: 250,000  |  Columns: 17</w:t>
      </w:r>
    </w:p>
    <w:tbl>
      <w:tblPr>
        <w:tblStyle w:val="TableGrid"/>
        <w:tblW w:type="auto" w:w="0"/>
        <w:tblLook w:firstColumn="1" w:firstRow="1" w:lastColumn="0" w:lastRow="0" w:noHBand="0" w:noVBand="1" w:val="04A0"/>
      </w:tblPr>
      <w:tblGrid>
        <w:gridCol w:w="5008"/>
        <w:gridCol w:w="5008"/>
        <w:gridCol w:w="5008"/>
      </w:tblGrid>
      <w:tr>
        <w:tc>
          <w:tcPr>
            <w:tcW w:type="dxa" w:w="5008"/>
            <w:shd w:val="clear" w:color="auto" w:fill="1E3A5F"/>
          </w:tcPr>
          <w:p>
            <w:r>
              <w:rPr>
                <w:b/>
                <w:color w:val="FFFFFF"/>
                <w:sz w:val="19"/>
              </w:rPr>
              <w:t>Column</w:t>
            </w:r>
          </w:p>
        </w:tc>
        <w:tc>
          <w:tcPr>
            <w:tcW w:type="dxa" w:w="5008"/>
            <w:shd w:val="clear" w:color="auto" w:fill="1E3A5F"/>
          </w:tcPr>
          <w:p>
            <w:r>
              <w:rPr>
                <w:b/>
                <w:color w:val="FFFFFF"/>
                <w:sz w:val="19"/>
              </w:rPr>
              <w:t>Data Type</w:t>
            </w:r>
          </w:p>
        </w:tc>
        <w:tc>
          <w:tcPr>
            <w:tcW w:type="dxa" w:w="5008"/>
            <w:shd w:val="clear" w:color="auto" w:fill="1E3A5F"/>
          </w:tcPr>
          <w:p>
            <w:r>
              <w:rPr>
                <w:b/>
                <w:color w:val="FFFFFF"/>
                <w:sz w:val="19"/>
              </w:rPr>
              <w:t>Description</w:t>
            </w:r>
          </w:p>
        </w:tc>
      </w:tr>
      <w:tr>
        <w:tc>
          <w:tcPr>
            <w:tcW w:type="dxa" w:w="5008"/>
            <w:shd w:val="clear" w:color="auto" w:fill="f7f8fa"/>
          </w:tcPr>
          <w:p>
            <w:r>
              <w:rPr>
                <w:sz w:val="19"/>
              </w:rPr>
              <w:t>transaction_id</w:t>
            </w:r>
          </w:p>
        </w:tc>
        <w:tc>
          <w:tcPr>
            <w:tcW w:type="dxa" w:w="5008"/>
            <w:shd w:val="clear" w:color="auto" w:fill="f7f8fa"/>
          </w:tcPr>
          <w:p>
            <w:r>
              <w:rPr>
                <w:sz w:val="19"/>
              </w:rPr>
              <w:t>String</w:t>
            </w:r>
          </w:p>
        </w:tc>
        <w:tc>
          <w:tcPr>
            <w:tcW w:type="dxa" w:w="5008"/>
            <w:shd w:val="clear" w:color="auto" w:fill="f7f8fa"/>
          </w:tcPr>
          <w:p>
            <w:r>
              <w:rPr>
                <w:sz w:val="19"/>
              </w:rPr>
              <w:t>Unique transaction identifier</w:t>
            </w:r>
          </w:p>
        </w:tc>
      </w:tr>
      <w:tr>
        <w:tc>
          <w:tcPr>
            <w:tcW w:type="dxa" w:w="5008"/>
            <w:shd w:val="clear" w:color="auto" w:fill="ffffff"/>
          </w:tcPr>
          <w:p>
            <w:r>
              <w:rPr>
                <w:sz w:val="19"/>
              </w:rPr>
              <w:t>timestamp</w:t>
            </w:r>
          </w:p>
        </w:tc>
        <w:tc>
          <w:tcPr>
            <w:tcW w:type="dxa" w:w="5008"/>
            <w:shd w:val="clear" w:color="auto" w:fill="ffffff"/>
          </w:tcPr>
          <w:p>
            <w:r>
              <w:rPr>
                <w:sz w:val="19"/>
              </w:rPr>
              <w:t>DateTime</w:t>
            </w:r>
          </w:p>
        </w:tc>
        <w:tc>
          <w:tcPr>
            <w:tcW w:type="dxa" w:w="5008"/>
            <w:shd w:val="clear" w:color="auto" w:fill="ffffff"/>
          </w:tcPr>
          <w:p>
            <w:r>
              <w:rPr>
                <w:sz w:val="19"/>
              </w:rPr>
              <w:t>Date and time of transaction</w:t>
            </w:r>
          </w:p>
        </w:tc>
      </w:tr>
      <w:tr>
        <w:tc>
          <w:tcPr>
            <w:tcW w:type="dxa" w:w="5008"/>
            <w:shd w:val="clear" w:color="auto" w:fill="f7f8fa"/>
          </w:tcPr>
          <w:p>
            <w:r>
              <w:rPr>
                <w:sz w:val="19"/>
              </w:rPr>
              <w:t>transaction_type</w:t>
            </w:r>
          </w:p>
        </w:tc>
        <w:tc>
          <w:tcPr>
            <w:tcW w:type="dxa" w:w="5008"/>
            <w:shd w:val="clear" w:color="auto" w:fill="f7f8fa"/>
          </w:tcPr>
          <w:p>
            <w:r>
              <w:rPr>
                <w:sz w:val="19"/>
              </w:rPr>
              <w:t>Categorical</w:t>
            </w:r>
          </w:p>
        </w:tc>
        <w:tc>
          <w:tcPr>
            <w:tcW w:type="dxa" w:w="5008"/>
            <w:shd w:val="clear" w:color="auto" w:fill="f7f8fa"/>
          </w:tcPr>
          <w:p>
            <w:r>
              <w:rPr>
                <w:sz w:val="19"/>
              </w:rPr>
              <w:t>P2P (Person-to-Person) or P2M (Person-to-Merchant)</w:t>
            </w:r>
          </w:p>
        </w:tc>
      </w:tr>
      <w:tr>
        <w:tc>
          <w:tcPr>
            <w:tcW w:type="dxa" w:w="5008"/>
            <w:shd w:val="clear" w:color="auto" w:fill="ffffff"/>
          </w:tcPr>
          <w:p>
            <w:r>
              <w:rPr>
                <w:sz w:val="19"/>
              </w:rPr>
              <w:t>merchant_category</w:t>
            </w:r>
          </w:p>
        </w:tc>
        <w:tc>
          <w:tcPr>
            <w:tcW w:type="dxa" w:w="5008"/>
            <w:shd w:val="clear" w:color="auto" w:fill="ffffff"/>
          </w:tcPr>
          <w:p>
            <w:r>
              <w:rPr>
                <w:sz w:val="19"/>
              </w:rPr>
              <w:t>Categorical</w:t>
            </w:r>
          </w:p>
        </w:tc>
        <w:tc>
          <w:tcPr>
            <w:tcW w:type="dxa" w:w="5008"/>
            <w:shd w:val="clear" w:color="auto" w:fill="ffffff"/>
          </w:tcPr>
          <w:p>
            <w:r>
              <w:rPr>
                <w:sz w:val="19"/>
              </w:rPr>
              <w:t>Grocery, Fuel, Entertainment, etc.</w:t>
            </w:r>
          </w:p>
        </w:tc>
      </w:tr>
      <w:tr>
        <w:tc>
          <w:tcPr>
            <w:tcW w:type="dxa" w:w="5008"/>
            <w:shd w:val="clear" w:color="auto" w:fill="f7f8fa"/>
          </w:tcPr>
          <w:p>
            <w:r>
              <w:rPr>
                <w:sz w:val="19"/>
              </w:rPr>
              <w:t>amount (INR)</w:t>
            </w:r>
          </w:p>
        </w:tc>
        <w:tc>
          <w:tcPr>
            <w:tcW w:type="dxa" w:w="5008"/>
            <w:shd w:val="clear" w:color="auto" w:fill="f7f8fa"/>
          </w:tcPr>
          <w:p>
            <w:r>
              <w:rPr>
                <w:sz w:val="19"/>
              </w:rPr>
              <w:t>Numeric</w:t>
            </w:r>
          </w:p>
        </w:tc>
        <w:tc>
          <w:tcPr>
            <w:tcW w:type="dxa" w:w="5008"/>
            <w:shd w:val="clear" w:color="auto" w:fill="f7f8fa"/>
          </w:tcPr>
          <w:p>
            <w:r>
              <w:rPr>
                <w:sz w:val="19"/>
              </w:rPr>
              <w:t>Transaction amount in Indian Rupees</w:t>
            </w:r>
          </w:p>
        </w:tc>
      </w:tr>
      <w:tr>
        <w:tc>
          <w:tcPr>
            <w:tcW w:type="dxa" w:w="5008"/>
            <w:shd w:val="clear" w:color="auto" w:fill="ffffff"/>
          </w:tcPr>
          <w:p>
            <w:r>
              <w:rPr>
                <w:sz w:val="19"/>
              </w:rPr>
              <w:t>transaction_status</w:t>
            </w:r>
          </w:p>
        </w:tc>
        <w:tc>
          <w:tcPr>
            <w:tcW w:type="dxa" w:w="5008"/>
            <w:shd w:val="clear" w:color="auto" w:fill="ffffff"/>
          </w:tcPr>
          <w:p>
            <w:r>
              <w:rPr>
                <w:sz w:val="19"/>
              </w:rPr>
              <w:t>Categorical</w:t>
            </w:r>
          </w:p>
        </w:tc>
        <w:tc>
          <w:tcPr>
            <w:tcW w:type="dxa" w:w="5008"/>
            <w:shd w:val="clear" w:color="auto" w:fill="ffffff"/>
          </w:tcPr>
          <w:p>
            <w:r>
              <w:rPr>
                <w:sz w:val="19"/>
              </w:rPr>
              <w:t>SUCCESS / FAILED / PENDING</w:t>
            </w:r>
          </w:p>
        </w:tc>
      </w:tr>
      <w:tr>
        <w:tc>
          <w:tcPr>
            <w:tcW w:type="dxa" w:w="5008"/>
            <w:shd w:val="clear" w:color="auto" w:fill="f7f8fa"/>
          </w:tcPr>
          <w:p>
            <w:r>
              <w:rPr>
                <w:sz w:val="19"/>
              </w:rPr>
              <w:t>sender_age_group</w:t>
            </w:r>
          </w:p>
        </w:tc>
        <w:tc>
          <w:tcPr>
            <w:tcW w:type="dxa" w:w="5008"/>
            <w:shd w:val="clear" w:color="auto" w:fill="f7f8fa"/>
          </w:tcPr>
          <w:p>
            <w:r>
              <w:rPr>
                <w:sz w:val="19"/>
              </w:rPr>
              <w:t>Categorical</w:t>
            </w:r>
          </w:p>
        </w:tc>
        <w:tc>
          <w:tcPr>
            <w:tcW w:type="dxa" w:w="5008"/>
            <w:shd w:val="clear" w:color="auto" w:fill="f7f8fa"/>
          </w:tcPr>
          <w:p>
            <w:r>
              <w:rPr>
                <w:sz w:val="19"/>
              </w:rPr>
              <w:t>18-25, 26-35, 36-45, 46-55, 56+</w:t>
            </w:r>
          </w:p>
        </w:tc>
      </w:tr>
      <w:tr>
        <w:tc>
          <w:tcPr>
            <w:tcW w:type="dxa" w:w="5008"/>
            <w:shd w:val="clear" w:color="auto" w:fill="ffffff"/>
          </w:tcPr>
          <w:p>
            <w:r>
              <w:rPr>
                <w:sz w:val="19"/>
              </w:rPr>
              <w:t>receiver_age_group</w:t>
            </w:r>
          </w:p>
        </w:tc>
        <w:tc>
          <w:tcPr>
            <w:tcW w:type="dxa" w:w="5008"/>
            <w:shd w:val="clear" w:color="auto" w:fill="ffffff"/>
          </w:tcPr>
          <w:p>
            <w:r>
              <w:rPr>
                <w:sz w:val="19"/>
              </w:rPr>
              <w:t>Categorical</w:t>
            </w:r>
          </w:p>
        </w:tc>
        <w:tc>
          <w:tcPr>
            <w:tcW w:type="dxa" w:w="5008"/>
            <w:shd w:val="clear" w:color="auto" w:fill="ffffff"/>
          </w:tcPr>
          <w:p>
            <w:r>
              <w:rPr>
                <w:sz w:val="19"/>
              </w:rPr>
              <w:t>Age bracket of receiver</w:t>
            </w:r>
          </w:p>
        </w:tc>
      </w:tr>
      <w:tr>
        <w:tc>
          <w:tcPr>
            <w:tcW w:type="dxa" w:w="5008"/>
            <w:shd w:val="clear" w:color="auto" w:fill="f7f8fa"/>
          </w:tcPr>
          <w:p>
            <w:r>
              <w:rPr>
                <w:sz w:val="19"/>
              </w:rPr>
              <w:t>sender_state</w:t>
            </w:r>
          </w:p>
        </w:tc>
        <w:tc>
          <w:tcPr>
            <w:tcW w:type="dxa" w:w="5008"/>
            <w:shd w:val="clear" w:color="auto" w:fill="f7f8fa"/>
          </w:tcPr>
          <w:p>
            <w:r>
              <w:rPr>
                <w:sz w:val="19"/>
              </w:rPr>
              <w:t>Categorical</w:t>
            </w:r>
          </w:p>
        </w:tc>
        <w:tc>
          <w:tcPr>
            <w:tcW w:type="dxa" w:w="5008"/>
            <w:shd w:val="clear" w:color="auto" w:fill="f7f8fa"/>
          </w:tcPr>
          <w:p>
            <w:r>
              <w:rPr>
                <w:sz w:val="19"/>
              </w:rPr>
              <w:t>Sending state (Delhi, Karnataka …)</w:t>
            </w:r>
          </w:p>
        </w:tc>
      </w:tr>
      <w:tr>
        <w:tc>
          <w:tcPr>
            <w:tcW w:type="dxa" w:w="5008"/>
            <w:shd w:val="clear" w:color="auto" w:fill="ffffff"/>
          </w:tcPr>
          <w:p>
            <w:r>
              <w:rPr>
                <w:sz w:val="19"/>
              </w:rPr>
              <w:t>sender_bank</w:t>
            </w:r>
          </w:p>
        </w:tc>
        <w:tc>
          <w:tcPr>
            <w:tcW w:type="dxa" w:w="5008"/>
            <w:shd w:val="clear" w:color="auto" w:fill="ffffff"/>
          </w:tcPr>
          <w:p>
            <w:r>
              <w:rPr>
                <w:sz w:val="19"/>
              </w:rPr>
              <w:t>Categorical</w:t>
            </w:r>
          </w:p>
        </w:tc>
        <w:tc>
          <w:tcPr>
            <w:tcW w:type="dxa" w:w="5008"/>
            <w:shd w:val="clear" w:color="auto" w:fill="ffffff"/>
          </w:tcPr>
          <w:p>
            <w:r>
              <w:rPr>
                <w:sz w:val="19"/>
              </w:rPr>
              <w:t>SBI, ICICI, Axis, HDFC, Yes Bank …</w:t>
            </w:r>
          </w:p>
        </w:tc>
      </w:tr>
      <w:tr>
        <w:tc>
          <w:tcPr>
            <w:tcW w:type="dxa" w:w="5008"/>
            <w:shd w:val="clear" w:color="auto" w:fill="f7f8fa"/>
          </w:tcPr>
          <w:p>
            <w:r>
              <w:rPr>
                <w:sz w:val="19"/>
              </w:rPr>
              <w:t>receiver_bank</w:t>
            </w:r>
          </w:p>
        </w:tc>
        <w:tc>
          <w:tcPr>
            <w:tcW w:type="dxa" w:w="5008"/>
            <w:shd w:val="clear" w:color="auto" w:fill="f7f8fa"/>
          </w:tcPr>
          <w:p>
            <w:r>
              <w:rPr>
                <w:sz w:val="19"/>
              </w:rPr>
              <w:t>Categorical</w:t>
            </w:r>
          </w:p>
        </w:tc>
        <w:tc>
          <w:tcPr>
            <w:tcW w:type="dxa" w:w="5008"/>
            <w:shd w:val="clear" w:color="auto" w:fill="f7f8fa"/>
          </w:tcPr>
          <w:p>
            <w:r>
              <w:rPr>
                <w:sz w:val="19"/>
              </w:rPr>
              <w:t>Receiving bank</w:t>
            </w:r>
          </w:p>
        </w:tc>
      </w:tr>
      <w:tr>
        <w:tc>
          <w:tcPr>
            <w:tcW w:type="dxa" w:w="5008"/>
            <w:shd w:val="clear" w:color="auto" w:fill="ffffff"/>
          </w:tcPr>
          <w:p>
            <w:r>
              <w:rPr>
                <w:sz w:val="19"/>
              </w:rPr>
              <w:t>device_type</w:t>
            </w:r>
          </w:p>
        </w:tc>
        <w:tc>
          <w:tcPr>
            <w:tcW w:type="dxa" w:w="5008"/>
            <w:shd w:val="clear" w:color="auto" w:fill="ffffff"/>
          </w:tcPr>
          <w:p>
            <w:r>
              <w:rPr>
                <w:sz w:val="19"/>
              </w:rPr>
              <w:t>Categorical</w:t>
            </w:r>
          </w:p>
        </w:tc>
        <w:tc>
          <w:tcPr>
            <w:tcW w:type="dxa" w:w="5008"/>
            <w:shd w:val="clear" w:color="auto" w:fill="ffffff"/>
          </w:tcPr>
          <w:p>
            <w:r>
              <w:rPr>
                <w:sz w:val="19"/>
              </w:rPr>
              <w:t>Android or iOS</w:t>
            </w:r>
          </w:p>
        </w:tc>
      </w:tr>
      <w:tr>
        <w:tc>
          <w:tcPr>
            <w:tcW w:type="dxa" w:w="5008"/>
            <w:shd w:val="clear" w:color="auto" w:fill="f7f8fa"/>
          </w:tcPr>
          <w:p>
            <w:r>
              <w:rPr>
                <w:sz w:val="19"/>
              </w:rPr>
              <w:t>network_type</w:t>
            </w:r>
          </w:p>
        </w:tc>
        <w:tc>
          <w:tcPr>
            <w:tcW w:type="dxa" w:w="5008"/>
            <w:shd w:val="clear" w:color="auto" w:fill="f7f8fa"/>
          </w:tcPr>
          <w:p>
            <w:r>
              <w:rPr>
                <w:sz w:val="19"/>
              </w:rPr>
              <w:t>Categorical</w:t>
            </w:r>
          </w:p>
        </w:tc>
        <w:tc>
          <w:tcPr>
            <w:tcW w:type="dxa" w:w="5008"/>
            <w:shd w:val="clear" w:color="auto" w:fill="f7f8fa"/>
          </w:tcPr>
          <w:p>
            <w:r>
              <w:rPr>
                <w:sz w:val="19"/>
              </w:rPr>
              <w:t>4G, 5G, or WiFi</w:t>
            </w:r>
          </w:p>
        </w:tc>
      </w:tr>
      <w:tr>
        <w:tc>
          <w:tcPr>
            <w:tcW w:type="dxa" w:w="5008"/>
            <w:shd w:val="clear" w:color="auto" w:fill="ffffff"/>
          </w:tcPr>
          <w:p>
            <w:r>
              <w:rPr>
                <w:sz w:val="19"/>
              </w:rPr>
              <w:t>fraud_flag</w:t>
            </w:r>
          </w:p>
        </w:tc>
        <w:tc>
          <w:tcPr>
            <w:tcW w:type="dxa" w:w="5008"/>
            <w:shd w:val="clear" w:color="auto" w:fill="ffffff"/>
          </w:tcPr>
          <w:p>
            <w:r>
              <w:rPr>
                <w:sz w:val="19"/>
              </w:rPr>
              <w:t>Binary 0/1</w:t>
            </w:r>
          </w:p>
        </w:tc>
        <w:tc>
          <w:tcPr>
            <w:tcW w:type="dxa" w:w="5008"/>
            <w:shd w:val="clear" w:color="auto" w:fill="ffffff"/>
          </w:tcPr>
          <w:p>
            <w:r>
              <w:rPr>
                <w:sz w:val="19"/>
              </w:rPr>
              <w:t>1 = fraud, 0 = normal</w:t>
            </w:r>
          </w:p>
        </w:tc>
      </w:tr>
      <w:tr>
        <w:tc>
          <w:tcPr>
            <w:tcW w:type="dxa" w:w="5008"/>
            <w:shd w:val="clear" w:color="auto" w:fill="f7f8fa"/>
          </w:tcPr>
          <w:p>
            <w:r>
              <w:rPr>
                <w:sz w:val="19"/>
              </w:rPr>
              <w:t>hour_of_day</w:t>
            </w:r>
          </w:p>
        </w:tc>
        <w:tc>
          <w:tcPr>
            <w:tcW w:type="dxa" w:w="5008"/>
            <w:shd w:val="clear" w:color="auto" w:fill="f7f8fa"/>
          </w:tcPr>
          <w:p>
            <w:r>
              <w:rPr>
                <w:sz w:val="19"/>
              </w:rPr>
              <w:t>Integer 0-23</w:t>
            </w:r>
          </w:p>
        </w:tc>
        <w:tc>
          <w:tcPr>
            <w:tcW w:type="dxa" w:w="5008"/>
            <w:shd w:val="clear" w:color="auto" w:fill="f7f8fa"/>
          </w:tcPr>
          <w:p>
            <w:r>
              <w:rPr>
                <w:sz w:val="19"/>
              </w:rPr>
              <w:t>Hour of transaction</w:t>
            </w:r>
          </w:p>
        </w:tc>
      </w:tr>
      <w:tr>
        <w:tc>
          <w:tcPr>
            <w:tcW w:type="dxa" w:w="5008"/>
            <w:shd w:val="clear" w:color="auto" w:fill="ffffff"/>
          </w:tcPr>
          <w:p>
            <w:r>
              <w:rPr>
                <w:sz w:val="19"/>
              </w:rPr>
              <w:t>day_of_week</w:t>
            </w:r>
          </w:p>
        </w:tc>
        <w:tc>
          <w:tcPr>
            <w:tcW w:type="dxa" w:w="5008"/>
            <w:shd w:val="clear" w:color="auto" w:fill="ffffff"/>
          </w:tcPr>
          <w:p>
            <w:r>
              <w:rPr>
                <w:sz w:val="19"/>
              </w:rPr>
              <w:t>Categorical</w:t>
            </w:r>
          </w:p>
        </w:tc>
        <w:tc>
          <w:tcPr>
            <w:tcW w:type="dxa" w:w="5008"/>
            <w:shd w:val="clear" w:color="auto" w:fill="ffffff"/>
          </w:tcPr>
          <w:p>
            <w:r>
              <w:rPr>
                <w:sz w:val="19"/>
              </w:rPr>
              <w:t>Monday – Sunday</w:t>
            </w:r>
          </w:p>
        </w:tc>
      </w:tr>
      <w:tr>
        <w:tc>
          <w:tcPr>
            <w:tcW w:type="dxa" w:w="5008"/>
            <w:shd w:val="clear" w:color="auto" w:fill="f7f8fa"/>
          </w:tcPr>
          <w:p>
            <w:r>
              <w:rPr>
                <w:sz w:val="19"/>
              </w:rPr>
              <w:t>is_weekend</w:t>
            </w:r>
          </w:p>
        </w:tc>
        <w:tc>
          <w:tcPr>
            <w:tcW w:type="dxa" w:w="5008"/>
            <w:shd w:val="clear" w:color="auto" w:fill="f7f8fa"/>
          </w:tcPr>
          <w:p>
            <w:r>
              <w:rPr>
                <w:sz w:val="19"/>
              </w:rPr>
              <w:t>Binary 0/1</w:t>
            </w:r>
          </w:p>
        </w:tc>
        <w:tc>
          <w:tcPr>
            <w:tcW w:type="dxa" w:w="5008"/>
            <w:shd w:val="clear" w:color="auto" w:fill="f7f8fa"/>
          </w:tcPr>
          <w:p>
            <w:r>
              <w:rPr>
                <w:sz w:val="19"/>
              </w:rPr>
              <w:t>1 = weekend, 0 = weekday</w:t>
            </w:r>
          </w:p>
        </w:tc>
      </w:tr>
    </w:tbl>
    <w:p>
      <w:pPr>
        <w:spacing w:after="80"/>
      </w:pPr>
    </w:p>
    <w:p>
      <w:pPr>
        <w:spacing w:before="280" w:after="120"/>
      </w:pPr>
      <w:r>
        <w:rPr>
          <w:b/>
          <w:color w:val="1E3A5F"/>
          <w:sz w:val="30"/>
        </w:rPr>
        <w:t>3  Data Cleaning &amp; Preprocessing</w:t>
      </w:r>
    </w:p>
    <w:p>
      <w:pPr>
        <w:pStyle w:val="ListBullet"/>
        <w:spacing w:after="60"/>
      </w:pPr>
      <w:r>
        <w:rPr>
          <w:color w:val="1F2328"/>
          <w:sz w:val="21"/>
        </w:rPr>
        <w:t>Column Normalisation — names stripped, lowercased, special chars → underscores.</w:t>
      </w:r>
    </w:p>
    <w:p>
      <w:pPr>
        <w:pStyle w:val="ListBullet"/>
        <w:spacing w:after="60"/>
      </w:pPr>
      <w:r>
        <w:rPr>
          <w:color w:val="1F2328"/>
          <w:sz w:val="21"/>
        </w:rPr>
        <w:t>Duplicate Removal — full duplicate rows dropped via pandas drop_duplicates().</w:t>
      </w:r>
    </w:p>
    <w:p>
      <w:pPr>
        <w:pStyle w:val="ListBullet"/>
        <w:spacing w:after="60"/>
      </w:pPr>
      <w:r>
        <w:rPr>
          <w:color w:val="1F2328"/>
          <w:sz w:val="21"/>
        </w:rPr>
        <w:t>Type Coercion — timestamp → datetime64; amount / fraud_flag / hour_of_day / is_weekend → numeric.</w:t>
      </w:r>
    </w:p>
    <w:p>
      <w:pPr>
        <w:pStyle w:val="ListBullet"/>
        <w:spacing w:after="60"/>
      </w:pPr>
      <w:r>
        <w:rPr>
          <w:color w:val="1F2328"/>
          <w:sz w:val="21"/>
        </w:rPr>
        <w:t>Feature Engineering — month_name, month_year, quarter, week derived from timestamp column.</w:t>
      </w:r>
    </w:p>
    <w:p>
      <w:pPr>
        <w:pStyle w:val="ListBullet"/>
        <w:spacing w:after="60"/>
      </w:pPr>
      <w:r>
        <w:rPr>
          <w:color w:val="1F2328"/>
          <w:sz w:val="21"/>
        </w:rPr>
        <w:t>Null Handling — missing amount values imputed with median; others retained for data quality display.</w:t>
      </w:r>
    </w:p>
    <w:p>
      <w:r>
        <w:br w:type="page"/>
      </w:r>
    </w:p>
    <w:p>
      <w:pPr>
        <w:spacing w:before="280" w:after="120"/>
      </w:pPr>
      <w:r>
        <w:rPr>
          <w:b/>
          <w:color w:val="1E3A5F"/>
          <w:sz w:val="30"/>
        </w:rPr>
        <w:t>4  Transaction Trends Over Time</w:t>
      </w:r>
    </w:p>
    <w:p>
      <w:pPr>
        <w:spacing w:after="120" w:before="0"/>
      </w:pPr>
      <w:r>
        <w:rPr>
          <w:b w:val="0"/>
          <w:color w:val="1F2328"/>
          <w:sz w:val="21"/>
        </w:rPr>
        <w:t>Monthly, hourly, and day-of-week breakdowns reveal clear temporal patterns. Evening hours (18–21) show peak activity; Q4 drives highest value due to festive-season spending.</w:t>
      </w:r>
    </w:p>
    <w:p>
      <w:pPr>
        <w:spacing w:before="60" w:after="40"/>
        <w:jc w:val="center"/>
      </w:pPr>
      <w:r>
        <w:drawing>
          <wp:inline xmlns:a="http://schemas.openxmlformats.org/drawingml/2006/main" xmlns:pic="http://schemas.openxmlformats.org/drawingml/2006/picture">
            <wp:extent cx="9000000" cy="3323077"/>
            <wp:docPr id="2" name="Picture 2"/>
            <wp:cNvGraphicFramePr>
              <a:graphicFrameLocks noChangeAspect="1"/>
            </wp:cNvGraphicFramePr>
            <a:graphic>
              <a:graphicData uri="http://schemas.openxmlformats.org/drawingml/2006/picture">
                <pic:pic>
                  <pic:nvPicPr>
                    <pic:cNvPr id="0" name="02_monthly.png"/>
                    <pic:cNvPicPr/>
                  </pic:nvPicPr>
                  <pic:blipFill>
                    <a:blip r:embed="rId10"/>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Trends — Monthly Transaction Volume (bars) and Value in ₹ Cr (line), Jan–Dec 2024</w:t>
      </w:r>
    </w:p>
    <w:p>
      <w:pPr>
        <w:spacing w:before="60" w:after="40"/>
        <w:jc w:val="center"/>
      </w:pPr>
      <w:r>
        <w:drawing>
          <wp:inline xmlns:a="http://schemas.openxmlformats.org/drawingml/2006/main" xmlns:pic="http://schemas.openxmlformats.org/drawingml/2006/picture">
            <wp:extent cx="9000000" cy="3323077"/>
            <wp:docPr id="3" name="Picture 3"/>
            <wp:cNvGraphicFramePr>
              <a:graphicFrameLocks noChangeAspect="1"/>
            </wp:cNvGraphicFramePr>
            <a:graphic>
              <a:graphicData uri="http://schemas.openxmlformats.org/drawingml/2006/picture">
                <pic:pic>
                  <pic:nvPicPr>
                    <pic:cNvPr id="0" name="03_hourly.png"/>
                    <pic:cNvPicPr/>
                  </pic:nvPicPr>
                  <pic:blipFill>
                    <a:blip r:embed="rId11"/>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Trends — Transactions by Hour of Day (0–23); peak at 19:00 hrs</w:t>
      </w:r>
    </w:p>
    <w:p>
      <w:pPr>
        <w:spacing w:before="60" w:after="40"/>
        <w:jc w:val="center"/>
      </w:pPr>
      <w:r>
        <w:drawing>
          <wp:inline xmlns:a="http://schemas.openxmlformats.org/drawingml/2006/main" xmlns:pic="http://schemas.openxmlformats.org/drawingml/2006/picture">
            <wp:extent cx="9000000" cy="3323077"/>
            <wp:docPr id="4" name="Picture 4"/>
            <wp:cNvGraphicFramePr>
              <a:graphicFrameLocks noChangeAspect="1"/>
            </wp:cNvGraphicFramePr>
            <a:graphic>
              <a:graphicData uri="http://schemas.openxmlformats.org/drawingml/2006/picture">
                <pic:pic>
                  <pic:nvPicPr>
                    <pic:cNvPr id="0" name="04_dow.png"/>
                    <pic:cNvPicPr/>
                  </pic:nvPicPr>
                  <pic:blipFill>
                    <a:blip r:embed="rId12"/>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Trends — Transactions by Day of Week; consistent weekday dominance</w:t>
      </w:r>
    </w:p>
    <w:p>
      <w:pPr>
        <w:spacing w:before="60" w:after="40"/>
        <w:jc w:val="center"/>
      </w:pPr>
      <w:r>
        <w:drawing>
          <wp:inline xmlns:a="http://schemas.openxmlformats.org/drawingml/2006/main" xmlns:pic="http://schemas.openxmlformats.org/drawingml/2006/picture">
            <wp:extent cx="7200000" cy="2658462"/>
            <wp:docPr id="5" name="Picture 5"/>
            <wp:cNvGraphicFramePr>
              <a:graphicFrameLocks noChangeAspect="1"/>
            </wp:cNvGraphicFramePr>
            <a:graphic>
              <a:graphicData uri="http://schemas.openxmlformats.org/drawingml/2006/picture">
                <pic:pic>
                  <pic:nvPicPr>
                    <pic:cNvPr id="0" name="25_quarterly.png"/>
                    <pic:cNvPicPr/>
                  </pic:nvPicPr>
                  <pic:blipFill>
                    <a:blip r:embed="rId13"/>
                    <a:stretch>
                      <a:fillRect/>
                    </a:stretch>
                  </pic:blipFill>
                  <pic:spPr>
                    <a:xfrm>
                      <a:off x="0" y="0"/>
                      <a:ext cx="7200000" cy="2658462"/>
                    </a:xfrm>
                    <a:prstGeom prst="rect"/>
                  </pic:spPr>
                </pic:pic>
              </a:graphicData>
            </a:graphic>
          </wp:inline>
        </w:drawing>
      </w:r>
    </w:p>
    <w:p>
      <w:pPr>
        <w:spacing w:after="200" w:before="0"/>
        <w:jc w:val="center"/>
      </w:pPr>
      <w:r>
        <w:rPr>
          <w:i/>
          <w:color w:val="57606A"/>
          <w:sz w:val="17"/>
        </w:rPr>
        <w:t>▲  Tab: Trends — Quarterly Overview (count + value); Q4 festive spike visible</w:t>
      </w:r>
    </w:p>
    <w:p>
      <w:r>
        <w:br w:type="page"/>
      </w:r>
    </w:p>
    <w:p>
      <w:pPr>
        <w:spacing w:before="280" w:after="120"/>
      </w:pPr>
      <w:r>
        <w:rPr>
          <w:b/>
          <w:color w:val="1E3A5F"/>
          <w:sz w:val="30"/>
        </w:rPr>
        <w:t>5  Merchant Categories &amp; Transaction Types</w:t>
      </w:r>
    </w:p>
    <w:p>
      <w:pPr>
        <w:spacing w:after="120" w:before="0"/>
      </w:pPr>
      <w:r>
        <w:rPr>
          <w:b w:val="0"/>
          <w:color w:val="1F2328"/>
          <w:sz w:val="21"/>
        </w:rPr>
        <w:t>Grocery, Fuel, and Entertainment are the top merchant categories. The success rate donut confirms UPI's reliability; amount histogram shows most transactions are below ₹2,000.</w:t>
      </w:r>
    </w:p>
    <w:p>
      <w:pPr>
        <w:spacing w:before="60" w:after="40"/>
        <w:jc w:val="center"/>
      </w:pPr>
      <w:r>
        <w:drawing>
          <wp:inline xmlns:a="http://schemas.openxmlformats.org/drawingml/2006/main" xmlns:pic="http://schemas.openxmlformats.org/drawingml/2006/picture">
            <wp:extent cx="9000000" cy="3323077"/>
            <wp:docPr id="6" name="Picture 6"/>
            <wp:cNvGraphicFramePr>
              <a:graphicFrameLocks noChangeAspect="1"/>
            </wp:cNvGraphicFramePr>
            <a:graphic>
              <a:graphicData uri="http://schemas.openxmlformats.org/drawingml/2006/picture">
                <pic:pic>
                  <pic:nvPicPr>
                    <pic:cNvPr id="0" name="06_category.png"/>
                    <pic:cNvPicPr/>
                  </pic:nvPicPr>
                  <pic:blipFill>
                    <a:blip r:embed="rId14"/>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Categories — Transactions by Merchant Category (horizontal bar)</w:t>
      </w:r>
    </w:p>
    <w:p>
      <w:pPr>
        <w:spacing w:before="60" w:after="40"/>
        <w:jc w:val="center"/>
      </w:pPr>
      <w:r>
        <w:drawing>
          <wp:inline xmlns:a="http://schemas.openxmlformats.org/drawingml/2006/main" xmlns:pic="http://schemas.openxmlformats.org/drawingml/2006/picture">
            <wp:extent cx="6120000" cy="2259692"/>
            <wp:docPr id="7" name="Picture 7"/>
            <wp:cNvGraphicFramePr>
              <a:graphicFrameLocks noChangeAspect="1"/>
            </wp:cNvGraphicFramePr>
            <a:graphic>
              <a:graphicData uri="http://schemas.openxmlformats.org/drawingml/2006/picture">
                <pic:pic>
                  <pic:nvPicPr>
                    <pic:cNvPr id="0" name="07_txn_type.png"/>
                    <pic:cNvPicPr/>
                  </pic:nvPicPr>
                  <pic:blipFill>
                    <a:blip r:embed="rId15"/>
                    <a:stretch>
                      <a:fillRect/>
                    </a:stretch>
                  </pic:blipFill>
                  <pic:spPr>
                    <a:xfrm>
                      <a:off x="0" y="0"/>
                      <a:ext cx="6120000" cy="2259692"/>
                    </a:xfrm>
                    <a:prstGeom prst="rect"/>
                  </pic:spPr>
                </pic:pic>
              </a:graphicData>
            </a:graphic>
          </wp:inline>
        </w:drawing>
      </w:r>
    </w:p>
    <w:p>
      <w:pPr>
        <w:spacing w:after="200" w:before="0"/>
        <w:jc w:val="center"/>
      </w:pPr>
      <w:r>
        <w:rPr>
          <w:i/>
          <w:color w:val="57606A"/>
          <w:sz w:val="17"/>
        </w:rPr>
        <w:t>▲  Tab: Categories — P2P vs P2M Count Split (donut)</w:t>
      </w:r>
    </w:p>
    <w:p>
      <w:pPr>
        <w:spacing w:before="60" w:after="40"/>
        <w:jc w:val="center"/>
      </w:pPr>
      <w:r>
        <w:drawing>
          <wp:inline xmlns:a="http://schemas.openxmlformats.org/drawingml/2006/main" xmlns:pic="http://schemas.openxmlformats.org/drawingml/2006/picture">
            <wp:extent cx="9000000" cy="3323077"/>
            <wp:docPr id="8" name="Picture 8"/>
            <wp:cNvGraphicFramePr>
              <a:graphicFrameLocks noChangeAspect="1"/>
            </wp:cNvGraphicFramePr>
            <a:graphic>
              <a:graphicData uri="http://schemas.openxmlformats.org/drawingml/2006/picture">
                <pic:pic>
                  <pic:nvPicPr>
                    <pic:cNvPr id="0" name="08_histogram.png"/>
                    <pic:cNvPicPr/>
                  </pic:nvPicPr>
                  <pic:blipFill>
                    <a:blip r:embed="rId16"/>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Categories — Distribution of Transaction Amounts (histogram)</w:t>
      </w:r>
    </w:p>
    <w:p>
      <w:pPr>
        <w:spacing w:before="60" w:after="40"/>
        <w:jc w:val="center"/>
      </w:pPr>
      <w:r>
        <w:drawing>
          <wp:inline xmlns:a="http://schemas.openxmlformats.org/drawingml/2006/main" xmlns:pic="http://schemas.openxmlformats.org/drawingml/2006/picture">
            <wp:extent cx="6120000" cy="2259692"/>
            <wp:docPr id="9" name="Picture 9"/>
            <wp:cNvGraphicFramePr>
              <a:graphicFrameLocks noChangeAspect="1"/>
            </wp:cNvGraphicFramePr>
            <a:graphic>
              <a:graphicData uri="http://schemas.openxmlformats.org/drawingml/2006/picture">
                <pic:pic>
                  <pic:nvPicPr>
                    <pic:cNvPr id="0" name="09_status.png"/>
                    <pic:cNvPicPr/>
                  </pic:nvPicPr>
                  <pic:blipFill>
                    <a:blip r:embed="rId17"/>
                    <a:stretch>
                      <a:fillRect/>
                    </a:stretch>
                  </pic:blipFill>
                  <pic:spPr>
                    <a:xfrm>
                      <a:off x="0" y="0"/>
                      <a:ext cx="6120000" cy="2259692"/>
                    </a:xfrm>
                    <a:prstGeom prst="rect"/>
                  </pic:spPr>
                </pic:pic>
              </a:graphicData>
            </a:graphic>
          </wp:inline>
        </w:drawing>
      </w:r>
    </w:p>
    <w:p>
      <w:pPr>
        <w:spacing w:after="200" w:before="0"/>
        <w:jc w:val="center"/>
      </w:pPr>
      <w:r>
        <w:rPr>
          <w:i/>
          <w:color w:val="57606A"/>
          <w:sz w:val="17"/>
        </w:rPr>
        <w:t>▲  Tab: Categories — Transaction Status: SUCCESS / FAILED / PENDING (donut)</w:t>
      </w:r>
    </w:p>
    <w:p>
      <w:pPr>
        <w:spacing w:before="60" w:after="40"/>
        <w:jc w:val="center"/>
      </w:pPr>
      <w:r>
        <w:drawing>
          <wp:inline xmlns:a="http://schemas.openxmlformats.org/drawingml/2006/main" xmlns:pic="http://schemas.openxmlformats.org/drawingml/2006/picture">
            <wp:extent cx="6120000" cy="2259692"/>
            <wp:docPr id="10" name="Picture 10"/>
            <wp:cNvGraphicFramePr>
              <a:graphicFrameLocks noChangeAspect="1"/>
            </wp:cNvGraphicFramePr>
            <a:graphic>
              <a:graphicData uri="http://schemas.openxmlformats.org/drawingml/2006/picture">
                <pic:pic>
                  <pic:nvPicPr>
                    <pic:cNvPr id="0" name="05_weekend.png"/>
                    <pic:cNvPicPr/>
                  </pic:nvPicPr>
                  <pic:blipFill>
                    <a:blip r:embed="rId18"/>
                    <a:stretch>
                      <a:fillRect/>
                    </a:stretch>
                  </pic:blipFill>
                  <pic:spPr>
                    <a:xfrm>
                      <a:off x="0" y="0"/>
                      <a:ext cx="6120000" cy="2259692"/>
                    </a:xfrm>
                    <a:prstGeom prst="rect"/>
                  </pic:spPr>
                </pic:pic>
              </a:graphicData>
            </a:graphic>
          </wp:inline>
        </w:drawing>
      </w:r>
    </w:p>
    <w:p>
      <w:pPr>
        <w:spacing w:after="200" w:before="0"/>
        <w:jc w:val="center"/>
      </w:pPr>
      <w:r>
        <w:rPr>
          <w:i/>
          <w:color w:val="57606A"/>
          <w:sz w:val="17"/>
        </w:rPr>
        <w:t>▲  Tab: Trends — Weekend vs Weekday Transaction Split</w:t>
      </w:r>
    </w:p>
    <w:p>
      <w:r>
        <w:br w:type="page"/>
      </w:r>
    </w:p>
    <w:p>
      <w:pPr>
        <w:spacing w:before="280" w:after="120"/>
      </w:pPr>
      <w:r>
        <w:rPr>
          <w:b/>
          <w:color w:val="1E3A5F"/>
          <w:sz w:val="30"/>
        </w:rPr>
        <w:t>6  Geographic Analysis</w:t>
      </w:r>
    </w:p>
    <w:p>
      <w:pPr>
        <w:spacing w:after="120" w:before="0"/>
      </w:pPr>
      <w:r>
        <w:rPr>
          <w:b w:val="0"/>
          <w:color w:val="1F2328"/>
          <w:sz w:val="21"/>
        </w:rPr>
        <w:t>A handful of states (Delhi, Karnataka, Maharashtra, UP) drive the majority of UPI transactions. Rural and Tier-2 states represent the next growth frontier for UPI adoption.</w:t>
      </w:r>
    </w:p>
    <w:p>
      <w:pPr>
        <w:spacing w:before="60" w:after="40"/>
        <w:jc w:val="center"/>
      </w:pPr>
      <w:r>
        <w:drawing>
          <wp:inline xmlns:a="http://schemas.openxmlformats.org/drawingml/2006/main" xmlns:pic="http://schemas.openxmlformats.org/drawingml/2006/picture">
            <wp:extent cx="9000000" cy="3323077"/>
            <wp:docPr id="11" name="Picture 11"/>
            <wp:cNvGraphicFramePr>
              <a:graphicFrameLocks noChangeAspect="1"/>
            </wp:cNvGraphicFramePr>
            <a:graphic>
              <a:graphicData uri="http://schemas.openxmlformats.org/drawingml/2006/picture">
                <pic:pic>
                  <pic:nvPicPr>
                    <pic:cNvPr id="0" name="10_state.png"/>
                    <pic:cNvPicPr/>
                  </pic:nvPicPr>
                  <pic:blipFill>
                    <a:blip r:embed="rId19"/>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Geography — Transaction Count by Sender State</w:t>
      </w:r>
    </w:p>
    <w:p>
      <w:pPr>
        <w:spacing w:before="60" w:after="40"/>
        <w:jc w:val="center"/>
      </w:pPr>
      <w:r>
        <w:drawing>
          <wp:inline xmlns:a="http://schemas.openxmlformats.org/drawingml/2006/main" xmlns:pic="http://schemas.openxmlformats.org/drawingml/2006/picture">
            <wp:extent cx="9000000" cy="3323077"/>
            <wp:docPr id="12" name="Picture 12"/>
            <wp:cNvGraphicFramePr>
              <a:graphicFrameLocks noChangeAspect="1"/>
            </wp:cNvGraphicFramePr>
            <a:graphic>
              <a:graphicData uri="http://schemas.openxmlformats.org/drawingml/2006/picture">
                <pic:pic>
                  <pic:nvPicPr>
                    <pic:cNvPr id="0" name="11_state_val.png"/>
                    <pic:cNvPicPr/>
                  </pic:nvPicPr>
                  <pic:blipFill>
                    <a:blip r:embed="rId20"/>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Geography — Transaction Value (₹ Cr) by Sender State</w:t>
      </w:r>
    </w:p>
    <w:p>
      <w:pPr>
        <w:spacing w:after="80" w:before="0"/>
      </w:pPr>
      <w:r>
        <w:rPr>
          <w:b/>
          <w:color w:val="1F2328"/>
          <w:sz w:val="21"/>
        </w:rPr>
        <w:t>State-level Summary:</w:t>
      </w:r>
    </w:p>
    <w:tbl>
      <w:tblPr>
        <w:tblStyle w:val="TableGrid"/>
        <w:tblW w:type="auto" w:w="0"/>
        <w:tblLook w:firstColumn="1" w:firstRow="1" w:lastColumn="0" w:lastRow="0" w:noHBand="0" w:noVBand="1" w:val="04A0"/>
      </w:tblPr>
      <w:tblGrid>
        <w:gridCol w:w="3756"/>
        <w:gridCol w:w="3756"/>
        <w:gridCol w:w="3756"/>
        <w:gridCol w:w="3756"/>
      </w:tblGrid>
      <w:tr>
        <w:tc>
          <w:tcPr>
            <w:tcW w:type="dxa" w:w="3756"/>
            <w:shd w:val="clear" w:color="auto" w:fill="1E3A5F"/>
          </w:tcPr>
          <w:p>
            <w:r>
              <w:rPr>
                <w:b/>
                <w:color w:val="FFFFFF"/>
                <w:sz w:val="19"/>
              </w:rPr>
              <w:t>State</w:t>
            </w:r>
          </w:p>
        </w:tc>
        <w:tc>
          <w:tcPr>
            <w:tcW w:type="dxa" w:w="3756"/>
            <w:shd w:val="clear" w:color="auto" w:fill="1E3A5F"/>
          </w:tcPr>
          <w:p>
            <w:r>
              <w:rPr>
                <w:b/>
                <w:color w:val="FFFFFF"/>
                <w:sz w:val="19"/>
              </w:rPr>
              <w:t>Transactions</w:t>
            </w:r>
          </w:p>
        </w:tc>
        <w:tc>
          <w:tcPr>
            <w:tcW w:type="dxa" w:w="3756"/>
            <w:shd w:val="clear" w:color="auto" w:fill="1E3A5F"/>
          </w:tcPr>
          <w:p>
            <w:r>
              <w:rPr>
                <w:b/>
                <w:color w:val="FFFFFF"/>
                <w:sz w:val="19"/>
              </w:rPr>
              <w:t>Total Value (₹ Cr)</w:t>
            </w:r>
          </w:p>
        </w:tc>
        <w:tc>
          <w:tcPr>
            <w:tcW w:type="dxa" w:w="3756"/>
            <w:shd w:val="clear" w:color="auto" w:fill="1E3A5F"/>
          </w:tcPr>
          <w:p>
            <w:r>
              <w:rPr>
                <w:b/>
                <w:color w:val="FFFFFF"/>
                <w:sz w:val="19"/>
              </w:rPr>
              <w:t>Avg Amount (₹)</w:t>
            </w:r>
          </w:p>
        </w:tc>
      </w:tr>
      <w:tr>
        <w:tc>
          <w:tcPr>
            <w:tcW w:type="dxa" w:w="3756"/>
            <w:shd w:val="clear" w:color="auto" w:fill="f7f8fa"/>
          </w:tcPr>
          <w:p>
            <w:r>
              <w:rPr>
                <w:sz w:val="19"/>
              </w:rPr>
              <w:t>Maharashtra</w:t>
            </w:r>
          </w:p>
        </w:tc>
        <w:tc>
          <w:tcPr>
            <w:tcW w:type="dxa" w:w="3756"/>
            <w:shd w:val="clear" w:color="auto" w:fill="f7f8fa"/>
          </w:tcPr>
          <w:p>
            <w:r>
              <w:rPr>
                <w:sz w:val="19"/>
              </w:rPr>
              <w:t>37,427</w:t>
            </w:r>
          </w:p>
        </w:tc>
        <w:tc>
          <w:tcPr>
            <w:tcW w:type="dxa" w:w="3756"/>
            <w:shd w:val="clear" w:color="auto" w:fill="f7f8fa"/>
          </w:tcPr>
          <w:p>
            <w:r>
              <w:rPr>
                <w:sz w:val="19"/>
              </w:rPr>
              <w:t>4.90</w:t>
            </w:r>
          </w:p>
        </w:tc>
        <w:tc>
          <w:tcPr>
            <w:tcW w:type="dxa" w:w="3756"/>
            <w:shd w:val="clear" w:color="auto" w:fill="f7f8fa"/>
          </w:tcPr>
          <w:p>
            <w:r>
              <w:rPr>
                <w:sz w:val="19"/>
              </w:rPr>
              <w:t>₹1,310</w:t>
            </w:r>
          </w:p>
        </w:tc>
      </w:tr>
      <w:tr>
        <w:tc>
          <w:tcPr>
            <w:tcW w:type="dxa" w:w="3756"/>
            <w:shd w:val="clear" w:color="auto" w:fill="ffffff"/>
          </w:tcPr>
          <w:p>
            <w:r>
              <w:rPr>
                <w:sz w:val="19"/>
              </w:rPr>
              <w:t>Uttar Pradesh</w:t>
            </w:r>
          </w:p>
        </w:tc>
        <w:tc>
          <w:tcPr>
            <w:tcW w:type="dxa" w:w="3756"/>
            <w:shd w:val="clear" w:color="auto" w:fill="ffffff"/>
          </w:tcPr>
          <w:p>
            <w:r>
              <w:rPr>
                <w:sz w:val="19"/>
              </w:rPr>
              <w:t>30,125</w:t>
            </w:r>
          </w:p>
        </w:tc>
        <w:tc>
          <w:tcPr>
            <w:tcW w:type="dxa" w:w="3756"/>
            <w:shd w:val="clear" w:color="auto" w:fill="ffffff"/>
          </w:tcPr>
          <w:p>
            <w:r>
              <w:rPr>
                <w:sz w:val="19"/>
              </w:rPr>
              <w:t>4.00</w:t>
            </w:r>
          </w:p>
        </w:tc>
        <w:tc>
          <w:tcPr>
            <w:tcW w:type="dxa" w:w="3756"/>
            <w:shd w:val="clear" w:color="auto" w:fill="ffffff"/>
          </w:tcPr>
          <w:p>
            <w:r>
              <w:rPr>
                <w:sz w:val="19"/>
              </w:rPr>
              <w:t>₹1,329</w:t>
            </w:r>
          </w:p>
        </w:tc>
      </w:tr>
      <w:tr>
        <w:tc>
          <w:tcPr>
            <w:tcW w:type="dxa" w:w="3756"/>
            <w:shd w:val="clear" w:color="auto" w:fill="f7f8fa"/>
          </w:tcPr>
          <w:p>
            <w:r>
              <w:rPr>
                <w:sz w:val="19"/>
              </w:rPr>
              <w:t>Karnataka</w:t>
            </w:r>
          </w:p>
        </w:tc>
        <w:tc>
          <w:tcPr>
            <w:tcW w:type="dxa" w:w="3756"/>
            <w:shd w:val="clear" w:color="auto" w:fill="f7f8fa"/>
          </w:tcPr>
          <w:p>
            <w:r>
              <w:rPr>
                <w:sz w:val="19"/>
              </w:rPr>
              <w:t>29,756</w:t>
            </w:r>
          </w:p>
        </w:tc>
        <w:tc>
          <w:tcPr>
            <w:tcW w:type="dxa" w:w="3756"/>
            <w:shd w:val="clear" w:color="auto" w:fill="f7f8fa"/>
          </w:tcPr>
          <w:p>
            <w:r>
              <w:rPr>
                <w:sz w:val="19"/>
              </w:rPr>
              <w:t>3.85</w:t>
            </w:r>
          </w:p>
        </w:tc>
        <w:tc>
          <w:tcPr>
            <w:tcW w:type="dxa" w:w="3756"/>
            <w:shd w:val="clear" w:color="auto" w:fill="f7f8fa"/>
          </w:tcPr>
          <w:p>
            <w:r>
              <w:rPr>
                <w:sz w:val="19"/>
              </w:rPr>
              <w:t>₹1,292</w:t>
            </w:r>
          </w:p>
        </w:tc>
      </w:tr>
      <w:tr>
        <w:tc>
          <w:tcPr>
            <w:tcW w:type="dxa" w:w="3756"/>
            <w:shd w:val="clear" w:color="auto" w:fill="ffffff"/>
          </w:tcPr>
          <w:p>
            <w:r>
              <w:rPr>
                <w:sz w:val="19"/>
              </w:rPr>
              <w:t>Tamil Nadu</w:t>
            </w:r>
          </w:p>
        </w:tc>
        <w:tc>
          <w:tcPr>
            <w:tcW w:type="dxa" w:w="3756"/>
            <w:shd w:val="clear" w:color="auto" w:fill="ffffff"/>
          </w:tcPr>
          <w:p>
            <w:r>
              <w:rPr>
                <w:sz w:val="19"/>
              </w:rPr>
              <w:t>25,367</w:t>
            </w:r>
          </w:p>
        </w:tc>
        <w:tc>
          <w:tcPr>
            <w:tcW w:type="dxa" w:w="3756"/>
            <w:shd w:val="clear" w:color="auto" w:fill="ffffff"/>
          </w:tcPr>
          <w:p>
            <w:r>
              <w:rPr>
                <w:sz w:val="19"/>
              </w:rPr>
              <w:t>3.33</w:t>
            </w:r>
          </w:p>
        </w:tc>
        <w:tc>
          <w:tcPr>
            <w:tcW w:type="dxa" w:w="3756"/>
            <w:shd w:val="clear" w:color="auto" w:fill="ffffff"/>
          </w:tcPr>
          <w:p>
            <w:r>
              <w:rPr>
                <w:sz w:val="19"/>
              </w:rPr>
              <w:t>₹1,314</w:t>
            </w:r>
          </w:p>
        </w:tc>
      </w:tr>
      <w:tr>
        <w:tc>
          <w:tcPr>
            <w:tcW w:type="dxa" w:w="3756"/>
            <w:shd w:val="clear" w:color="auto" w:fill="f7f8fa"/>
          </w:tcPr>
          <w:p>
            <w:r>
              <w:rPr>
                <w:sz w:val="19"/>
              </w:rPr>
              <w:t>Delhi</w:t>
            </w:r>
          </w:p>
        </w:tc>
        <w:tc>
          <w:tcPr>
            <w:tcW w:type="dxa" w:w="3756"/>
            <w:shd w:val="clear" w:color="auto" w:fill="f7f8fa"/>
          </w:tcPr>
          <w:p>
            <w:r>
              <w:rPr>
                <w:sz w:val="19"/>
              </w:rPr>
              <w:t>24,870</w:t>
            </w:r>
          </w:p>
        </w:tc>
        <w:tc>
          <w:tcPr>
            <w:tcW w:type="dxa" w:w="3756"/>
            <w:shd w:val="clear" w:color="auto" w:fill="f7f8fa"/>
          </w:tcPr>
          <w:p>
            <w:r>
              <w:rPr>
                <w:sz w:val="19"/>
              </w:rPr>
              <w:t>3.27</w:t>
            </w:r>
          </w:p>
        </w:tc>
        <w:tc>
          <w:tcPr>
            <w:tcW w:type="dxa" w:w="3756"/>
            <w:shd w:val="clear" w:color="auto" w:fill="f7f8fa"/>
          </w:tcPr>
          <w:p>
            <w:r>
              <w:rPr>
                <w:sz w:val="19"/>
              </w:rPr>
              <w:t>₹1,314</w:t>
            </w:r>
          </w:p>
        </w:tc>
      </w:tr>
      <w:tr>
        <w:tc>
          <w:tcPr>
            <w:tcW w:type="dxa" w:w="3756"/>
            <w:shd w:val="clear" w:color="auto" w:fill="ffffff"/>
          </w:tcPr>
          <w:p>
            <w:r>
              <w:rPr>
                <w:sz w:val="19"/>
              </w:rPr>
              <w:t>Telangana</w:t>
            </w:r>
          </w:p>
        </w:tc>
        <w:tc>
          <w:tcPr>
            <w:tcW w:type="dxa" w:w="3756"/>
            <w:shd w:val="clear" w:color="auto" w:fill="ffffff"/>
          </w:tcPr>
          <w:p>
            <w:r>
              <w:rPr>
                <w:sz w:val="19"/>
              </w:rPr>
              <w:t>22,435</w:t>
            </w:r>
          </w:p>
        </w:tc>
        <w:tc>
          <w:tcPr>
            <w:tcW w:type="dxa" w:w="3756"/>
            <w:shd w:val="clear" w:color="auto" w:fill="ffffff"/>
          </w:tcPr>
          <w:p>
            <w:r>
              <w:rPr>
                <w:sz w:val="19"/>
              </w:rPr>
              <w:t>2.98</w:t>
            </w:r>
          </w:p>
        </w:tc>
        <w:tc>
          <w:tcPr>
            <w:tcW w:type="dxa" w:w="3756"/>
            <w:shd w:val="clear" w:color="auto" w:fill="ffffff"/>
          </w:tcPr>
          <w:p>
            <w:r>
              <w:rPr>
                <w:sz w:val="19"/>
              </w:rPr>
              <w:t>₹1,326</w:t>
            </w:r>
          </w:p>
        </w:tc>
      </w:tr>
      <w:tr>
        <w:tc>
          <w:tcPr>
            <w:tcW w:type="dxa" w:w="3756"/>
            <w:shd w:val="clear" w:color="auto" w:fill="f7f8fa"/>
          </w:tcPr>
          <w:p>
            <w:r>
              <w:rPr>
                <w:sz w:val="19"/>
              </w:rPr>
              <w:t>Gujarat</w:t>
            </w:r>
          </w:p>
        </w:tc>
        <w:tc>
          <w:tcPr>
            <w:tcW w:type="dxa" w:w="3756"/>
            <w:shd w:val="clear" w:color="auto" w:fill="f7f8fa"/>
          </w:tcPr>
          <w:p>
            <w:r>
              <w:rPr>
                <w:sz w:val="19"/>
              </w:rPr>
              <w:t>20,061</w:t>
            </w:r>
          </w:p>
        </w:tc>
        <w:tc>
          <w:tcPr>
            <w:tcW w:type="dxa" w:w="3756"/>
            <w:shd w:val="clear" w:color="auto" w:fill="f7f8fa"/>
          </w:tcPr>
          <w:p>
            <w:r>
              <w:rPr>
                <w:sz w:val="19"/>
              </w:rPr>
              <w:t>2.60</w:t>
            </w:r>
          </w:p>
        </w:tc>
        <w:tc>
          <w:tcPr>
            <w:tcW w:type="dxa" w:w="3756"/>
            <w:shd w:val="clear" w:color="auto" w:fill="f7f8fa"/>
          </w:tcPr>
          <w:p>
            <w:r>
              <w:rPr>
                <w:sz w:val="19"/>
              </w:rPr>
              <w:t>₹1,295</w:t>
            </w:r>
          </w:p>
        </w:tc>
      </w:tr>
      <w:tr>
        <w:tc>
          <w:tcPr>
            <w:tcW w:type="dxa" w:w="3756"/>
            <w:shd w:val="clear" w:color="auto" w:fill="ffffff"/>
          </w:tcPr>
          <w:p>
            <w:r>
              <w:rPr>
                <w:sz w:val="19"/>
              </w:rPr>
              <w:t>Andhra Pradesh</w:t>
            </w:r>
          </w:p>
        </w:tc>
        <w:tc>
          <w:tcPr>
            <w:tcW w:type="dxa" w:w="3756"/>
            <w:shd w:val="clear" w:color="auto" w:fill="ffffff"/>
          </w:tcPr>
          <w:p>
            <w:r>
              <w:rPr>
                <w:sz w:val="19"/>
              </w:rPr>
              <w:t>20,006</w:t>
            </w:r>
          </w:p>
        </w:tc>
        <w:tc>
          <w:tcPr>
            <w:tcW w:type="dxa" w:w="3756"/>
            <w:shd w:val="clear" w:color="auto" w:fill="ffffff"/>
          </w:tcPr>
          <w:p>
            <w:r>
              <w:rPr>
                <w:sz w:val="19"/>
              </w:rPr>
              <w:t>2.60</w:t>
            </w:r>
          </w:p>
        </w:tc>
        <w:tc>
          <w:tcPr>
            <w:tcW w:type="dxa" w:w="3756"/>
            <w:shd w:val="clear" w:color="auto" w:fill="ffffff"/>
          </w:tcPr>
          <w:p>
            <w:r>
              <w:rPr>
                <w:sz w:val="19"/>
              </w:rPr>
              <w:t>₹1,297</w:t>
            </w:r>
          </w:p>
        </w:tc>
      </w:tr>
      <w:tr>
        <w:tc>
          <w:tcPr>
            <w:tcW w:type="dxa" w:w="3756"/>
            <w:shd w:val="clear" w:color="auto" w:fill="f7f8fa"/>
          </w:tcPr>
          <w:p>
            <w:r>
              <w:rPr>
                <w:sz w:val="19"/>
              </w:rPr>
              <w:t>Rajasthan</w:t>
            </w:r>
          </w:p>
        </w:tc>
        <w:tc>
          <w:tcPr>
            <w:tcW w:type="dxa" w:w="3756"/>
            <w:shd w:val="clear" w:color="auto" w:fill="f7f8fa"/>
          </w:tcPr>
          <w:p>
            <w:r>
              <w:rPr>
                <w:sz w:val="19"/>
              </w:rPr>
              <w:t>19,981</w:t>
            </w:r>
          </w:p>
        </w:tc>
        <w:tc>
          <w:tcPr>
            <w:tcW w:type="dxa" w:w="3756"/>
            <w:shd w:val="clear" w:color="auto" w:fill="f7f8fa"/>
          </w:tcPr>
          <w:p>
            <w:r>
              <w:rPr>
                <w:sz w:val="19"/>
              </w:rPr>
              <w:t>2.67</w:t>
            </w:r>
          </w:p>
        </w:tc>
        <w:tc>
          <w:tcPr>
            <w:tcW w:type="dxa" w:w="3756"/>
            <w:shd w:val="clear" w:color="auto" w:fill="f7f8fa"/>
          </w:tcPr>
          <w:p>
            <w:r>
              <w:rPr>
                <w:sz w:val="19"/>
              </w:rPr>
              <w:t>₹1,338</w:t>
            </w:r>
          </w:p>
        </w:tc>
      </w:tr>
      <w:tr>
        <w:tc>
          <w:tcPr>
            <w:tcW w:type="dxa" w:w="3756"/>
            <w:shd w:val="clear" w:color="auto" w:fill="ffffff"/>
          </w:tcPr>
          <w:p>
            <w:r>
              <w:rPr>
                <w:sz w:val="19"/>
              </w:rPr>
              <w:t>West Bengal</w:t>
            </w:r>
          </w:p>
        </w:tc>
        <w:tc>
          <w:tcPr>
            <w:tcW w:type="dxa" w:w="3756"/>
            <w:shd w:val="clear" w:color="auto" w:fill="ffffff"/>
          </w:tcPr>
          <w:p>
            <w:r>
              <w:rPr>
                <w:sz w:val="19"/>
              </w:rPr>
              <w:t>19,972</w:t>
            </w:r>
          </w:p>
        </w:tc>
        <w:tc>
          <w:tcPr>
            <w:tcW w:type="dxa" w:w="3756"/>
            <w:shd w:val="clear" w:color="auto" w:fill="ffffff"/>
          </w:tcPr>
          <w:p>
            <w:r>
              <w:rPr>
                <w:sz w:val="19"/>
              </w:rPr>
              <w:t>2.60</w:t>
            </w:r>
          </w:p>
        </w:tc>
        <w:tc>
          <w:tcPr>
            <w:tcW w:type="dxa" w:w="3756"/>
            <w:shd w:val="clear" w:color="auto" w:fill="ffffff"/>
          </w:tcPr>
          <w:p>
            <w:r>
              <w:rPr>
                <w:sz w:val="19"/>
              </w:rPr>
              <w:t>₹1,299</w:t>
            </w:r>
          </w:p>
        </w:tc>
      </w:tr>
    </w:tbl>
    <w:p>
      <w:pPr>
        <w:spacing w:after="80"/>
      </w:pPr>
    </w:p>
    <w:p>
      <w:r>
        <w:br w:type="page"/>
      </w:r>
    </w:p>
    <w:p>
      <w:pPr>
        <w:spacing w:before="280" w:after="120"/>
      </w:pPr>
      <w:r>
        <w:rPr>
          <w:b/>
          <w:color w:val="1E3A5F"/>
          <w:sz w:val="30"/>
        </w:rPr>
        <w:t>7  Bank-wise Analysis</w:t>
      </w:r>
    </w:p>
    <w:p>
      <w:pPr>
        <w:spacing w:after="120" w:before="0"/>
      </w:pPr>
      <w:r>
        <w:rPr>
          <w:b w:val="0"/>
          <w:color w:val="1F2328"/>
          <w:sz w:val="21"/>
        </w:rPr>
        <w:t>Sender bank analysis reveals market share on UPI. The cross-bank heatmap shows which bank-to-bank combinations carry the highest average transaction amounts.</w:t>
      </w:r>
    </w:p>
    <w:p>
      <w:pPr>
        <w:spacing w:before="60" w:after="40"/>
        <w:jc w:val="center"/>
      </w:pPr>
      <w:r>
        <w:drawing>
          <wp:inline xmlns:a="http://schemas.openxmlformats.org/drawingml/2006/main" xmlns:pic="http://schemas.openxmlformats.org/drawingml/2006/picture">
            <wp:extent cx="9000000" cy="3323077"/>
            <wp:docPr id="13" name="Picture 13"/>
            <wp:cNvGraphicFramePr>
              <a:graphicFrameLocks noChangeAspect="1"/>
            </wp:cNvGraphicFramePr>
            <a:graphic>
              <a:graphicData uri="http://schemas.openxmlformats.org/drawingml/2006/picture">
                <pic:pic>
                  <pic:nvPicPr>
                    <pic:cNvPr id="0" name="12_bank.png"/>
                    <pic:cNvPicPr/>
                  </pic:nvPicPr>
                  <pic:blipFill>
                    <a:blip r:embed="rId21"/>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Banks — Sender Bank Transaction Count Ranking</w:t>
      </w:r>
    </w:p>
    <w:p>
      <w:pPr>
        <w:spacing w:before="60" w:after="40"/>
        <w:jc w:val="center"/>
      </w:pPr>
      <w:r>
        <w:drawing>
          <wp:inline xmlns:a="http://schemas.openxmlformats.org/drawingml/2006/main" xmlns:pic="http://schemas.openxmlformats.org/drawingml/2006/picture">
            <wp:extent cx="6120000" cy="2259692"/>
            <wp:docPr id="14" name="Picture 14"/>
            <wp:cNvGraphicFramePr>
              <a:graphicFrameLocks noChangeAspect="1"/>
            </wp:cNvGraphicFramePr>
            <a:graphic>
              <a:graphicData uri="http://schemas.openxmlformats.org/drawingml/2006/picture">
                <pic:pic>
                  <pic:nvPicPr>
                    <pic:cNvPr id="0" name="13_bank_pie.png"/>
                    <pic:cNvPicPr/>
                  </pic:nvPicPr>
                  <pic:blipFill>
                    <a:blip r:embed="rId22"/>
                    <a:stretch>
                      <a:fillRect/>
                    </a:stretch>
                  </pic:blipFill>
                  <pic:spPr>
                    <a:xfrm>
                      <a:off x="0" y="0"/>
                      <a:ext cx="6120000" cy="2259692"/>
                    </a:xfrm>
                    <a:prstGeom prst="rect"/>
                  </pic:spPr>
                </pic:pic>
              </a:graphicData>
            </a:graphic>
          </wp:inline>
        </w:drawing>
      </w:r>
    </w:p>
    <w:p>
      <w:pPr>
        <w:spacing w:after="200" w:before="0"/>
        <w:jc w:val="center"/>
      </w:pPr>
      <w:r>
        <w:rPr>
          <w:i/>
          <w:color w:val="57606A"/>
          <w:sz w:val="17"/>
        </w:rPr>
        <w:t>▲  Tab: Banks — Transaction Value Share by Sender Bank (donut)</w:t>
      </w:r>
    </w:p>
    <w:p>
      <w:pPr>
        <w:spacing w:before="60" w:after="40"/>
        <w:jc w:val="center"/>
      </w:pPr>
      <w:r>
        <w:drawing>
          <wp:inline xmlns:a="http://schemas.openxmlformats.org/drawingml/2006/main" xmlns:pic="http://schemas.openxmlformats.org/drawingml/2006/picture">
            <wp:extent cx="9000000" cy="3323077"/>
            <wp:docPr id="15" name="Picture 15"/>
            <wp:cNvGraphicFramePr>
              <a:graphicFrameLocks noChangeAspect="1"/>
            </wp:cNvGraphicFramePr>
            <a:graphic>
              <a:graphicData uri="http://schemas.openxmlformats.org/drawingml/2006/picture">
                <pic:pic>
                  <pic:nvPicPr>
                    <pic:cNvPr id="0" name="14_bank_heat.png"/>
                    <pic:cNvPicPr/>
                  </pic:nvPicPr>
                  <pic:blipFill>
                    <a:blip r:embed="rId23"/>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Banks — Avg Amount Heatmap: Sender Bank × Receiver Bank</w:t>
      </w:r>
    </w:p>
    <w:p>
      <w:r>
        <w:br w:type="page"/>
      </w:r>
    </w:p>
    <w:p>
      <w:pPr>
        <w:spacing w:before="280" w:after="120"/>
      </w:pPr>
      <w:r>
        <w:rPr>
          <w:b/>
          <w:color w:val="1E3A5F"/>
          <w:sz w:val="30"/>
        </w:rPr>
        <w:t>8  Device &amp; Network Analysis</w:t>
      </w:r>
    </w:p>
    <w:p>
      <w:pPr>
        <w:spacing w:after="120" w:before="0"/>
      </w:pPr>
      <w:r>
        <w:rPr>
          <w:b w:val="0"/>
          <w:color w:val="1F2328"/>
          <w:sz w:val="21"/>
        </w:rPr>
        <w:t>Android dominates UPI transactions; 4G is the primary connectivity layer. The grouped bar reveals how device–network combinations distribute across transaction volume.</w:t>
      </w:r>
    </w:p>
    <w:p>
      <w:pPr>
        <w:spacing w:before="60" w:after="40"/>
        <w:jc w:val="center"/>
      </w:pPr>
      <w:r>
        <w:drawing>
          <wp:inline xmlns:a="http://schemas.openxmlformats.org/drawingml/2006/main" xmlns:pic="http://schemas.openxmlformats.org/drawingml/2006/picture">
            <wp:extent cx="6120000" cy="2259692"/>
            <wp:docPr id="16" name="Picture 16"/>
            <wp:cNvGraphicFramePr>
              <a:graphicFrameLocks noChangeAspect="1"/>
            </wp:cNvGraphicFramePr>
            <a:graphic>
              <a:graphicData uri="http://schemas.openxmlformats.org/drawingml/2006/picture">
                <pic:pic>
                  <pic:nvPicPr>
                    <pic:cNvPr id="0" name="15_device.png"/>
                    <pic:cNvPicPr/>
                  </pic:nvPicPr>
                  <pic:blipFill>
                    <a:blip r:embed="rId24"/>
                    <a:stretch>
                      <a:fillRect/>
                    </a:stretch>
                  </pic:blipFill>
                  <pic:spPr>
                    <a:xfrm>
                      <a:off x="0" y="0"/>
                      <a:ext cx="6120000" cy="2259692"/>
                    </a:xfrm>
                    <a:prstGeom prst="rect"/>
                  </pic:spPr>
                </pic:pic>
              </a:graphicData>
            </a:graphic>
          </wp:inline>
        </w:drawing>
      </w:r>
    </w:p>
    <w:p>
      <w:pPr>
        <w:spacing w:after="200" w:before="0"/>
        <w:jc w:val="center"/>
      </w:pPr>
      <w:r>
        <w:rPr>
          <w:i/>
          <w:color w:val="57606A"/>
          <w:sz w:val="17"/>
        </w:rPr>
        <w:t>▲  Tab: Device &amp; Network — Transactions by Device Type</w:t>
      </w:r>
    </w:p>
    <w:p>
      <w:pPr>
        <w:spacing w:before="60" w:after="40"/>
        <w:jc w:val="center"/>
      </w:pPr>
      <w:r>
        <w:drawing>
          <wp:inline xmlns:a="http://schemas.openxmlformats.org/drawingml/2006/main" xmlns:pic="http://schemas.openxmlformats.org/drawingml/2006/picture">
            <wp:extent cx="6120000" cy="2259692"/>
            <wp:docPr id="17" name="Picture 17"/>
            <wp:cNvGraphicFramePr>
              <a:graphicFrameLocks noChangeAspect="1"/>
            </wp:cNvGraphicFramePr>
            <a:graphic>
              <a:graphicData uri="http://schemas.openxmlformats.org/drawingml/2006/picture">
                <pic:pic>
                  <pic:nvPicPr>
                    <pic:cNvPr id="0" name="16_network.png"/>
                    <pic:cNvPicPr/>
                  </pic:nvPicPr>
                  <pic:blipFill>
                    <a:blip r:embed="rId25"/>
                    <a:stretch>
                      <a:fillRect/>
                    </a:stretch>
                  </pic:blipFill>
                  <pic:spPr>
                    <a:xfrm>
                      <a:off x="0" y="0"/>
                      <a:ext cx="6120000" cy="2259692"/>
                    </a:xfrm>
                    <a:prstGeom prst="rect"/>
                  </pic:spPr>
                </pic:pic>
              </a:graphicData>
            </a:graphic>
          </wp:inline>
        </w:drawing>
      </w:r>
    </w:p>
    <w:p>
      <w:pPr>
        <w:spacing w:after="200" w:before="0"/>
        <w:jc w:val="center"/>
      </w:pPr>
      <w:r>
        <w:rPr>
          <w:i/>
          <w:color w:val="57606A"/>
          <w:sz w:val="17"/>
        </w:rPr>
        <w:t>▲  Tab: Device &amp; Network — Transactions by Network Type</w:t>
      </w:r>
    </w:p>
    <w:p>
      <w:pPr>
        <w:spacing w:before="60" w:after="40"/>
        <w:jc w:val="center"/>
      </w:pPr>
      <w:r>
        <w:drawing>
          <wp:inline xmlns:a="http://schemas.openxmlformats.org/drawingml/2006/main" xmlns:pic="http://schemas.openxmlformats.org/drawingml/2006/picture">
            <wp:extent cx="9000000" cy="3323077"/>
            <wp:docPr id="18" name="Picture 18"/>
            <wp:cNvGraphicFramePr>
              <a:graphicFrameLocks noChangeAspect="1"/>
            </wp:cNvGraphicFramePr>
            <a:graphic>
              <a:graphicData uri="http://schemas.openxmlformats.org/drawingml/2006/picture">
                <pic:pic>
                  <pic:nvPicPr>
                    <pic:cNvPr id="0" name="17_device_network.png"/>
                    <pic:cNvPicPr/>
                  </pic:nvPicPr>
                  <pic:blipFill>
                    <a:blip r:embed="rId26"/>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Device &amp; Network — Device × Network Grouped Breakdown</w:t>
      </w:r>
    </w:p>
    <w:p>
      <w:r>
        <w:br w:type="page"/>
      </w:r>
    </w:p>
    <w:p>
      <w:pPr>
        <w:spacing w:before="280" w:after="120"/>
      </w:pPr>
      <w:r>
        <w:rPr>
          <w:b/>
          <w:color w:val="1E3A5F"/>
          <w:sz w:val="30"/>
        </w:rPr>
        <w:t>9  Demographic Analysis</w:t>
      </w:r>
    </w:p>
    <w:p>
      <w:pPr>
        <w:spacing w:after="120" w:before="0"/>
      </w:pPr>
      <w:r>
        <w:rPr>
          <w:b w:val="0"/>
          <w:color w:val="1F2328"/>
          <w:sz w:val="21"/>
        </w:rPr>
        <w:t>The 26–35 age group is the dominant sender segment. Older senders (46+) tend to transact larger amounts. The age-group heatmap reveals intra-cohort transaction flows.</w:t>
      </w:r>
    </w:p>
    <w:p>
      <w:pPr>
        <w:spacing w:before="60" w:after="40"/>
        <w:jc w:val="center"/>
      </w:pPr>
      <w:r>
        <w:drawing>
          <wp:inline xmlns:a="http://schemas.openxmlformats.org/drawingml/2006/main" xmlns:pic="http://schemas.openxmlformats.org/drawingml/2006/picture">
            <wp:extent cx="9000000" cy="3323077"/>
            <wp:docPr id="19" name="Picture 19"/>
            <wp:cNvGraphicFramePr>
              <a:graphicFrameLocks noChangeAspect="1"/>
            </wp:cNvGraphicFramePr>
            <a:graphic>
              <a:graphicData uri="http://schemas.openxmlformats.org/drawingml/2006/picture">
                <pic:pic>
                  <pic:nvPicPr>
                    <pic:cNvPr id="0" name="18_age.png"/>
                    <pic:cNvPicPr/>
                  </pic:nvPicPr>
                  <pic:blipFill>
                    <a:blip r:embed="rId27"/>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Demographics — Transactions by Sender Age Group</w:t>
      </w:r>
    </w:p>
    <w:p>
      <w:pPr>
        <w:spacing w:before="60" w:after="40"/>
        <w:jc w:val="center"/>
      </w:pPr>
      <w:r>
        <w:drawing>
          <wp:inline xmlns:a="http://schemas.openxmlformats.org/drawingml/2006/main" xmlns:pic="http://schemas.openxmlformats.org/drawingml/2006/picture">
            <wp:extent cx="9000000" cy="3323077"/>
            <wp:docPr id="20" name="Picture 20"/>
            <wp:cNvGraphicFramePr>
              <a:graphicFrameLocks noChangeAspect="1"/>
            </wp:cNvGraphicFramePr>
            <a:graphic>
              <a:graphicData uri="http://schemas.openxmlformats.org/drawingml/2006/picture">
                <pic:pic>
                  <pic:nvPicPr>
                    <pic:cNvPr id="0" name="19_age_avg.png"/>
                    <pic:cNvPicPr/>
                  </pic:nvPicPr>
                  <pic:blipFill>
                    <a:blip r:embed="rId28"/>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Demographics — Avg Transaction Amount by Age Group</w:t>
      </w:r>
    </w:p>
    <w:p>
      <w:pPr>
        <w:spacing w:before="60" w:after="40"/>
        <w:jc w:val="center"/>
      </w:pPr>
      <w:r>
        <w:drawing>
          <wp:inline xmlns:a="http://schemas.openxmlformats.org/drawingml/2006/main" xmlns:pic="http://schemas.openxmlformats.org/drawingml/2006/picture">
            <wp:extent cx="9000000" cy="3323077"/>
            <wp:docPr id="21" name="Picture 21"/>
            <wp:cNvGraphicFramePr>
              <a:graphicFrameLocks noChangeAspect="1"/>
            </wp:cNvGraphicFramePr>
            <a:graphic>
              <a:graphicData uri="http://schemas.openxmlformats.org/drawingml/2006/picture">
                <pic:pic>
                  <pic:nvPicPr>
                    <pic:cNvPr id="0" name="20_age_heat.png"/>
                    <pic:cNvPicPr/>
                  </pic:nvPicPr>
                  <pic:blipFill>
                    <a:blip r:embed="rId29"/>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Demographics — Sender Age × Receiver Age Flow Heatmap</w:t>
      </w:r>
    </w:p>
    <w:p>
      <w:r>
        <w:br w:type="page"/>
      </w:r>
    </w:p>
    <w:p>
      <w:pPr>
        <w:spacing w:before="280" w:after="120"/>
      </w:pPr>
      <w:r>
        <w:rPr>
          <w:b/>
          <w:color w:val="1E3A5F"/>
          <w:sz w:val="30"/>
        </w:rPr>
        <w:t>10  Fraud Analysis</w:t>
      </w:r>
    </w:p>
    <w:tbl>
      <w:tblPr>
        <w:tblStyle w:val="TableGrid"/>
        <w:tblW w:type="auto" w:w="0"/>
        <w:tblLook w:firstColumn="1" w:firstRow="1" w:lastColumn="0" w:lastRow="0" w:noHBand="0" w:noVBand="1" w:val="04A0"/>
      </w:tblPr>
      <w:tblGrid>
        <w:gridCol w:w="7512"/>
        <w:gridCol w:w="7512"/>
      </w:tblGrid>
      <w:tr>
        <w:tc>
          <w:tcPr>
            <w:tcW w:type="dxa" w:w="7512"/>
            <w:shd w:val="clear" w:color="auto" w:fill="EFF6FF"/>
          </w:tcPr>
          <w:p>
            <w:r>
              <w:rPr>
                <w:b/>
                <w:sz w:val="20"/>
              </w:rPr>
              <w:t>Total Fraud Transactions</w:t>
            </w:r>
          </w:p>
        </w:tc>
        <w:tc>
          <w:tcPr>
            <w:tcW w:type="dxa" w:w="7512"/>
            <w:shd w:val="clear" w:color="auto" w:fill="ffffff"/>
          </w:tcPr>
          <w:p>
            <w:r>
              <w:rPr>
                <w:sz w:val="20"/>
              </w:rPr>
              <w:t>480</w:t>
            </w:r>
          </w:p>
        </w:tc>
      </w:tr>
      <w:tr>
        <w:tc>
          <w:tcPr>
            <w:tcW w:type="dxa" w:w="7512"/>
            <w:shd w:val="clear" w:color="auto" w:fill="EFF6FF"/>
          </w:tcPr>
          <w:p>
            <w:r>
              <w:rPr>
                <w:b/>
                <w:sz w:val="20"/>
              </w:rPr>
              <w:t>Fraud Rate</w:t>
            </w:r>
          </w:p>
        </w:tc>
        <w:tc>
          <w:tcPr>
            <w:tcW w:type="dxa" w:w="7512"/>
            <w:shd w:val="clear" w:color="auto" w:fill="ffffff"/>
          </w:tcPr>
          <w:p>
            <w:r>
              <w:rPr>
                <w:sz w:val="20"/>
              </w:rPr>
              <w:t>0.192%</w:t>
            </w:r>
          </w:p>
        </w:tc>
      </w:tr>
      <w:tr>
        <w:tc>
          <w:tcPr>
            <w:tcW w:type="dxa" w:w="7512"/>
            <w:shd w:val="clear" w:color="auto" w:fill="EFF6FF"/>
          </w:tcPr>
          <w:p>
            <w:r>
              <w:rPr>
                <w:b/>
                <w:sz w:val="20"/>
              </w:rPr>
              <w:t>Avg Fraud Amount</w:t>
            </w:r>
          </w:p>
        </w:tc>
        <w:tc>
          <w:tcPr>
            <w:tcW w:type="dxa" w:w="7512"/>
            <w:shd w:val="clear" w:color="auto" w:fill="ffffff"/>
          </w:tcPr>
          <w:p>
            <w:r>
              <w:rPr>
                <w:sz w:val="20"/>
              </w:rPr>
              <w:t>₹1,499</w:t>
            </w:r>
          </w:p>
        </w:tc>
      </w:tr>
      <w:tr>
        <w:tc>
          <w:tcPr>
            <w:tcW w:type="dxa" w:w="7512"/>
            <w:shd w:val="clear" w:color="auto" w:fill="EFF6FF"/>
          </w:tcPr>
          <w:p>
            <w:r>
              <w:rPr>
                <w:b/>
                <w:sz w:val="20"/>
              </w:rPr>
              <w:t>Total Fraud Value</w:t>
            </w:r>
          </w:p>
        </w:tc>
        <w:tc>
          <w:tcPr>
            <w:tcW w:type="dxa" w:w="7512"/>
            <w:shd w:val="clear" w:color="auto" w:fill="ffffff"/>
          </w:tcPr>
          <w:p>
            <w:r>
              <w:rPr>
                <w:sz w:val="20"/>
              </w:rPr>
              <w:t>₹0.072 Cr</w:t>
            </w:r>
          </w:p>
        </w:tc>
      </w:tr>
    </w:tbl>
    <w:p>
      <w:pPr>
        <w:spacing w:after="80"/>
      </w:pPr>
    </w:p>
    <w:p>
      <w:pPr>
        <w:spacing w:after="120" w:before="0"/>
      </w:pPr>
      <w:r>
        <w:rPr>
          <w:b w:val="0"/>
          <w:color w:val="1F2328"/>
          <w:sz w:val="21"/>
        </w:rPr>
        <w:t>Only 480 of 250,000 transactions (0.19%) are flagged as fraudulent — demonstrating UPI's robust two-factor authentication and NPCI's real-time fraud detection.</w:t>
      </w:r>
    </w:p>
    <w:p>
      <w:pPr>
        <w:spacing w:before="60" w:after="40"/>
        <w:jc w:val="center"/>
      </w:pPr>
      <w:r>
        <w:drawing>
          <wp:inline xmlns:a="http://schemas.openxmlformats.org/drawingml/2006/main" xmlns:pic="http://schemas.openxmlformats.org/drawingml/2006/picture">
            <wp:extent cx="9000000" cy="3323077"/>
            <wp:docPr id="22" name="Picture 22"/>
            <wp:cNvGraphicFramePr>
              <a:graphicFrameLocks noChangeAspect="1"/>
            </wp:cNvGraphicFramePr>
            <a:graphic>
              <a:graphicData uri="http://schemas.openxmlformats.org/drawingml/2006/picture">
                <pic:pic>
                  <pic:nvPicPr>
                    <pic:cNvPr id="0" name="21_fraud_state.png"/>
                    <pic:cNvPicPr/>
                  </pic:nvPicPr>
                  <pic:blipFill>
                    <a:blip r:embed="rId30"/>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Fraud — Fraud Transactions by Sender State</w:t>
      </w:r>
    </w:p>
    <w:p>
      <w:pPr>
        <w:spacing w:before="60" w:after="40"/>
        <w:jc w:val="center"/>
      </w:pPr>
      <w:r>
        <w:drawing>
          <wp:inline xmlns:a="http://schemas.openxmlformats.org/drawingml/2006/main" xmlns:pic="http://schemas.openxmlformats.org/drawingml/2006/picture">
            <wp:extent cx="9000000" cy="3323077"/>
            <wp:docPr id="23" name="Picture 23"/>
            <wp:cNvGraphicFramePr>
              <a:graphicFrameLocks noChangeAspect="1"/>
            </wp:cNvGraphicFramePr>
            <a:graphic>
              <a:graphicData uri="http://schemas.openxmlformats.org/drawingml/2006/picture">
                <pic:pic>
                  <pic:nvPicPr>
                    <pic:cNvPr id="0" name="22_fraud_bank.png"/>
                    <pic:cNvPicPr/>
                  </pic:nvPicPr>
                  <pic:blipFill>
                    <a:blip r:embed="rId31"/>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Fraud — Fraud Transactions by Sender Bank</w:t>
      </w:r>
    </w:p>
    <w:p>
      <w:pPr>
        <w:spacing w:before="60" w:after="40"/>
        <w:jc w:val="center"/>
      </w:pPr>
      <w:r>
        <w:drawing>
          <wp:inline xmlns:a="http://schemas.openxmlformats.org/drawingml/2006/main" xmlns:pic="http://schemas.openxmlformats.org/drawingml/2006/picture">
            <wp:extent cx="9000000" cy="3323077"/>
            <wp:docPr id="24" name="Picture 24"/>
            <wp:cNvGraphicFramePr>
              <a:graphicFrameLocks noChangeAspect="1"/>
            </wp:cNvGraphicFramePr>
            <a:graphic>
              <a:graphicData uri="http://schemas.openxmlformats.org/drawingml/2006/picture">
                <pic:pic>
                  <pic:nvPicPr>
                    <pic:cNvPr id="0" name="23_fraud_dist.png"/>
                    <pic:cNvPicPr/>
                  </pic:nvPicPr>
                  <pic:blipFill>
                    <a:blip r:embed="rId32"/>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Fraud — Normal vs Fraud Amount Distribution (overlay histogram)</w:t>
      </w:r>
    </w:p>
    <w:p>
      <w:pPr>
        <w:spacing w:before="60" w:after="40"/>
        <w:jc w:val="center"/>
      </w:pPr>
      <w:r>
        <w:drawing>
          <wp:inline xmlns:a="http://schemas.openxmlformats.org/drawingml/2006/main" xmlns:pic="http://schemas.openxmlformats.org/drawingml/2006/picture">
            <wp:extent cx="9000000" cy="3323077"/>
            <wp:docPr id="25" name="Picture 25"/>
            <wp:cNvGraphicFramePr>
              <a:graphicFrameLocks noChangeAspect="1"/>
            </wp:cNvGraphicFramePr>
            <a:graphic>
              <a:graphicData uri="http://schemas.openxmlformats.org/drawingml/2006/picture">
                <pic:pic>
                  <pic:nvPicPr>
                    <pic:cNvPr id="0" name="24_fraud_hour.png"/>
                    <pic:cNvPicPr/>
                  </pic:nvPicPr>
                  <pic:blipFill>
                    <a:blip r:embed="rId33"/>
                    <a:stretch>
                      <a:fillRect/>
                    </a:stretch>
                  </pic:blipFill>
                  <pic:spPr>
                    <a:xfrm>
                      <a:off x="0" y="0"/>
                      <a:ext cx="9000000" cy="3323077"/>
                    </a:xfrm>
                    <a:prstGeom prst="rect"/>
                  </pic:spPr>
                </pic:pic>
              </a:graphicData>
            </a:graphic>
          </wp:inline>
        </w:drawing>
      </w:r>
    </w:p>
    <w:p>
      <w:pPr>
        <w:spacing w:after="200" w:before="0"/>
        <w:jc w:val="center"/>
      </w:pPr>
      <w:r>
        <w:rPr>
          <w:i/>
          <w:color w:val="57606A"/>
          <w:sz w:val="17"/>
        </w:rPr>
        <w:t>▲  Tab: Fraud — Fraud Transactions by Hour of Day</w:t>
      </w:r>
    </w:p>
    <w:p>
      <w:r>
        <w:br w:type="page"/>
      </w:r>
    </w:p>
    <w:p>
      <w:pPr>
        <w:spacing w:before="280" w:after="120"/>
      </w:pPr>
      <w:r>
        <w:rPr>
          <w:b/>
          <w:color w:val="1E3A5F"/>
          <w:sz w:val="30"/>
        </w:rPr>
        <w:t>11  Key Insights</w:t>
      </w:r>
    </w:p>
    <w:p>
      <w:pPr>
        <w:spacing w:after="100"/>
      </w:pPr>
      <w:r>
        <w:rPr>
          <w:b/>
          <w:color w:val="1E3A5F"/>
          <w:sz w:val="21"/>
        </w:rPr>
        <w:t xml:space="preserve">Dominant State: </w:t>
      </w:r>
      <w:r>
        <w:rPr>
          <w:color w:val="1F2328"/>
          <w:sz w:val="21"/>
        </w:rPr>
        <w:t>Maharashtra leads with 15.0% of all transactions.</w:t>
      </w:r>
    </w:p>
    <w:p>
      <w:pPr>
        <w:spacing w:after="100"/>
      </w:pPr>
      <w:r>
        <w:rPr>
          <w:b/>
          <w:color w:val="1E3A5F"/>
          <w:sz w:val="21"/>
        </w:rPr>
        <w:t xml:space="preserve">Peak Hour: </w:t>
      </w:r>
      <w:r>
        <w:rPr>
          <w:color w:val="1F2328"/>
          <w:sz w:val="21"/>
        </w:rPr>
        <w:t>Highest activity at 19:00 hrs — post-work payment behaviour.</w:t>
      </w:r>
    </w:p>
    <w:p>
      <w:pPr>
        <w:spacing w:after="100"/>
      </w:pPr>
      <w:r>
        <w:rPr>
          <w:b/>
          <w:color w:val="1E3A5F"/>
          <w:sz w:val="21"/>
        </w:rPr>
        <w:t xml:space="preserve">P2P vs P2M: </w:t>
      </w:r>
      <w:r>
        <w:rPr>
          <w:color w:val="1F2328"/>
          <w:sz w:val="21"/>
        </w:rPr>
        <w:t>P2P dominates at 45.0% of total transactions.</w:t>
      </w:r>
    </w:p>
    <w:p>
      <w:pPr>
        <w:spacing w:after="100"/>
      </w:pPr>
      <w:r>
        <w:rPr>
          <w:b/>
          <w:color w:val="1E3A5F"/>
          <w:sz w:val="21"/>
        </w:rPr>
        <w:t xml:space="preserve">Fraud Rate: </w:t>
      </w:r>
      <w:r>
        <w:rPr>
          <w:color w:val="1F2328"/>
          <w:sz w:val="21"/>
        </w:rPr>
        <w:t>0.19% — extremely low, confirming UPI's strong security controls.</w:t>
      </w:r>
    </w:p>
    <w:p>
      <w:pPr>
        <w:spacing w:after="100"/>
      </w:pPr>
      <w:r>
        <w:rPr>
          <w:b/>
          <w:color w:val="1E3A5F"/>
          <w:sz w:val="21"/>
        </w:rPr>
        <w:t xml:space="preserve">Success Rate: </w:t>
      </w:r>
      <w:r>
        <w:rPr>
          <w:color w:val="1F2328"/>
          <w:sz w:val="21"/>
        </w:rPr>
        <w:t>95.0% — UPI is a highly reliable payment infrastructure.</w:t>
      </w:r>
    </w:p>
    <w:p>
      <w:pPr>
        <w:spacing w:after="100"/>
      </w:pPr>
      <w:r>
        <w:rPr>
          <w:b/>
          <w:color w:val="1E3A5F"/>
          <w:sz w:val="21"/>
        </w:rPr>
        <w:t xml:space="preserve">Top Category: </w:t>
      </w:r>
      <w:r>
        <w:rPr>
          <w:color w:val="1F2328"/>
          <w:sz w:val="21"/>
        </w:rPr>
        <w:t>Grocery is the most transacted merchant category.</w:t>
      </w:r>
    </w:p>
    <w:p>
      <w:pPr>
        <w:spacing w:after="100"/>
      </w:pPr>
      <w:r>
        <w:rPr>
          <w:b/>
          <w:color w:val="1E3A5F"/>
          <w:sz w:val="21"/>
        </w:rPr>
        <w:t xml:space="preserve">Device Preference: </w:t>
      </w:r>
      <w:r>
        <w:rPr>
          <w:color w:val="1F2328"/>
          <w:sz w:val="21"/>
        </w:rPr>
        <w:t>Android accounts for 75.1% — Android-first ecosystem.</w:t>
      </w:r>
    </w:p>
    <w:p>
      <w:pPr>
        <w:spacing w:after="100"/>
      </w:pPr>
      <w:r>
        <w:rPr>
          <w:b/>
          <w:color w:val="1E3A5F"/>
          <w:sz w:val="21"/>
        </w:rPr>
        <w:t xml:space="preserve">Core Demographic: </w:t>
      </w:r>
      <w:r>
        <w:rPr>
          <w:color w:val="1F2328"/>
          <w:sz w:val="21"/>
        </w:rPr>
        <w:t>26-35 age group is the most active UPI user segment.</w:t>
      </w:r>
    </w:p>
    <w:p>
      <w:pPr>
        <w:spacing w:before="60" w:after="60"/>
        <w:pBdr>
          <w:bottom w:val="single" w:sz="4" w:space="1" w:color="3b82f6"/>
        </w:pBdr>
      </w:pPr>
    </w:p>
    <w:p>
      <w:pPr>
        <w:spacing w:before="160" w:after="120"/>
      </w:pPr>
      <w:r>
        <w:rPr>
          <w:b/>
          <w:color w:val="1E3A5F"/>
          <w:sz w:val="30"/>
        </w:rPr>
        <w:t>12  Conclusions</w:t>
      </w:r>
    </w:p>
    <w:p>
      <w:pPr>
        <w:spacing w:after="100"/>
      </w:pPr>
      <w:r>
        <w:rPr>
          <w:b/>
          <w:color w:val="1E3A5F"/>
          <w:sz w:val="21"/>
        </w:rPr>
        <w:t xml:space="preserve">UPI is India's financial backbone: </w:t>
      </w:r>
      <w:r>
        <w:rPr>
          <w:color w:val="1F2328"/>
          <w:sz w:val="21"/>
        </w:rPr>
        <w:t>250,000 transactions, ₹32.8 Cr total — essential infrastructure.</w:t>
      </w:r>
    </w:p>
    <w:p>
      <w:pPr>
        <w:spacing w:after="100"/>
      </w:pPr>
      <w:r>
        <w:rPr>
          <w:b/>
          <w:color w:val="1E3A5F"/>
          <w:sz w:val="21"/>
        </w:rPr>
        <w:t xml:space="preserve">Security is excellent: </w:t>
      </w:r>
      <w:r>
        <w:rPr>
          <w:color w:val="1F2328"/>
          <w:sz w:val="21"/>
        </w:rPr>
        <w:t>Fraud rate 0.19% — NPCI and banks have built highly effective fraud prevention.</w:t>
      </w:r>
    </w:p>
    <w:p>
      <w:pPr>
        <w:spacing w:after="100"/>
      </w:pPr>
      <w:r>
        <w:rPr>
          <w:b/>
          <w:color w:val="1E3A5F"/>
          <w:sz w:val="21"/>
        </w:rPr>
        <w:t xml:space="preserve">Demographic diversity growing: </w:t>
      </w:r>
      <w:r>
        <w:rPr>
          <w:color w:val="1F2328"/>
          <w:sz w:val="21"/>
        </w:rPr>
        <w:t>36–45 and 46–55 groups showing meaningful participation beyond early adopters.</w:t>
      </w:r>
    </w:p>
    <w:p>
      <w:pPr>
        <w:spacing w:after="100"/>
      </w:pPr>
      <w:r>
        <w:rPr>
          <w:b/>
          <w:color w:val="1E3A5F"/>
          <w:sz w:val="21"/>
        </w:rPr>
        <w:t xml:space="preserve">Geographic concentration remains: </w:t>
      </w:r>
      <w:r>
        <w:rPr>
          <w:color w:val="1F2328"/>
          <w:sz w:val="21"/>
        </w:rPr>
        <w:t>Tier-2/3 cities and rural states are the next UPI growth frontier.</w:t>
      </w:r>
    </w:p>
    <w:p>
      <w:pPr>
        <w:spacing w:after="100"/>
      </w:pPr>
      <w:r>
        <w:rPr>
          <w:b/>
          <w:color w:val="1E3A5F"/>
          <w:sz w:val="21"/>
        </w:rPr>
        <w:t xml:space="preserve">4G is the enabler: </w:t>
      </w:r>
      <w:r>
        <w:rPr>
          <w:color w:val="1F2328"/>
          <w:sz w:val="21"/>
        </w:rPr>
        <w:t>Affordable mobile internet is the critical infrastructure for India's cashless transition.</w:t>
      </w:r>
    </w:p>
    <w:p>
      <w:r>
        <w:br w:type="page"/>
      </w:r>
    </w:p>
    <w:p>
      <w:pPr>
        <w:spacing w:before="280" w:after="120"/>
      </w:pPr>
      <w:r>
        <w:rPr>
          <w:b/>
          <w:color w:val="1E3A5F"/>
          <w:sz w:val="30"/>
        </w:rPr>
        <w:t>13  Technology Stack</w:t>
      </w:r>
    </w:p>
    <w:tbl>
      <w:tblPr>
        <w:tblStyle w:val="TableGrid"/>
        <w:tblW w:type="auto" w:w="0"/>
        <w:tblLook w:firstColumn="1" w:firstRow="1" w:lastColumn="0" w:lastRow="0" w:noHBand="0" w:noVBand="1" w:val="04A0"/>
      </w:tblPr>
      <w:tblGrid>
        <w:gridCol w:w="5008"/>
        <w:gridCol w:w="5008"/>
        <w:gridCol w:w="5008"/>
      </w:tblGrid>
      <w:tr>
        <w:tc>
          <w:tcPr>
            <w:tcW w:type="dxa" w:w="5008"/>
            <w:shd w:val="clear" w:color="auto" w:fill="1E3A5F"/>
          </w:tcPr>
          <w:p>
            <w:r>
              <w:rPr>
                <w:b/>
                <w:color w:val="FFFFFF"/>
                <w:sz w:val="19"/>
              </w:rPr>
              <w:t>Library</w:t>
            </w:r>
          </w:p>
        </w:tc>
        <w:tc>
          <w:tcPr>
            <w:tcW w:type="dxa" w:w="5008"/>
            <w:shd w:val="clear" w:color="auto" w:fill="1E3A5F"/>
          </w:tcPr>
          <w:p>
            <w:r>
              <w:rPr>
                <w:b/>
                <w:color w:val="FFFFFF"/>
                <w:sz w:val="19"/>
              </w:rPr>
              <w:t>Version</w:t>
            </w:r>
          </w:p>
        </w:tc>
        <w:tc>
          <w:tcPr>
            <w:tcW w:type="dxa" w:w="5008"/>
            <w:shd w:val="clear" w:color="auto" w:fill="1E3A5F"/>
          </w:tcPr>
          <w:p>
            <w:r>
              <w:rPr>
                <w:b/>
                <w:color w:val="FFFFFF"/>
                <w:sz w:val="19"/>
              </w:rPr>
              <w:t>Purpose</w:t>
            </w:r>
          </w:p>
        </w:tc>
      </w:tr>
      <w:tr>
        <w:tc>
          <w:tcPr>
            <w:tcW w:type="dxa" w:w="5008"/>
            <w:shd w:val="clear" w:color="auto" w:fill="f7f8fa"/>
          </w:tcPr>
          <w:p>
            <w:r>
              <w:rPr>
                <w:sz w:val="19"/>
              </w:rPr>
              <w:t>Streamlit</w:t>
            </w:r>
          </w:p>
        </w:tc>
        <w:tc>
          <w:tcPr>
            <w:tcW w:type="dxa" w:w="5008"/>
            <w:shd w:val="clear" w:color="auto" w:fill="f7f8fa"/>
          </w:tcPr>
          <w:p>
            <w:r>
              <w:rPr>
                <w:sz w:val="19"/>
              </w:rPr>
              <w:t>&gt;=1.32.0</w:t>
            </w:r>
          </w:p>
        </w:tc>
        <w:tc>
          <w:tcPr>
            <w:tcW w:type="dxa" w:w="5008"/>
            <w:shd w:val="clear" w:color="auto" w:fill="f7f8fa"/>
          </w:tcPr>
          <w:p>
            <w:r>
              <w:rPr>
                <w:sz w:val="19"/>
              </w:rPr>
              <w:t>Web app framework — UI, widgets, layout</w:t>
            </w:r>
          </w:p>
        </w:tc>
      </w:tr>
      <w:tr>
        <w:tc>
          <w:tcPr>
            <w:tcW w:type="dxa" w:w="5008"/>
            <w:shd w:val="clear" w:color="auto" w:fill="ffffff"/>
          </w:tcPr>
          <w:p>
            <w:r>
              <w:rPr>
                <w:sz w:val="19"/>
              </w:rPr>
              <w:t>Pandas</w:t>
            </w:r>
          </w:p>
        </w:tc>
        <w:tc>
          <w:tcPr>
            <w:tcW w:type="dxa" w:w="5008"/>
            <w:shd w:val="clear" w:color="auto" w:fill="ffffff"/>
          </w:tcPr>
          <w:p>
            <w:r>
              <w:rPr>
                <w:sz w:val="19"/>
              </w:rPr>
              <w:t>&gt;=2.1.0</w:t>
            </w:r>
          </w:p>
        </w:tc>
        <w:tc>
          <w:tcPr>
            <w:tcW w:type="dxa" w:w="5008"/>
            <w:shd w:val="clear" w:color="auto" w:fill="ffffff"/>
          </w:tcPr>
          <w:p>
            <w:r>
              <w:rPr>
                <w:sz w:val="19"/>
              </w:rPr>
              <w:t>Data loading, cleaning, aggregation, feature engineering</w:t>
            </w:r>
          </w:p>
        </w:tc>
      </w:tr>
      <w:tr>
        <w:tc>
          <w:tcPr>
            <w:tcW w:type="dxa" w:w="5008"/>
            <w:shd w:val="clear" w:color="auto" w:fill="f7f8fa"/>
          </w:tcPr>
          <w:p>
            <w:r>
              <w:rPr>
                <w:sz w:val="19"/>
              </w:rPr>
              <w:t>NumPy</w:t>
            </w:r>
          </w:p>
        </w:tc>
        <w:tc>
          <w:tcPr>
            <w:tcW w:type="dxa" w:w="5008"/>
            <w:shd w:val="clear" w:color="auto" w:fill="f7f8fa"/>
          </w:tcPr>
          <w:p>
            <w:r>
              <w:rPr>
                <w:sz w:val="19"/>
              </w:rPr>
              <w:t>&gt;=1.26.0</w:t>
            </w:r>
          </w:p>
        </w:tc>
        <w:tc>
          <w:tcPr>
            <w:tcW w:type="dxa" w:w="5008"/>
            <w:shd w:val="clear" w:color="auto" w:fill="f7f8fa"/>
          </w:tcPr>
          <w:p>
            <w:r>
              <w:rPr>
                <w:sz w:val="19"/>
              </w:rPr>
              <w:t>Numerical operations</w:t>
            </w:r>
          </w:p>
        </w:tc>
      </w:tr>
      <w:tr>
        <w:tc>
          <w:tcPr>
            <w:tcW w:type="dxa" w:w="5008"/>
            <w:shd w:val="clear" w:color="auto" w:fill="ffffff"/>
          </w:tcPr>
          <w:p>
            <w:r>
              <w:rPr>
                <w:sz w:val="19"/>
              </w:rPr>
              <w:t>Plotly Express + GO</w:t>
            </w:r>
          </w:p>
        </w:tc>
        <w:tc>
          <w:tcPr>
            <w:tcW w:type="dxa" w:w="5008"/>
            <w:shd w:val="clear" w:color="auto" w:fill="ffffff"/>
          </w:tcPr>
          <w:p>
            <w:r>
              <w:rPr>
                <w:sz w:val="19"/>
              </w:rPr>
              <w:t>&gt;=5.20.0</w:t>
            </w:r>
          </w:p>
        </w:tc>
        <w:tc>
          <w:tcPr>
            <w:tcW w:type="dxa" w:w="5008"/>
            <w:shd w:val="clear" w:color="auto" w:fill="ffffff"/>
          </w:tcPr>
          <w:p>
            <w:r>
              <w:rPr>
                <w:sz w:val="19"/>
              </w:rPr>
              <w:t>All charts: bar, pie, histogram, heatmap, scatter, dual-axis</w:t>
            </w:r>
          </w:p>
        </w:tc>
      </w:tr>
      <w:tr>
        <w:tc>
          <w:tcPr>
            <w:tcW w:type="dxa" w:w="5008"/>
            <w:shd w:val="clear" w:color="auto" w:fill="f7f8fa"/>
          </w:tcPr>
          <w:p>
            <w:r>
              <w:rPr>
                <w:sz w:val="19"/>
              </w:rPr>
              <w:t>python-docx</w:t>
            </w:r>
          </w:p>
        </w:tc>
        <w:tc>
          <w:tcPr>
            <w:tcW w:type="dxa" w:w="5008"/>
            <w:shd w:val="clear" w:color="auto" w:fill="f7f8fa"/>
          </w:tcPr>
          <w:p>
            <w:r>
              <w:rPr>
                <w:sz w:val="19"/>
              </w:rPr>
              <w:t>1.2.0</w:t>
            </w:r>
          </w:p>
        </w:tc>
        <w:tc>
          <w:tcPr>
            <w:tcW w:type="dxa" w:w="5008"/>
            <w:shd w:val="clear" w:color="auto" w:fill="f7f8fa"/>
          </w:tcPr>
          <w:p>
            <w:r>
              <w:rPr>
                <w:sz w:val="19"/>
              </w:rPr>
              <w:t>This report generation</w:t>
            </w:r>
          </w:p>
        </w:tc>
      </w:tr>
      <w:tr>
        <w:tc>
          <w:tcPr>
            <w:tcW w:type="dxa" w:w="5008"/>
            <w:shd w:val="clear" w:color="auto" w:fill="ffffff"/>
          </w:tcPr>
          <w:p>
            <w:r>
              <w:rPr>
                <w:sz w:val="19"/>
              </w:rPr>
              <w:t>kaleido</w:t>
            </w:r>
          </w:p>
        </w:tc>
        <w:tc>
          <w:tcPr>
            <w:tcW w:type="dxa" w:w="5008"/>
            <w:shd w:val="clear" w:color="auto" w:fill="ffffff"/>
          </w:tcPr>
          <w:p>
            <w:r>
              <w:rPr>
                <w:sz w:val="19"/>
              </w:rPr>
              <w:t>1.4.0</w:t>
            </w:r>
          </w:p>
        </w:tc>
        <w:tc>
          <w:tcPr>
            <w:tcW w:type="dxa" w:w="5008"/>
            <w:shd w:val="clear" w:color="auto" w:fill="ffffff"/>
          </w:tcPr>
          <w:p>
            <w:r>
              <w:rPr>
                <w:sz w:val="19"/>
              </w:rPr>
              <w:t>Plotly static image export (PNG)</w:t>
            </w:r>
          </w:p>
        </w:tc>
      </w:tr>
    </w:tbl>
    <w:p>
      <w:pPr>
        <w:spacing w:after="80"/>
      </w:pPr>
    </w:p>
    <w:p>
      <w:pPr>
        <w:spacing w:before="280" w:after="120"/>
      </w:pPr>
      <w:r>
        <w:rPr>
          <w:b/>
          <w:color w:val="1E3A5F"/>
          <w:sz w:val="30"/>
        </w:rPr>
        <w:t>14  How to Run</w:t>
      </w:r>
    </w:p>
    <w:p>
      <w:pPr>
        <w:spacing w:after="100"/>
      </w:pPr>
      <w:r>
        <w:rPr>
          <w:b/>
          <w:color w:val="1E3A5F"/>
          <w:sz w:val="21"/>
        </w:rPr>
        <w:t xml:space="preserve">Install dependencies: </w:t>
      </w:r>
      <w:r>
        <w:rPr>
          <w:color w:val="1F2328"/>
          <w:sz w:val="21"/>
        </w:rPr>
        <w:t>pip install -r requirements.txt</w:t>
      </w:r>
    </w:p>
    <w:p>
      <w:pPr>
        <w:spacing w:after="100"/>
      </w:pPr>
      <w:r>
        <w:rPr>
          <w:b/>
          <w:color w:val="1E3A5F"/>
          <w:sz w:val="21"/>
        </w:rPr>
        <w:t xml:space="preserve">Ensure dataset present: </w:t>
      </w:r>
      <w:r>
        <w:rPr>
          <w:color w:val="1F2328"/>
          <w:sz w:val="21"/>
        </w:rPr>
        <w:t>upi_transactions_2024.csv in same folder as app.py</w:t>
      </w:r>
    </w:p>
    <w:p>
      <w:pPr>
        <w:spacing w:after="100"/>
      </w:pPr>
      <w:r>
        <w:rPr>
          <w:b/>
          <w:color w:val="1E3A5F"/>
          <w:sz w:val="21"/>
        </w:rPr>
        <w:t xml:space="preserve">Launch dashboard: </w:t>
      </w:r>
      <w:r>
        <w:rPr>
          <w:color w:val="1F2328"/>
          <w:sz w:val="21"/>
        </w:rPr>
        <w:t>python -m streamlit run app.py</w:t>
      </w:r>
    </w:p>
    <w:p>
      <w:pPr>
        <w:spacing w:after="100"/>
      </w:pPr>
      <w:r>
        <w:rPr>
          <w:b/>
          <w:color w:val="1E3A5F"/>
          <w:sz w:val="21"/>
        </w:rPr>
        <w:t xml:space="preserve">Open browser: </w:t>
      </w:r>
      <w:r>
        <w:rPr>
          <w:color w:val="1F2328"/>
          <w:sz w:val="21"/>
        </w:rPr>
        <w:t>http://localhost:8501</w:t>
      </w:r>
    </w:p>
    <w:p>
      <w:pPr>
        <w:spacing w:before="60" w:after="60"/>
        <w:pBdr>
          <w:bottom w:val="single" w:sz="4" w:space="1" w:color="3b82f6"/>
        </w:pBdr>
      </w:pPr>
    </w:p>
    <w:p>
      <w:pPr>
        <w:jc w:val="center"/>
      </w:pPr>
      <w:r>
        <w:rPr>
          <w:i/>
          <w:color w:val="57606A"/>
          <w:sz w:val="18"/>
        </w:rPr>
        <w:t>India Goes Cashless: UPI Analytics  |  Built with Streamlit &amp; Plotly  |  Dataset: upi_transactions_2024.csv</w:t>
      </w:r>
    </w:p>
    <w:sectPr w:rsidR="00FC693F" w:rsidRPr="0006063C" w:rsidSect="00034616">
      <w:pgSz w:w="16838" w:h="11906"/>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