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BuyHat</w:t>
      </w:r>
      <w:r>
        <w:t xml:space="preserve"> </w:t>
      </w:r>
      <w:r>
        <w:t xml:space="preserve">Frontend</w:t>
      </w:r>
      <w:r>
        <w:t xml:space="preserve"> </w:t>
      </w:r>
      <w:r>
        <w:t xml:space="preserve">—</w:t>
      </w:r>
      <w:r>
        <w:t xml:space="preserve"> </w:t>
      </w:r>
      <w:r>
        <w:t xml:space="preserve">Phase</w:t>
      </w:r>
      <w:r>
        <w:t xml:space="preserve"> </w:t>
      </w:r>
      <w:r>
        <w:t xml:space="preserve">1:</w:t>
      </w:r>
      <w:r>
        <w:t xml:space="preserve"> </w:t>
      </w:r>
      <w:r>
        <w:t xml:space="preserve">Design</w:t>
      </w:r>
      <w:r>
        <w:t xml:space="preserve"> </w:t>
      </w:r>
      <w:r>
        <w:t xml:space="preserve">Foundation</w:t>
      </w:r>
      <w:r>
        <w:t xml:space="preserve"> </w:t>
      </w:r>
      <w:r>
        <w:t xml:space="preserve">&amp;</w:t>
      </w:r>
      <w:r>
        <w:t xml:space="preserve"> </w:t>
      </w:r>
      <w:r>
        <w:t xml:space="preserve">Configuration</w:t>
      </w:r>
    </w:p>
    <w:p>
      <w:pPr>
        <w:pStyle w:val="Author"/>
      </w:pPr>
      <w:r>
        <w:t xml:space="preserve">Principal</w:t>
      </w:r>
      <w:r>
        <w:t xml:space="preserve"> </w:t>
      </w:r>
      <w:r>
        <w:t xml:space="preserve">Frontend</w:t>
      </w:r>
      <w:r>
        <w:t xml:space="preserve"> </w:t>
      </w:r>
      <w:r>
        <w:t xml:space="preserve">Architecture</w:t>
      </w:r>
    </w:p>
    <w:p>
      <w:pPr>
        <w:pStyle w:val="Date"/>
      </w:pPr>
      <w:r>
        <w:t xml:space="preserve">2026-06-27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phase-1-design-foundation-configuration"/>
    <w:p>
      <w:pPr>
        <w:pStyle w:val="Heading1"/>
      </w:pPr>
      <w:r>
        <w:t xml:space="preserve">Phase 1 — Design Foundation &amp; Configuration</w:t>
      </w:r>
    </w:p>
    <w:p>
      <w:pPr>
        <w:pStyle w:val="BlockText"/>
      </w:pPr>
      <w:r>
        <w:t xml:space="preserve">Part of</w:t>
      </w:r>
      <w:r>
        <w:t xml:space="preserve"> </w:t>
      </w:r>
      <w:hyperlink r:id="rId20">
        <w:r>
          <w:rPr>
            <w:rStyle w:val="VerbatimChar"/>
          </w:rPr>
          <w:t xml:space="preserve">FRONTEND_PROJECT_PLAN.md</w:t>
        </w:r>
      </w:hyperlink>
      <w:r>
        <w:t xml:space="preserve">. Prerequisite:</w:t>
      </w:r>
      <w:r>
        <w:t xml:space="preserve"> </w:t>
      </w:r>
      <w:r>
        <w:rPr>
          <w:bCs/>
          <w:b/>
        </w:rPr>
        <w:t xml:space="preserve">Phase 0 complete</w:t>
      </w:r>
      <w:r>
        <w:t xml:space="preserve">.</w:t>
      </w:r>
      <w:r>
        <w:t xml:space="preserve"> </w:t>
      </w:r>
      <w:r>
        <w:t xml:space="preserve">Design source of truth: nexus</w:t>
      </w:r>
      <w:r>
        <w:t xml:space="preserve"> </w:t>
      </w:r>
      <w:r>
        <w:rPr>
          <w:iCs/>
          <w:i/>
        </w:rPr>
        <w:t xml:space="preserve">SaaS Commerce Velocity</w:t>
      </w:r>
      <w:r>
        <w:t xml:space="preserve"> </w:t>
      </w:r>
      <w:r>
        <w:t xml:space="preserve">(</w:t>
      </w:r>
      <w:r>
        <w:rPr>
          <w:rStyle w:val="VerbatimChar"/>
        </w:rPr>
        <w:t xml:space="preserve">buyhat_e_commerce_design_system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1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Encode the</w:t>
      </w:r>
      <w:r>
        <w:t xml:space="preserve"> </w:t>
      </w:r>
      <w:r>
        <w:rPr>
          <w:bCs/>
          <w:b/>
        </w:rPr>
        <w:t xml:space="preserve">Design System</w:t>
      </w:r>
      <w:r>
        <w:t xml:space="preserve"> </w:t>
      </w:r>
      <w:r>
        <w:t xml:space="preserve">and the app’s</w:t>
      </w:r>
      <w:r>
        <w:t xml:space="preserve"> </w:t>
      </w:r>
      <w:r>
        <w:rPr>
          <w:bCs/>
          <w:b/>
        </w:rPr>
        <w:t xml:space="preserve">core runtime configuration</w:t>
      </w:r>
      <w:r>
        <w:t xml:space="preserve"> </w:t>
      </w:r>
      <w:r>
        <w:t xml:space="preserve">into the codebase so that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subsequent component is token-driven and consistent. After this phase, a developer can</w:t>
      </w:r>
      <w:r>
        <w:t xml:space="preserve"> </w:t>
      </w:r>
      <w:r>
        <w:t xml:space="preserve">build any screen using semantic Tailwind classes (</w:t>
      </w:r>
      <w:r>
        <w:rPr>
          <w:rStyle w:val="VerbatimChar"/>
        </w:rPr>
        <w:t xml:space="preserve">bg-primary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text-cta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font-heading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rounded-card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shadow-card</w:t>
      </w:r>
      <w:r>
        <w:t xml:space="preserve">) and the global providers (data, theme, toasts) are mounted.</w:t>
      </w:r>
    </w:p>
    <w:p>
      <w:pPr>
        <w:pStyle w:val="BodyText"/>
      </w:pPr>
      <w:r>
        <w:t xml:space="preserve">No feature UI is built here — this is the foundation Phases 2–13 consume.</w:t>
      </w:r>
    </w:p>
    <w:p>
      <w:r>
        <w:pict>
          <v:rect style="width:0;height:1.5pt" o:hralign="center" o:hrstd="t" o:hr="t"/>
        </w:pict>
      </w:r>
    </w:p>
    <w:bookmarkEnd w:id="21"/>
    <w:bookmarkStart w:id="22" w:name="scope"/>
    <w:p>
      <w:pPr>
        <w:pStyle w:val="Heading2"/>
      </w:pPr>
      <w:r>
        <w:t xml:space="preserve">2. Scope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 tokens</w:t>
      </w:r>
      <w:r>
        <w:t xml:space="preserve"> </w:t>
      </w:r>
      <w:r>
        <w:t xml:space="preserve">— Tailwind v4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 </w:t>
      </w:r>
      <w:r>
        <w:t xml:space="preserve">mapping of the full nexus palette, typography, radii,</w:t>
      </w:r>
      <w:r>
        <w:t xml:space="preserve"> </w:t>
      </w:r>
      <w:r>
        <w:t xml:space="preserve">shadows, container, and z-index, exposed as semantic CSS variables + shadcn-compatible names.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Fonts</w:t>
      </w:r>
      <w:r>
        <w:t xml:space="preserve"> </w:t>
      </w:r>
      <w:r>
        <w:t xml:space="preserve">— Manrope (headings/prices), Inter (body/UI), JetBrains Mono (SKU/meta) via</w:t>
      </w:r>
      <w:r>
        <w:t xml:space="preserve"> </w:t>
      </w:r>
      <w:r>
        <w:rPr>
          <w:rStyle w:val="VerbatimChar"/>
        </w:rPr>
        <w:t xml:space="preserve">next/font/google</w:t>
      </w:r>
      <w:r>
        <w:t xml:space="preserve">, wired as CSS variables with</w:t>
      </w:r>
      <w:r>
        <w:t xml:space="preserve"> </w:t>
      </w:r>
      <w:r>
        <w:rPr>
          <w:rStyle w:val="VerbatimChar"/>
        </w:rPr>
        <w:t xml:space="preserve">display: swap</w:t>
      </w:r>
      <w:r>
        <w:t xml:space="preserve"> </w:t>
      </w:r>
      <w:r>
        <w:t xml:space="preserve">(no CLS).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cn()</w:t>
      </w:r>
      <w:r>
        <w:rPr>
          <w:bCs/>
          <w:b/>
        </w:rPr>
        <w:t xml:space="preserve"> </w:t>
      </w:r>
      <w:r>
        <w:rPr>
          <w:bCs/>
          <w:b/>
        </w:rPr>
        <w:t xml:space="preserve">utility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tailwind-merge</w:t>
      </w:r>
      <w:r>
        <w:t xml:space="preserve"> </w:t>
      </w:r>
      <w:r>
        <w:t xml:space="preserve">for safe conditional class composition.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Formatters</w:t>
      </w:r>
      <w:r>
        <w:t xml:space="preserve"> </w:t>
      </w:r>
      <w:r>
        <w:t xml:space="preserve">— BDT money (</w:t>
      </w:r>
      <w:r>
        <w:rPr>
          <w:rStyle w:val="VerbatimChar"/>
        </w:rPr>
        <w:t xml:space="preserve">৳</w:t>
      </w:r>
      <w:r>
        <w:t xml:space="preserve">), dates, relative time, compact numbers, percentages (locale</w:t>
      </w:r>
      <w:r>
        <w:t xml:space="preserve"> </w:t>
      </w:r>
      <w:r>
        <w:rPr>
          <w:rStyle w:val="VerbatimChar"/>
        </w:rPr>
        <w:t xml:space="preserve">en-BD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site.ts</w:t>
      </w:r>
      <w:r>
        <w:t xml:space="preserve"> </w:t>
      </w:r>
      <w:r>
        <w:t xml:space="preserve">(brand/SEO defaults),</w:t>
      </w:r>
      <w:r>
        <w:t xml:space="preserve"> </w:t>
      </w:r>
      <w:r>
        <w:rPr>
          <w:rStyle w:val="VerbatimChar"/>
        </w:rPr>
        <w:t xml:space="preserve">routes.ts</w:t>
      </w:r>
      <w:r>
        <w:t xml:space="preserve"> </w:t>
      </w:r>
      <w:r>
        <w:t xml:space="preserve">(typed route map),</w:t>
      </w:r>
      <w:r>
        <w:t xml:space="preserve"> </w:t>
      </w:r>
      <w:r>
        <w:rPr>
          <w:rStyle w:val="VerbatimChar"/>
        </w:rPr>
        <w:t xml:space="preserve">query-keys.ts</w:t>
      </w:r>
      <w:r>
        <w:t xml:space="preserve"> </w:t>
      </w:r>
      <w:r>
        <w:t xml:space="preserve">(centralized TanStack Query key factory).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Constants</w:t>
      </w:r>
      <w:r>
        <w:t xml:space="preserve"> </w:t>
      </w:r>
      <w:r>
        <w:t xml:space="preserve">— roles, order/payment/review status → label + tone maps (single source for badges).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Providers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QueryProvider</w:t>
      </w:r>
      <w:r>
        <w:t xml:space="preserve"> </w:t>
      </w:r>
      <w:r>
        <w:t xml:space="preserve">(TanStack Query client + hydration + Devtools in dev),</w:t>
      </w:r>
      <w:r>
        <w:t xml:space="preserve"> </w:t>
      </w:r>
      <w:r>
        <w:rPr>
          <w:rStyle w:val="VerbatimChar"/>
        </w:rPr>
        <w:t xml:space="preserve">ThemeProvider</w:t>
      </w:r>
      <w:r>
        <w:t xml:space="preserve"> </w:t>
      </w:r>
      <w:r>
        <w:t xml:space="preserve">(light-first, class strategy, dark-ready tokens),</w:t>
      </w:r>
      <w:r>
        <w:t xml:space="preserve"> </w:t>
      </w:r>
      <w:r>
        <w:rPr>
          <w:rStyle w:val="VerbatimChar"/>
        </w:rPr>
        <w:t xml:space="preserve">Toaster</w:t>
      </w:r>
      <w:r>
        <w:t xml:space="preserve"> </w:t>
      </w:r>
      <w:r>
        <w:t xml:space="preserve">(sonner). Composed in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AppProviders</w:t>
      </w:r>
      <w:r>
        <w:t xml:space="preserve"> </w:t>
      </w:r>
      <w:r>
        <w:t xml:space="preserve">and mounted in the root layout.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SEO base</w:t>
      </w:r>
      <w:r>
        <w:t xml:space="preserve"> </w:t>
      </w:r>
      <w:r>
        <w:t xml:space="preserve">— shared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defaults,</w:t>
      </w:r>
      <w:r>
        <w:t xml:space="preserve"> </w:t>
      </w:r>
      <w:r>
        <w:rPr>
          <w:rStyle w:val="VerbatimChar"/>
        </w:rPr>
        <w:t xml:space="preserve">viewport</w:t>
      </w:r>
      <w:r>
        <w:t xml:space="preserve">, OpenGraph/Twitter scaffolding, theme-color.</w:t>
      </w:r>
    </w:p>
    <w:p>
      <w:r>
        <w:pict>
          <v:rect style="width:0;height:1.5pt" o:hralign="center" o:hrstd="t" o:hr="t"/>
        </w:pict>
      </w:r>
    </w:p>
    <w:bookmarkEnd w:id="22"/>
    <w:bookmarkStart w:id="25" w:name="X206395dfaad6e14b050d60fcf7a7d26b1200af6"/>
    <w:p>
      <w:pPr>
        <w:pStyle w:val="Heading2"/>
      </w:pPr>
      <w:r>
        <w:t xml:space="preserve">3. Design Token Mapping (nexus → CSS var → Tailwind)</w:t>
      </w:r>
    </w:p>
    <w:p>
      <w:pPr>
        <w:pStyle w:val="FirstParagraph"/>
      </w:pPr>
      <w:r>
        <w:t xml:space="preserve">Light theme (canonical). Values chosen from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+ the reference screens.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Semantic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class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#F8FAFC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Foreground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#0F172A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--foreground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text-foreground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Muted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#F1F5F9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bg-muted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Muted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#64748B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--muted-foreground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text-muted-foreground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 / divider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#E2E8F0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border-border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#E2E8F0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#1E3A8A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ring-ring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</w:t>
            </w:r>
            <w:r>
              <w:t xml:space="preserve"> </w:t>
            </w:r>
            <w:r>
              <w:t xml:space="preserve">(structure, nav, brand, price, default button)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#1E3A8A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foreground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--primary-foreground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text-primary-foreground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CTA / Accent</w:t>
            </w:r>
            <w:r>
              <w:t xml:space="preserve"> </w:t>
            </w:r>
            <w:r>
              <w:t xml:space="preserve">(Add to Cart, Checkout — conversion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#F97316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bg-cta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CTA foreground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--cta-foreground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text-cta-foreground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(slate chips/surfaces)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#0F172A</w:t>
            </w:r>
            <w:r>
              <w:t xml:space="preserve"> </w:t>
            </w:r>
            <w:r>
              <w:t xml:space="preserve">text on</w:t>
            </w:r>
            <w:r>
              <w:t xml:space="preserve"> </w:t>
            </w:r>
            <w:r>
              <w:rPr>
                <w:rStyle w:val="VerbatimChar"/>
              </w:rPr>
              <w:t xml:space="preserve">#F1F5F9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--secondary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--secondary-foreground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</w:t>
            </w:r>
            <w:r>
              <w:t xml:space="preserve"> </w:t>
            </w:r>
            <w:r>
              <w:t xml:space="preserve">(in-stock, paid, active)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#059669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Warning</w:t>
            </w:r>
            <w:r>
              <w:t xml:space="preserve"> </w:t>
            </w:r>
            <w:r>
              <w:t xml:space="preserve">(low-stock, urgency)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#D97706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Destructive</w:t>
            </w:r>
            <w:r>
              <w:t xml:space="preserve"> </w:t>
            </w:r>
            <w:r>
              <w:t xml:space="preserve">(errors, delete, sold-out)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#DC2626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--destructive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bg-destructive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</w:t>
            </w:r>
            <w:r>
              <w:t xml:space="preserve"> </w:t>
            </w:r>
            <w:r>
              <w:t xml:space="preserve">(star ratings)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#FACC15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--gold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text-gold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fill-gold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 surface (hover/active subtle)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#EEF2FF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--accent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bg-accent</w:t>
            </w:r>
          </w:p>
        </w:tc>
      </w:tr>
    </w:tbl>
    <w:p>
      <w:pPr>
        <w:pStyle w:val="BodyText"/>
      </w:pPr>
      <w:r>
        <w:t xml:space="preserve">Each color also carries a</w:t>
      </w:r>
      <w:r>
        <w:t xml:space="preserve"> </w:t>
      </w:r>
      <w:r>
        <w:rPr>
          <w:rStyle w:val="VerbatimChar"/>
        </w:rPr>
        <w:t xml:space="preserve">-foreground</w:t>
      </w:r>
      <w:r>
        <w:t xml:space="preserve"> </w:t>
      </w:r>
      <w:r>
        <w:t xml:space="preserve">pair where it can host text. Tokens are declared in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and exposed via</w:t>
      </w:r>
      <w:r>
        <w:t xml:space="preserve"> </w:t>
      </w:r>
      <w:r>
        <w:rPr>
          <w:rStyle w:val="VerbatimChar"/>
        </w:rPr>
        <w:t xml:space="preserve">@theme inline</w:t>
      </w:r>
      <w:r>
        <w:t xml:space="preserve"> </w:t>
      </w:r>
      <w:r>
        <w:t xml:space="preserve">so Tailwind generates the utilities. A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block mirrors the</w:t>
      </w:r>
      <w:r>
        <w:t xml:space="preserve"> </w:t>
      </w:r>
      <w:r>
        <w:t xml:space="preserve">structure (deferred styling — light is the shipped theme).</w:t>
      </w:r>
    </w:p>
    <w:bookmarkStart w:id="23" w:name="typography-scale-utility-classes"/>
    <w:p>
      <w:pPr>
        <w:pStyle w:val="Heading3"/>
      </w:pPr>
      <w:r>
        <w:t xml:space="preserve">Typography scale (utility classes)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/ Line /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48/56, 800 (mobile 32/40)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headlines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headline-lg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32/40,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headline-md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24/32,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card/group 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price-xl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30/36,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18/28,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paragraphs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body-md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16/24,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body/UI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14/20,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label-caps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JetBrains 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12/16, 600,</w:t>
            </w:r>
            <w:r>
              <w:t xml:space="preserve"> </w:t>
            </w:r>
            <w:r>
              <w:rPr>
                <w:rStyle w:val="VerbatimChar"/>
              </w:rPr>
              <w:t xml:space="preserve">0.05em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SKU, metadata, eyebrow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button-text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16/20, 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</w:t>
            </w:r>
          </w:p>
        </w:tc>
      </w:tr>
    </w:tbl>
    <w:p>
      <w:pPr>
        <w:pStyle w:val="BodyText"/>
      </w:pPr>
      <w:r>
        <w:t xml:space="preserve">Implemented as composable component classes 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(</w:t>
      </w:r>
      <w:r>
        <w:rPr>
          <w:rStyle w:val="VerbatimChar"/>
        </w:rPr>
        <w:t xml:space="preserve">@layer components</w:t>
      </w:r>
      <w:r>
        <w:t xml:space="preserve">) e.g. </w:t>
      </w:r>
      <w:r>
        <w:rPr>
          <w:rStyle w:val="VerbatimChar"/>
        </w:rPr>
        <w:t xml:space="preserve">.text-display-lg</w:t>
      </w:r>
      <w:r>
        <w:t xml:space="preserve">.</w:t>
      </w:r>
    </w:p>
    <w:bookmarkEnd w:id="23"/>
    <w:bookmarkStart w:id="24" w:name="radii-shadows-container"/>
    <w:p>
      <w:pPr>
        <w:pStyle w:val="Heading3"/>
      </w:pPr>
      <w:r>
        <w:t xml:space="preserve">Radii, shadows, container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--radius</w:t>
      </w:r>
      <w:r>
        <w:t xml:space="preserve">:</w:t>
      </w:r>
      <w:r>
        <w:t xml:space="preserve"> </w:t>
      </w:r>
      <w:r>
        <w:rPr>
          <w:rStyle w:val="VerbatimChar"/>
        </w:rPr>
        <w:t xml:space="preserve">0.75rem</w:t>
      </w:r>
      <w:r>
        <w:t xml:space="preserve"> </w:t>
      </w:r>
      <w:r>
        <w:t xml:space="preserve">(12px) base →</w:t>
      </w:r>
      <w:r>
        <w:t xml:space="preserve"> </w:t>
      </w:r>
      <w:r>
        <w:rPr>
          <w:rStyle w:val="VerbatimChar"/>
        </w:rPr>
        <w:t xml:space="preserve">--radius-sm 0.25rem</w:t>
      </w:r>
      <w:r>
        <w:t xml:space="preserve">,</w:t>
      </w:r>
      <w:r>
        <w:t xml:space="preserve"> </w:t>
      </w:r>
      <w:r>
        <w:rPr>
          <w:rStyle w:val="VerbatimChar"/>
        </w:rPr>
        <w:t xml:space="preserve">--radius-md 0.5rem</w:t>
      </w:r>
      <w:r>
        <w:t xml:space="preserve">,</w:t>
      </w:r>
      <w:r>
        <w:t xml:space="preserve"> </w:t>
      </w:r>
      <w:r>
        <w:rPr>
          <w:rStyle w:val="VerbatimChar"/>
        </w:rPr>
        <w:t xml:space="preserve">--radius-lg 0.75rem</w:t>
      </w:r>
      <w:r>
        <w:t xml:space="preserve">,</w:t>
      </w:r>
      <w:r>
        <w:t xml:space="preserve"> </w:t>
      </w:r>
      <w:r>
        <w:rPr>
          <w:rStyle w:val="VerbatimChar"/>
        </w:rPr>
        <w:t xml:space="preserve">--radius-xl 1rem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rounded-card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rounded-button</w:t>
      </w:r>
      <w:r>
        <w:t xml:space="preserve"> </w:t>
      </w:r>
      <w:r>
        <w:t xml:space="preserve">(0.5rem),</w:t>
      </w:r>
      <w:r>
        <w:t xml:space="preserve"> </w:t>
      </w:r>
      <w:r>
        <w:rPr>
          <w:rStyle w:val="VerbatimChar"/>
        </w:rPr>
        <w:t xml:space="preserve">rounded-full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Shadows:</w:t>
      </w:r>
      <w:r>
        <w:t xml:space="preserve"> </w:t>
      </w:r>
      <w:r>
        <w:rPr>
          <w:rStyle w:val="VerbatimChar"/>
        </w:rPr>
        <w:t xml:space="preserve">--shadow-card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0 4px 12px rgba(15,23,42,.05)</w:t>
      </w:r>
      <w:r>
        <w:t xml:space="preserve">),</w:t>
      </w:r>
      <w:r>
        <w:t xml:space="preserve"> </w:t>
      </w:r>
      <w:r>
        <w:rPr>
          <w:rStyle w:val="VerbatimChar"/>
        </w:rPr>
        <w:t xml:space="preserve">--shadow-card-hover</w:t>
      </w:r>
      <w:r>
        <w:t xml:space="preserve"> </w:t>
      </w:r>
      <w:r>
        <w:t xml:space="preserve">(</w:t>
      </w:r>
      <w:r>
        <w:rPr>
          <w:rStyle w:val="VerbatimChar"/>
        </w:rPr>
        <w:t xml:space="preserve">0 8px 20px rgba(15,23,42,.08)</w:t>
      </w:r>
      <w:r>
        <w:t xml:space="preserve">),</w:t>
      </w:r>
      <w:r>
        <w:t xml:space="preserve"> </w:t>
      </w:r>
      <w:r>
        <w:rPr>
          <w:rStyle w:val="VerbatimChar"/>
        </w:rPr>
        <w:t xml:space="preserve">--shadow-overlay</w:t>
      </w:r>
      <w:r>
        <w:t xml:space="preserve"> </w:t>
      </w:r>
      <w:r>
        <w:t xml:space="preserve">(deep diffuse). Classes</w:t>
      </w:r>
      <w:r>
        <w:t xml:space="preserve"> </w:t>
      </w:r>
      <w:r>
        <w:rPr>
          <w:rStyle w:val="VerbatimChar"/>
        </w:rPr>
        <w:t xml:space="preserve">shadow-card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shadow-card-hover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shadow-overlay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Container:</w:t>
      </w:r>
      <w:r>
        <w:t xml:space="preserve"> </w:t>
      </w:r>
      <w:r>
        <w:rPr>
          <w:rStyle w:val="VerbatimChar"/>
        </w:rPr>
        <w:t xml:space="preserve">max-width 1280px</w:t>
      </w:r>
      <w:r>
        <w:t xml:space="preserve">, gutter</w:t>
      </w:r>
      <w:r>
        <w:t xml:space="preserve"> </w:t>
      </w:r>
      <w:r>
        <w:rPr>
          <w:rStyle w:val="VerbatimChar"/>
        </w:rPr>
        <w:t xml:space="preserve">24px</w:t>
      </w:r>
      <w:r>
        <w:t xml:space="preserve"> </w:t>
      </w:r>
      <w:r>
        <w:t xml:space="preserve">(mobile</w:t>
      </w:r>
      <w:r>
        <w:t xml:space="preserve"> </w:t>
      </w:r>
      <w:r>
        <w:rPr>
          <w:rStyle w:val="VerbatimChar"/>
        </w:rPr>
        <w:t xml:space="preserve">16px</w:t>
      </w:r>
      <w:r>
        <w:t xml:space="preserve">) via a</w:t>
      </w:r>
      <w:r>
        <w:t xml:space="preserve"> </w:t>
      </w:r>
      <w:r>
        <w:rPr>
          <w:rStyle w:val="VerbatimChar"/>
        </w:rPr>
        <w:t xml:space="preserve">.container-page</w:t>
      </w:r>
      <w:r>
        <w:t xml:space="preserve"> </w:t>
      </w:r>
      <w:r>
        <w:t xml:space="preserve">helper / Tailwind container config.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iles-to-create"/>
    <w:p>
      <w:pPr>
        <w:pStyle w:val="Heading2"/>
      </w:pPr>
      <w:r>
        <w:t xml:space="preserve">4. Files to Create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src/styles/theme.css</w:t>
            </w:r>
            <w:r>
              <w:t xml:space="preserve"> </w:t>
            </w:r>
            <w:r>
              <w:t xml:space="preserve">(or extend</w:t>
            </w:r>
            <w:r>
              <w:t xml:space="preserve"> </w:t>
            </w:r>
            <w:r>
              <w:rPr>
                <w:rStyle w:val="VerbatimChar"/>
              </w:rPr>
              <w:t xml:space="preserve">app/globals.css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@theme</w:t>
            </w:r>
            <w:r>
              <w:t xml:space="preserve"> </w:t>
            </w:r>
            <w:r>
              <w:t xml:space="preserve">tokens + component typography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src/lib/cn.ts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cn()</w:t>
            </w:r>
            <w:r>
              <w:t xml:space="preserve"> </w:t>
            </w:r>
            <w:r>
              <w:t xml:space="preserve">class-merge utility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src/lib/formatters.ts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money/date/number/relative formatters (BDT, en-BD)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src/config/site.ts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brand, description, social, SEO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src/config/routes.ts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route constants (shop/admin/auth)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src/config/query-keys.ts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 key factory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src/constants/roles.ts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enum mirror + role labels/guard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src/constants/status.ts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order/payment/review status → label + badge 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src/lib/query-client.ts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makeQueryClient()</w:t>
            </w:r>
            <w:r>
              <w:t xml:space="preserve"> </w:t>
            </w:r>
            <w:r>
              <w:t xml:space="preserve">(staleTime, retry, gcTime)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src/providers/query-provider.tsx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 provider (+ Devtools in 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src/providers/theme-provider.tsx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next-themes wrapper (light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src/providers/app-providers.tsx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composes Query + Theme + Toaster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src/components/ui/sonner.tsx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Toaster component (shadcn sonner)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src/types/common.ts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API/result types (Paginated, ApiError, etc.)</w:t>
            </w:r>
          </w:p>
        </w:tc>
      </w:tr>
    </w:tbl>
    <w:bookmarkEnd w:id="26"/>
    <w:bookmarkStart w:id="27" w:name="files-to-modify"/>
    <w:p>
      <w:pPr>
        <w:pStyle w:val="Heading2"/>
      </w:pPr>
      <w:r>
        <w:t xml:space="preserve">5. Files to Modify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src/app/layout.tsx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3 fonts as CSS vars; mount</w:t>
            </w:r>
            <w:r>
              <w:t xml:space="preserve"> </w:t>
            </w:r>
            <w:r>
              <w:rPr>
                <w:rStyle w:val="VerbatimChar"/>
              </w:rPr>
              <w:t xml:space="preserve">&lt;AppProviders&gt;</w:t>
            </w:r>
            <w:r>
              <w:t xml:space="preserve">; expand metadata +</w:t>
            </w:r>
            <w:r>
              <w:t xml:space="preserve"> </w:t>
            </w:r>
            <w:r>
              <w:rPr>
                <w:rStyle w:val="VerbatimChar"/>
              </w:rPr>
              <w:t xml:space="preserve">viewport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src/app/globals.css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Phase-0 baseline with full token system + base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restyle boot screen using new tokens/typography (proof tokens 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Phase-1 deps</w:t>
            </w:r>
          </w:p>
        </w:tc>
      </w:tr>
    </w:tbl>
    <w:bookmarkEnd w:id="27"/>
    <w:bookmarkStart w:id="28" w:name="dependencies-phase-1"/>
    <w:p>
      <w:pPr>
        <w:pStyle w:val="Heading2"/>
      </w:pPr>
      <w:r>
        <w:t xml:space="preserve">6. Dependencies (Phase 1)</w:t>
      </w:r>
    </w:p>
    <w:p>
      <w:pPr>
        <w:pStyle w:val="FirstParagraph"/>
      </w:pPr>
      <w:r>
        <w:rPr>
          <w:rStyle w:val="VerbatimChar"/>
        </w:rPr>
        <w:t xml:space="preserve">clsx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tailwind-merge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next-themes</w:t>
      </w:r>
      <w:r>
        <w:t xml:space="preserve">,</w:t>
      </w:r>
      <w:r>
        <w:t xml:space="preserve"> </w:t>
      </w:r>
      <w:r>
        <w:rPr>
          <w:rStyle w:val="VerbatimChar"/>
        </w:rPr>
        <w:t xml:space="preserve">@tanstack/react-query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@tanstack/react-query-devtools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sonner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. (Zustand, Axios, shadcn primitives, RHF/Zod arrive in their phases — Zod</w:t>
      </w:r>
      <w:r>
        <w:t xml:space="preserve"> </w:t>
      </w:r>
      <w:r>
        <w:t xml:space="preserve">already present from Phase 0.)</w:t>
      </w:r>
    </w:p>
    <w:p>
      <w:r>
        <w:pict>
          <v:rect style="width:0;height:1.5pt" o:hralign="center" o:hrstd="t" o:hr="t"/>
        </w:pict>
      </w:r>
    </w:p>
    <w:bookmarkEnd w:id="28"/>
    <w:bookmarkStart w:id="29" w:name="implementation-steps"/>
    <w:p>
      <w:pPr>
        <w:pStyle w:val="Heading2"/>
      </w:pPr>
      <w:r>
        <w:t xml:space="preserve">7. Implementation Steps</w:t>
      </w:r>
    </w:p>
    <w:p>
      <w:pPr>
        <w:numPr>
          <w:ilvl w:val="0"/>
          <w:numId w:val="1003"/>
        </w:numPr>
        <w:pStyle w:val="Compact"/>
      </w:pPr>
      <w:r>
        <w:t xml:space="preserve">Install Phase-1 dependencies.</w:t>
      </w:r>
    </w:p>
    <w:p>
      <w:pPr>
        <w:numPr>
          <w:ilvl w:val="0"/>
          <w:numId w:val="1003"/>
        </w:numPr>
        <w:pStyle w:val="Compact"/>
      </w:pPr>
      <w:r>
        <w:t xml:space="preserve">Author the token system 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(</w:t>
      </w:r>
      <w:r>
        <w:rPr>
          <w:rStyle w:val="VerbatimChar"/>
        </w:rPr>
        <w:t xml:space="preserve">:root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@theme inline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@layer base</w:t>
      </w:r>
      <w:r>
        <w:t xml:space="preserve">, typography</w:t>
      </w:r>
      <w:r>
        <w:t xml:space="preserve"> </w:t>
      </w:r>
      <w:r>
        <w:rPr>
          <w:rStyle w:val="VerbatimChar"/>
        </w:rPr>
        <w:t xml:space="preserve">@layer components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.dark</w:t>
      </w:r>
      <w:r>
        <w:t xml:space="preserve"> </w:t>
      </w:r>
      <w:r>
        <w:t xml:space="preserve">skeleton).</w:t>
      </w:r>
    </w:p>
    <w:p>
      <w:pPr>
        <w:numPr>
          <w:ilvl w:val="0"/>
          <w:numId w:val="1003"/>
        </w:numPr>
        <w:pStyle w:val="Compact"/>
      </w:pPr>
      <w:r>
        <w:t xml:space="preserve">Add fonts in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next/font/google</w:t>
      </w:r>
      <w:r>
        <w:t xml:space="preserve"> </w:t>
      </w:r>
      <w:r>
        <w:t xml:space="preserve">→ CSS variables</w:t>
      </w:r>
      <w:r>
        <w:t xml:space="preserve"> </w:t>
      </w:r>
      <w:r>
        <w:rPr>
          <w:rStyle w:val="VerbatimChar"/>
        </w:rPr>
        <w:t xml:space="preserve">--font-sans/-heading/-mono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cn()</w:t>
      </w:r>
      <w:r>
        <w:t xml:space="preserve">, formatters, config (site/routes/query-keys), constants (roles/status), common types.</w:t>
      </w:r>
    </w:p>
    <w:p>
      <w:pPr>
        <w:numPr>
          <w:ilvl w:val="0"/>
          <w:numId w:val="1003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query-client</w:t>
      </w:r>
      <w:r>
        <w:t xml:space="preserve">, the three providers, the sonner Toaster; compose</w:t>
      </w:r>
      <w:r>
        <w:t xml:space="preserve"> </w:t>
      </w:r>
      <w:r>
        <w:rPr>
          <w:rStyle w:val="VerbatimChar"/>
        </w:rPr>
        <w:t xml:space="preserve">AppProviders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Mount providers + fonts in root layout; expand metadata/viewport.</w:t>
      </w:r>
    </w:p>
    <w:p>
      <w:pPr>
        <w:numPr>
          <w:ilvl w:val="0"/>
          <w:numId w:val="1003"/>
        </w:numPr>
        <w:pStyle w:val="Compact"/>
      </w:pPr>
      <w:r>
        <w:t xml:space="preserve">Restyle the boot page to validate tokens render correctly.</w:t>
      </w:r>
    </w:p>
    <w:p>
      <w:pPr>
        <w:numPr>
          <w:ilvl w:val="0"/>
          <w:numId w:val="1003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(lint + typecheck + format) and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; smoke-test runtime.</w:t>
      </w:r>
    </w:p>
    <w:p>
      <w:r>
        <w:pict>
          <v:rect style="width:0;height:1.5pt" o:hralign="center" o:hrstd="t" o:hr="t"/>
        </w:pict>
      </w:r>
    </w:p>
    <w:bookmarkEnd w:id="29"/>
    <w:bookmarkStart w:id="30" w:name="validation-checklist"/>
    <w:p>
      <w:pPr>
        <w:pStyle w:val="Heading2"/>
      </w:pPr>
      <w:r>
        <w:t xml:space="preserve">8. Validation Checklist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bg-primary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text-cta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rounded-card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font-heading</w:t>
      </w:r>
      <w:r>
        <w:t xml:space="preserve"> </w:t>
      </w:r>
      <w:r>
        <w:t xml:space="preserve">all resolve.</w:t>
      </w:r>
    </w:p>
    <w:p>
      <w:pPr>
        <w:numPr>
          <w:ilvl w:val="0"/>
          <w:numId w:val="1004"/>
        </w:numPr>
        <w:pStyle w:val="Compact"/>
      </w:pPr>
      <w:r>
        <w:t xml:space="preserve">☐ Three fonts load with</w:t>
      </w:r>
      <w:r>
        <w:t xml:space="preserve"> </w:t>
      </w:r>
      <w:r>
        <w:rPr>
          <w:rStyle w:val="VerbatimChar"/>
        </w:rPr>
        <w:t xml:space="preserve">display: swap</w:t>
      </w:r>
      <w:r>
        <w:t xml:space="preserve">; no layout shift; headings = Manrope, body = Inter, mono = JetBrains.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cn()</w:t>
      </w:r>
      <w:r>
        <w:t xml:space="preserve"> </w:t>
      </w:r>
      <w:r>
        <w:t xml:space="preserve">dedupes conflicting Tailwind classes correctly.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formatMoney(21795)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৳21,795.00</w:t>
      </w:r>
      <w:r>
        <w:t xml:space="preserve">; dates/relative/percent format per</w:t>
      </w:r>
      <w:r>
        <w:t xml:space="preserve"> </w:t>
      </w:r>
      <w:r>
        <w:rPr>
          <w:rStyle w:val="VerbatimChar"/>
        </w:rPr>
        <w:t xml:space="preserve">en-BD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Providers mounted once at root; Query Devtools appear only in dev; toasts render.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run validate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green; runtime serves 200.</w:t>
      </w:r>
    </w:p>
    <w:p>
      <w:pPr>
        <w:numPr>
          <w:ilvl w:val="0"/>
          <w:numId w:val="1004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; all config strongly typed; tokens documented.</w:t>
      </w:r>
    </w:p>
    <w:bookmarkEnd w:id="30"/>
    <w:bookmarkStart w:id="31" w:name="self-review-criteria"/>
    <w:p>
      <w:pPr>
        <w:pStyle w:val="Heading2"/>
      </w:pPr>
      <w:r>
        <w:t xml:space="preserve">9. Self-Review Criteria</w:t>
      </w:r>
    </w:p>
    <w:p>
      <w:pPr>
        <w:pStyle w:val="FirstParagraph"/>
      </w:pPr>
      <w:r>
        <w:t xml:space="preserve">Architecture (tokens single-sourced) · Code quality/DRY (no duplicated color literals in components —</w:t>
      </w:r>
      <w:r>
        <w:t xml:space="preserve"> </w:t>
      </w:r>
      <w:r>
        <w:t xml:space="preserve">always via tokens) · Type safety (typed routes, query-keys, formatters) · Accessibility (color</w:t>
      </w:r>
      <w:r>
        <w:t xml:space="preserve"> </w:t>
      </w:r>
      <w:r>
        <w:t xml:space="preserve">contrast AA for text tokens; focus ring token) · Performance (font swap, no CLS; QueryClient created</w:t>
      </w:r>
      <w:r>
        <w:t xml:space="preserve"> </w:t>
      </w:r>
      <w:r>
        <w:t xml:space="preserve">per-request safe pattern) · Reusability (formatters/cn/config consumed everywhere) · Security (no</w:t>
      </w:r>
      <w:r>
        <w:t xml:space="preserve"> </w:t>
      </w:r>
      <w:r>
        <w:t xml:space="preserve">secrets; providers client-only where needed).</w:t>
      </w:r>
    </w:p>
    <w:p>
      <w:r>
        <w:pict>
          <v:rect style="width:0;height:1.5pt" o:hralign="center" o:hrstd="t" o:hr="t"/>
        </w:pict>
      </w:r>
    </w:p>
    <w:bookmarkEnd w:id="31"/>
    <w:bookmarkStart w:id="32" w:name="out-of-scope-later-phases"/>
    <w:p>
      <w:pPr>
        <w:pStyle w:val="Heading2"/>
      </w:pPr>
      <w:r>
        <w:t xml:space="preserve">10. Out of Scope (later phases)</w:t>
      </w:r>
    </w:p>
    <w:p>
      <w:pPr>
        <w:pStyle w:val="FirstParagraph"/>
      </w:pPr>
      <w:r>
        <w:t xml:space="preserve">shadcn primitives &amp; component variants (Phase 2) · Axios api-client &amp; services (Phase 3) · auth/session</w:t>
      </w:r>
      <w:r>
        <w:t xml:space="preserve"> </w:t>
      </w:r>
      <w:r>
        <w:t xml:space="preserve">&amp; Zustand stores (Phase 4) · any page/feature UI. Dark-theme visual tuning is deferred (tokens are</w:t>
      </w:r>
      <w:r>
        <w:t xml:space="preserve"> </w:t>
      </w:r>
      <w:r>
        <w:t xml:space="preserve">structured to support it).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FRONTEND_PROJECT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FRONTEND_PROJECT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BuyHat Frontend — Phase 1: Design Foundation &amp; Configuration</dc:title>
  <dc:creator>Principal Frontend Architecture</dc:creator>
  <cp:keywords/>
  <dcterms:created xsi:type="dcterms:W3CDTF">2026-06-27T07:21:12Z</dcterms:created>
  <dcterms:modified xsi:type="dcterms:W3CDTF">2026-06-27T07:21:12Z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2026-06-27</vt:lpwstr>
  </property>
</Properties>
</file>