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5F1046" w:rsidP="21B2E7FA" w:rsidRDefault="375F1046" w14:paraId="45569F1C" w14:textId="10BA043A">
      <w:pPr>
        <w:pStyle w:val="Normal"/>
      </w:pPr>
      <w:r w:rsidR="375F1046">
        <w:rPr/>
        <w:t>Algorytm</w:t>
      </w:r>
      <w:r w:rsidR="3CC472C4">
        <w:rPr/>
        <w:t xml:space="preserve"> poszukuje </w:t>
      </w:r>
      <w:r w:rsidR="227D7BC1">
        <w:rPr/>
        <w:t>rozwiązań</w:t>
      </w:r>
      <w:r w:rsidR="375F1046">
        <w:rPr/>
        <w:t xml:space="preserve"> symetryczn</w:t>
      </w:r>
      <w:r w:rsidR="47BA37FD">
        <w:rPr/>
        <w:t>ego</w:t>
      </w:r>
      <w:r w:rsidR="375F1046">
        <w:rPr/>
        <w:t xml:space="preserve"> problem</w:t>
      </w:r>
      <w:r w:rsidR="5ABBCA8E">
        <w:rPr/>
        <w:t>u</w:t>
      </w:r>
      <w:r w:rsidR="375F1046">
        <w:rPr/>
        <w:t xml:space="preserve"> komiwojażera</w:t>
      </w:r>
      <w:r w:rsidR="048623F7">
        <w:rPr/>
        <w:t xml:space="preserve"> (STSP)</w:t>
      </w:r>
      <w:r w:rsidR="5D377423">
        <w:rPr/>
        <w:t xml:space="preserve"> za pomocą algorytmu mrówkowego. </w:t>
      </w:r>
      <w:r w:rsidR="1575C2F1">
        <w:rPr/>
        <w:t>Główn</w:t>
      </w:r>
      <w:r w:rsidR="401E6703">
        <w:rPr/>
        <w:t xml:space="preserve">a idea </w:t>
      </w:r>
      <w:r w:rsidR="146CB27F">
        <w:rPr/>
        <w:t xml:space="preserve">metaheurystyki </w:t>
      </w:r>
      <w:r w:rsidR="401E6703">
        <w:rPr/>
        <w:t xml:space="preserve">opiera się na budowaniu rozwiązań </w:t>
      </w:r>
      <w:r w:rsidR="351A3FE6">
        <w:rPr/>
        <w:t>poprzez “mrówki”</w:t>
      </w:r>
      <w:r w:rsidR="056D823C">
        <w:rPr/>
        <w:t>, które zostawiają za sobą ślad w postaci feromonu</w:t>
      </w:r>
      <w:r w:rsidR="7A071BB3">
        <w:rPr/>
        <w:t>. W każdej iteracji określona ilość “mrówek” konstruuje rozwiązanie przechodząc z wierzchołka grafu na inny, nieodwiedzony jeszcze wie</w:t>
      </w:r>
      <w:r w:rsidR="6DDCC0D5">
        <w:rPr/>
        <w:t xml:space="preserve">rzchołek. Wybór wierzchołka zostaje dokonany na bazie prawdopodobieństwa obliczanego na podstawie odległości między </w:t>
      </w:r>
      <w:proofErr w:type="gramStart"/>
      <w:r w:rsidR="6DDCC0D5">
        <w:rPr/>
        <w:t>wie</w:t>
      </w:r>
      <w:r w:rsidR="2FADD4AC">
        <w:rPr/>
        <w:t>rz</w:t>
      </w:r>
      <w:r w:rsidR="6DDCC0D5">
        <w:rPr/>
        <w:t>cho</w:t>
      </w:r>
      <w:r w:rsidR="4B9B4272">
        <w:rPr/>
        <w:t>ł</w:t>
      </w:r>
      <w:r w:rsidR="6DDCC0D5">
        <w:rPr/>
        <w:t>kam</w:t>
      </w:r>
      <w:r w:rsidR="261B0FA3">
        <w:rPr/>
        <w:t>i,</w:t>
      </w:r>
      <w:proofErr w:type="gramEnd"/>
      <w:r w:rsidR="261B0FA3">
        <w:rPr/>
        <w:t xml:space="preserve"> oraz feromonu</w:t>
      </w:r>
      <w:r w:rsidR="5978E4D1">
        <w:rPr/>
        <w:t xml:space="preserve"> na tym wierzchołku</w:t>
      </w:r>
      <w:r w:rsidR="261B0FA3">
        <w:rPr/>
        <w:t>.</w:t>
      </w:r>
      <w:r w:rsidR="3E22FF4A">
        <w:rPr/>
        <w:t xml:space="preserve"> Sposób przydzielania feromonu wierzchołkom zależy od implementacji.</w:t>
      </w:r>
      <w:r w:rsidR="02B74C9F">
        <w:rPr/>
        <w:t xml:space="preserve"> Najczęściej zostaje on przydzielony po zakończeniu generowania rozwiązań przez “mrówki”</w:t>
      </w:r>
      <w:r w:rsidR="0F847967">
        <w:rPr/>
        <w:t>.</w:t>
      </w:r>
    </w:p>
    <w:p w:rsidR="6C71306E" w:rsidP="21B2E7FA" w:rsidRDefault="6C71306E" w14:paraId="0405BE1E" w14:textId="4EC60AD3">
      <w:pPr>
        <w:pStyle w:val="Normal"/>
      </w:pPr>
      <w:r w:rsidR="6C71306E">
        <w:rPr/>
        <w:t>Zaimplementowana metaheurystyka opiera się na algorytmie ACS (Ant Colony System).</w:t>
      </w:r>
      <w:r w:rsidR="0E8045B2">
        <w:rPr/>
        <w:t xml:space="preserve"> W tym przypadku feromon jest aktualizowany po każdym kroku wykonanym przez “mrówkę” (tj. przejście z wierzchołka na wierzchołek)</w:t>
      </w:r>
      <w:r w:rsidR="27153ACD">
        <w:rPr/>
        <w:t>. Pozwala to zwiększyć szansę na generowanie różnych rozwiązań przez “mrówki” w pojedynczej iteracji</w:t>
      </w:r>
      <w:r w:rsidR="27161BC5">
        <w:rPr/>
        <w:t xml:space="preserve"> (</w:t>
      </w:r>
      <w:proofErr w:type="spellStart"/>
      <w:r w:rsidR="27161BC5">
        <w:rPr/>
        <w:t>Local</w:t>
      </w:r>
      <w:proofErr w:type="spellEnd"/>
      <w:r w:rsidR="27161BC5">
        <w:rPr/>
        <w:t xml:space="preserve"> update)</w:t>
      </w:r>
      <w:r w:rsidR="27153ACD">
        <w:rPr/>
        <w:t>. Dodatkowo, po</w:t>
      </w:r>
      <w:r w:rsidR="4AEEF6D9">
        <w:rPr/>
        <w:t xml:space="preserve"> wygenerowaniu rozwiązań, feromon</w:t>
      </w:r>
      <w:r w:rsidR="5141EC88">
        <w:rPr/>
        <w:t xml:space="preserve"> </w:t>
      </w:r>
      <w:r w:rsidR="4AEEF6D9">
        <w:rPr/>
        <w:t>zostaje ponownie zaktualizowany</w:t>
      </w:r>
      <w:r w:rsidR="311FD7F0">
        <w:rPr/>
        <w:t xml:space="preserve"> na aktualnie najlepszym rozwiązaniu, zwiększając szansę podążenia tą ścieżką pr</w:t>
      </w:r>
      <w:r w:rsidR="5A507F6F">
        <w:rPr/>
        <w:t>zez “mrówki” w kolejnych iteracjach</w:t>
      </w:r>
      <w:r w:rsidR="4322DE92">
        <w:rPr/>
        <w:t xml:space="preserve"> (Global update)</w:t>
      </w:r>
      <w:r w:rsidR="5A507F6F">
        <w:rPr/>
        <w:t>.</w:t>
      </w:r>
    </w:p>
    <w:p w:rsidR="628B7595" w:rsidP="21B2E7FA" w:rsidRDefault="628B7595" w14:paraId="54BDADBC" w14:textId="3D2D12AD">
      <w:pPr>
        <w:pStyle w:val="Normal"/>
      </w:pPr>
      <w:r w:rsidR="628B7595">
        <w:rPr/>
        <w:t>Wykorzystany jest również współczynnik eksploatacji/eksploracji</w:t>
      </w:r>
      <w:r w:rsidR="03BD351F">
        <w:rPr/>
        <w:t>,</w:t>
      </w:r>
      <w:r w:rsidR="628B7595">
        <w:rPr/>
        <w:t xml:space="preserve"> na bazie którego</w:t>
      </w:r>
      <w:r w:rsidR="3BFB83EC">
        <w:rPr/>
        <w:t xml:space="preserve"> </w:t>
      </w:r>
      <w:r w:rsidR="4C373704">
        <w:rPr/>
        <w:t>“mrówka”</w:t>
      </w:r>
      <w:r w:rsidR="1B4DF685">
        <w:rPr/>
        <w:t xml:space="preserve"> decyduje, czy kolejny wierzchołek zostanie wybrany na bazie prawdopodobieństwa  (eksploracja), czy zostanie wybrany najlepszy kandydat</w:t>
      </w:r>
      <w:r w:rsidR="0FF7F6AB">
        <w:rPr/>
        <w:t xml:space="preserve">: </w:t>
      </w:r>
      <w:r w:rsidR="1B4DF685">
        <w:rPr/>
        <w:t xml:space="preserve">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max</m:t>
              </m:r>
            </m:fName>
            <m:e>
              <m:d>
                <m:dPr>
                  <m:ctrlPr/>
                </m:dPr>
                <m:e>
                  <m:sSubSup>
                    <m:sSubSupPr>
                      <m:ctrlPr/>
                    </m:sSubSupPr>
                    <m:e>
                      <m:r>
                        <m:t>𝜏</m:t>
                      </m:r>
                    </m:e>
                    <m:sub>
                      <m:r>
                        <m:t>𝑗</m:t>
                      </m:r>
                    </m:sub>
                    <m:sup>
                      <m:r>
                        <m:t>𝛼</m:t>
                      </m:r>
                    </m:sup>
                  </m:sSubSup>
                  <m:r>
                    <m:t> ⋅ 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𝑑</m:t>
                                  </m:r>
                                </m:e>
                                <m:sub>
                                  <m:r>
                                    <m:t>𝑖</m:t>
                                  </m:r>
                                  <m:r>
                                    <m:t>,</m:t>
                                  </m:r>
                                  <m:r>
                                    <m:t>𝑗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𝛽</m:t>
                      </m:r>
                    </m:sup>
                  </m:sSup>
                </m:e>
              </m:d>
            </m:e>
          </m:func>
        </m:oMath>
      </m:oMathPara>
      <w:r w:rsidR="0A159269">
        <w:rPr/>
        <w:t xml:space="preserve"> - eksploatacja.</w:t>
      </w:r>
    </w:p>
    <w:p w:rsidR="21B2E7FA" w:rsidP="21B2E7FA" w:rsidRDefault="21B2E7FA" w14:paraId="7C565091" w14:textId="40CF8570">
      <w:pPr>
        <w:pStyle w:val="Normal"/>
      </w:pPr>
    </w:p>
    <w:p w:rsidR="11298669" w:rsidP="21B2E7FA" w:rsidRDefault="11298669" w14:paraId="405967A9" w14:textId="3FE13EB9">
      <w:pPr>
        <w:pStyle w:val="Normal"/>
      </w:pPr>
      <w:r w:rsidR="11298669">
        <w:rPr/>
        <w:t>Feromon obliczany jest na podstawie poniższych wzorów:</w:t>
      </w:r>
    </w:p>
    <w:p w:rsidR="21B2E7FA" w:rsidP="21B2E7FA" w:rsidRDefault="21B2E7FA" w14:paraId="4CE16861" w14:textId="708EF6F0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𝜏</m:t>
              </m:r>
            </m:e>
            <m:sub>
              <m:r>
                <m:t>𝑛𝑒𝑤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𝐸</m:t>
          </m:r>
          <m:r xmlns:m="http://schemas.openxmlformats.org/officeDocument/2006/math">
            <m:t xmlns:m="http://schemas.openxmlformats.org/officeDocument/2006/math"> ⋅ 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𝑛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 + 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𝐸</m:t>
              </m:r>
            </m:e>
          </m:d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𝜏</m:t>
              </m:r>
            </m:e>
            <m:sub>
              <m:r>
                <m:t>𝑜𝑙𝑑</m:t>
              </m:r>
            </m:sub>
          </m:sSub>
        </m:oMath>
      </m:oMathPara>
      <w:r w:rsidR="795274D1">
        <w:rPr/>
        <w:t>,</w:t>
      </w:r>
    </w:p>
    <w:p w:rsidR="795274D1" w:rsidP="21B2E7FA" w:rsidRDefault="795274D1" w14:paraId="19748BF7" w14:textId="0448E69C">
      <w:pPr>
        <w:pStyle w:val="Normal"/>
      </w:pPr>
      <w:r w:rsidR="795274D1">
        <w:rPr/>
        <w:t xml:space="preserve">Gdzie T – feromon, E - współczynnik wyparowania, </w:t>
      </w:r>
    </w:p>
    <w:p w:rsidR="4706BBEF" w:rsidP="21B2E7FA" w:rsidRDefault="4706BBEF" w14:paraId="7F7568CF" w14:textId="4B184E28">
      <w:pPr>
        <w:pStyle w:val="Normal"/>
      </w:pPr>
      <w:r w:rsidR="4706BBEF">
        <w:rPr/>
        <w:t xml:space="preserve">dla </w:t>
      </w:r>
      <w:proofErr w:type="spellStart"/>
      <w:r w:rsidR="5B97D27C">
        <w:rPr/>
        <w:t>Local</w:t>
      </w:r>
      <w:proofErr w:type="spellEnd"/>
      <w:r w:rsidR="5B97D27C">
        <w:rPr/>
        <w:t xml:space="preserve"> update: n - długość rozwiązania algorytmu zachłannego (</w:t>
      </w:r>
      <w:proofErr w:type="spellStart"/>
      <w:r w:rsidR="5B97D27C">
        <w:rPr/>
        <w:t>Nearest</w:t>
      </w:r>
      <w:proofErr w:type="spellEnd"/>
      <w:r w:rsidR="5B97D27C">
        <w:rPr/>
        <w:t xml:space="preserve"> Neighbour)</w:t>
      </w:r>
    </w:p>
    <w:p w:rsidR="5B97D27C" w:rsidP="21B2E7FA" w:rsidRDefault="5B97D27C" w14:paraId="1B8B2975" w14:textId="4B9DF3DE">
      <w:pPr>
        <w:pStyle w:val="Normal"/>
      </w:pPr>
      <w:r w:rsidR="5B97D27C">
        <w:rPr/>
        <w:t xml:space="preserve">Dla Global </w:t>
      </w:r>
      <w:r w:rsidR="5B97D27C">
        <w:rPr/>
        <w:t>Update:</w:t>
      </w:r>
      <w:r w:rsidR="5B97D27C">
        <w:rPr/>
        <w:t xml:space="preserve"> n - długość najlepszego rozwiązania.</w:t>
      </w:r>
    </w:p>
    <w:p w:rsidR="21B2E7FA" w:rsidP="21B2E7FA" w:rsidRDefault="21B2E7FA" w14:paraId="1A56DA28" w14:textId="34976326">
      <w:pPr>
        <w:pStyle w:val="Normal"/>
      </w:pPr>
    </w:p>
    <w:p w:rsidR="21B2E7FA" w:rsidP="21B2E7FA" w:rsidRDefault="21B2E7FA" w14:paraId="58A0A0E6" w14:textId="719879BF">
      <w:pPr>
        <w:pStyle w:val="Normal"/>
      </w:pPr>
    </w:p>
    <w:p w:rsidR="5B97D27C" w:rsidP="21B2E7FA" w:rsidRDefault="5B97D27C" w14:paraId="7E5F084B" w14:textId="36CCE7A7">
      <w:pPr>
        <w:pStyle w:val="Normal"/>
      </w:pPr>
      <w:r w:rsidR="5B97D27C">
        <w:rPr/>
        <w:t>Prawdopodobieństwo obliczanie jest w następujący sposób</w:t>
      </w:r>
      <w:r w:rsidR="18E6FD12">
        <w:rPr/>
        <w:t>:</w:t>
      </w:r>
    </w:p>
    <w:p w:rsidR="21B2E7FA" w:rsidP="21B2E7FA" w:rsidRDefault="21B2E7FA" w14:paraId="26E3DAEB" w14:textId="6A8A5AEB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𝑖</m:t>
              </m:r>
              <m:r>
                <m:t>,</m:t>
              </m:r>
              <m:r>
                <m:t>𝑗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sSubSup>
                <m:sSubSupPr>
                  <m:ctrlPr/>
                </m:sSubSupPr>
                <m:e>
                  <m:r>
                    <m:t>𝜏</m:t>
                  </m:r>
                </m:e>
                <m:sub>
                  <m:r>
                    <m:t>𝑗</m:t>
                  </m:r>
                </m:sub>
                <m:sup>
                  <m:r>
                    <m:t>𝛼</m:t>
                  </m:r>
                </m:sup>
              </m:sSubSup>
              <m:r>
                <m:t> ⋅ 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sSubPr>
                              <m:ctrlPr/>
                            </m:sSubPr>
                            <m:e>
                              <m:r>
                                <m:t>𝑑</m:t>
                              </m:r>
                            </m:e>
                            <m:sub>
                              <m:r>
                                <m:t>𝑖</m:t>
                              </m:r>
                              <m:r>
                                <m:t>,</m:t>
                              </m:r>
                              <m:r>
                                <m:t>𝑗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𝛽</m:t>
                  </m:r>
                </m:sup>
              </m:sSup>
            </m:num>
            <m:den>
              <m:nary>
                <m:naryPr>
                  <m:chr m:val="∑"/>
                  <m:ctrlPr/>
                </m:naryPr>
                <m:sub>
                  <m:r>
                    <m:t>𝑘</m:t>
                  </m:r>
                  <m:r>
                    <m:t> : </m:t>
                  </m:r>
                  <m:r>
                    <m:t>𝑘</m:t>
                  </m:r>
                  <m:r>
                    <m:t> </m:t>
                  </m:r>
                  <m:r>
                    <m:t>∈</m:t>
                  </m:r>
                  <m:r>
                    <m:t> </m:t>
                  </m:r>
                  <m:r>
                    <m:t>𝐹</m:t>
                  </m:r>
                </m:sub>
                <m:sup>
                  <m:r>
                    <m:t>′</m:t>
                  </m:r>
                </m:sup>
                <m:e>
                  <m:sSubSup>
                    <m:sSubSupPr>
                      <m:ctrlPr/>
                    </m:sSubSupPr>
                    <m:e>
                      <m:r>
                        <m:t>𝜏</m:t>
                      </m:r>
                    </m:e>
                    <m:sub>
                      <m:r>
                        <m:t>𝑘</m:t>
                      </m:r>
                    </m:sub>
                    <m:sup>
                      <m:r>
                        <m:t>𝛼</m:t>
                      </m:r>
                    </m:sup>
                  </m:sSubSup>
                </m:e>
              </m:nary>
              <m:r>
                <m:t> ⋅ 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sSubPr>
                              <m:ctrlPr/>
                            </m:sSubPr>
                            <m:e>
                              <m:r>
                                <m:t>𝑑</m:t>
                              </m:r>
                            </m:e>
                            <m:sub>
                              <m:r>
                                <m:t>𝑖</m:t>
                              </m:r>
                              <m:r>
                                <m:t>,</m:t>
                              </m:r>
                              <m:r>
                                <m:t>𝑘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𝛽</m:t>
                  </m:r>
                </m:sup>
              </m:sSup>
            </m:den>
          </m:f>
        </m:oMath>
      </m:oMathPara>
      <w:r w:rsidR="4478B699">
        <w:rPr/>
        <w:t xml:space="preserve"> gdzie: </w:t>
      </w:r>
    </w:p>
    <w:p w:rsidR="4478B699" w:rsidP="21B2E7FA" w:rsidRDefault="4478B699" w14:paraId="673A5118" w14:textId="44C5445A">
      <w:pPr>
        <w:pStyle w:val="Normal"/>
      </w:pPr>
      <w:r w:rsidR="4478B699">
        <w:rPr/>
        <w:t xml:space="preserve">P - prawdopodobieństwo, </w:t>
      </w:r>
    </w:p>
    <w:p w:rsidR="4478B699" w:rsidP="21B2E7FA" w:rsidRDefault="4478B699" w14:paraId="1218C88E" w14:textId="0340998C">
      <w:pPr>
        <w:pStyle w:val="Normal"/>
      </w:pPr>
      <w:r w:rsidR="4478B699">
        <w:rPr/>
        <w:t>A,B – parametry</w:t>
      </w:r>
    </w:p>
    <w:p w:rsidR="4478B699" w:rsidP="21B2E7FA" w:rsidRDefault="4478B699" w14:paraId="5F9D387E" w14:textId="6CE390D0">
      <w:pPr>
        <w:pStyle w:val="Normal"/>
      </w:pPr>
      <w:r w:rsidR="4478B699">
        <w:rPr/>
        <w:t>d - odległość między wierzchołkami i j</w:t>
      </w:r>
    </w:p>
    <w:p w:rsidR="4478B699" w:rsidP="21B2E7FA" w:rsidRDefault="4478B699" w14:paraId="2576180C" w14:textId="5C56318F">
      <w:pPr>
        <w:pStyle w:val="Normal"/>
      </w:pPr>
      <w:r w:rsidR="4478B699">
        <w:rPr/>
        <w:t>F – zbiór nieodwiedzonych wierzchołków połączonych z wierzchołkiem i</w:t>
      </w:r>
    </w:p>
    <w:p w:rsidR="77EA3380" w:rsidP="21B2E7FA" w:rsidRDefault="77EA3380" w14:paraId="3F3B57B5" w14:textId="1B024CE6">
      <w:pPr>
        <w:pStyle w:val="Normal"/>
      </w:pPr>
      <w:r w:rsidR="77EA3380">
        <w:rPr/>
        <w:t>Zaimplementowano również algorytm przeszukiwania lokalnego uzyskanych rozwiązań (algorytm 2-opt), który znacznie poprawia wyniki otr</w:t>
      </w:r>
      <w:r w:rsidR="368F18B2">
        <w:rPr/>
        <w:t>zymywane przez metaheurystykę.</w:t>
      </w:r>
      <w:r w:rsidR="368F18B2">
        <w:rPr/>
        <w:t xml:space="preserve"> </w:t>
      </w:r>
      <w:r w:rsidR="368F18B2">
        <w:rPr/>
        <w:t xml:space="preserve">Podczas uzyskiwania </w:t>
      </w:r>
      <w:r w:rsidR="15E18B4B">
        <w:rPr/>
        <w:t>wyników rankingowych opcja ta została wyłączona.</w:t>
      </w:r>
    </w:p>
    <w:p w:rsidR="21B2E7FA" w:rsidP="21B2E7FA" w:rsidRDefault="21B2E7FA" w14:paraId="1ADF8553" w14:textId="2129AF06">
      <w:pPr>
        <w:pStyle w:val="Normal"/>
      </w:pPr>
    </w:p>
    <w:p w:rsidR="21B2E7FA" w:rsidP="21B2E7FA" w:rsidRDefault="21B2E7FA" w14:paraId="0352A425" w14:textId="629F818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f07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A3922"/>
    <w:rsid w:val="02B74C9F"/>
    <w:rsid w:val="03BD351F"/>
    <w:rsid w:val="03DE5455"/>
    <w:rsid w:val="048623F7"/>
    <w:rsid w:val="056D823C"/>
    <w:rsid w:val="057A24B6"/>
    <w:rsid w:val="07AFF974"/>
    <w:rsid w:val="088A56A1"/>
    <w:rsid w:val="0A159269"/>
    <w:rsid w:val="0D820F6D"/>
    <w:rsid w:val="0DBA0402"/>
    <w:rsid w:val="0E47A4F3"/>
    <w:rsid w:val="0E8045B2"/>
    <w:rsid w:val="0F1DDFCE"/>
    <w:rsid w:val="0F847967"/>
    <w:rsid w:val="0FCB0CA8"/>
    <w:rsid w:val="0FF7F6AB"/>
    <w:rsid w:val="10F1A4C4"/>
    <w:rsid w:val="11298669"/>
    <w:rsid w:val="14294586"/>
    <w:rsid w:val="146CB27F"/>
    <w:rsid w:val="1575C2F1"/>
    <w:rsid w:val="158D2152"/>
    <w:rsid w:val="15E18B4B"/>
    <w:rsid w:val="18E6FD12"/>
    <w:rsid w:val="1A7A3922"/>
    <w:rsid w:val="1B4DF685"/>
    <w:rsid w:val="1BE008B3"/>
    <w:rsid w:val="1DEB7B38"/>
    <w:rsid w:val="1F518BB0"/>
    <w:rsid w:val="1FBFF44C"/>
    <w:rsid w:val="200E9E2E"/>
    <w:rsid w:val="20B379D6"/>
    <w:rsid w:val="21AA6E8F"/>
    <w:rsid w:val="21B2E7FA"/>
    <w:rsid w:val="227D7BC1"/>
    <w:rsid w:val="22F7950E"/>
    <w:rsid w:val="244E075A"/>
    <w:rsid w:val="24D4F7C7"/>
    <w:rsid w:val="261B0FA3"/>
    <w:rsid w:val="262F35D0"/>
    <w:rsid w:val="26411BF1"/>
    <w:rsid w:val="27153ACD"/>
    <w:rsid w:val="27161BC5"/>
    <w:rsid w:val="27DB0780"/>
    <w:rsid w:val="2976D7E1"/>
    <w:rsid w:val="2B02A6F3"/>
    <w:rsid w:val="2B12A842"/>
    <w:rsid w:val="2C9E7754"/>
    <w:rsid w:val="2CED2136"/>
    <w:rsid w:val="2FADD4AC"/>
    <w:rsid w:val="311FD7F0"/>
    <w:rsid w:val="3181E9C6"/>
    <w:rsid w:val="31BC6379"/>
    <w:rsid w:val="34B98A88"/>
    <w:rsid w:val="351A3FE6"/>
    <w:rsid w:val="36555AE9"/>
    <w:rsid w:val="368F18B2"/>
    <w:rsid w:val="371FF430"/>
    <w:rsid w:val="375F1046"/>
    <w:rsid w:val="37F12B4A"/>
    <w:rsid w:val="382FD3DD"/>
    <w:rsid w:val="398CFBAB"/>
    <w:rsid w:val="3A0B8659"/>
    <w:rsid w:val="3B4E4C42"/>
    <w:rsid w:val="3BBBDFFD"/>
    <w:rsid w:val="3BFB83EC"/>
    <w:rsid w:val="3CC472C4"/>
    <w:rsid w:val="3CEA1CA3"/>
    <w:rsid w:val="3CEE7EB8"/>
    <w:rsid w:val="3D43271B"/>
    <w:rsid w:val="3D57B05E"/>
    <w:rsid w:val="3E22FF4A"/>
    <w:rsid w:val="401E6703"/>
    <w:rsid w:val="407AC7DD"/>
    <w:rsid w:val="4322DE92"/>
    <w:rsid w:val="4478B699"/>
    <w:rsid w:val="4512158B"/>
    <w:rsid w:val="4706BBEF"/>
    <w:rsid w:val="47BA37FD"/>
    <w:rsid w:val="48BB1DDE"/>
    <w:rsid w:val="4AEEF6D9"/>
    <w:rsid w:val="4B3F7E8B"/>
    <w:rsid w:val="4B9B4272"/>
    <w:rsid w:val="4C373704"/>
    <w:rsid w:val="4F11920F"/>
    <w:rsid w:val="4F314FCE"/>
    <w:rsid w:val="5141EC88"/>
    <w:rsid w:val="53536537"/>
    <w:rsid w:val="55185F44"/>
    <w:rsid w:val="5978E4D1"/>
    <w:rsid w:val="5A507F6F"/>
    <w:rsid w:val="5ABBCA8E"/>
    <w:rsid w:val="5B97D27C"/>
    <w:rsid w:val="5C5D1BF2"/>
    <w:rsid w:val="5D377423"/>
    <w:rsid w:val="5DF8EC53"/>
    <w:rsid w:val="628B7595"/>
    <w:rsid w:val="62CC5D76"/>
    <w:rsid w:val="64EE8EE5"/>
    <w:rsid w:val="6B8C89BB"/>
    <w:rsid w:val="6C71306E"/>
    <w:rsid w:val="6C733FBC"/>
    <w:rsid w:val="6C785F28"/>
    <w:rsid w:val="6DDCC0D5"/>
    <w:rsid w:val="6E0AE13D"/>
    <w:rsid w:val="6E0F101D"/>
    <w:rsid w:val="712A56BC"/>
    <w:rsid w:val="723A73D2"/>
    <w:rsid w:val="72E28140"/>
    <w:rsid w:val="72E7A0AC"/>
    <w:rsid w:val="7461F77E"/>
    <w:rsid w:val="75AA0929"/>
    <w:rsid w:val="76A612B6"/>
    <w:rsid w:val="77EA3380"/>
    <w:rsid w:val="784440F7"/>
    <w:rsid w:val="7851E466"/>
    <w:rsid w:val="795274D1"/>
    <w:rsid w:val="79D18E04"/>
    <w:rsid w:val="7A071BB3"/>
    <w:rsid w:val="7A4156D7"/>
    <w:rsid w:val="7B7983D9"/>
    <w:rsid w:val="7D10F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3922"/>
  <w15:chartTrackingRefBased/>
  <w15:docId w15:val="{CB4ED9E3-EA66-49A5-BA2F-279F96AD85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6130e87b1848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2023-01-14T12:43:22.2129596Z</dcterms:created>
  <dcterms:modified xsi:type="dcterms:W3CDTF">2023-01-14T14:37:41.3166575Z</dcterms:modified>
  <dc:creator>Bartosz Nowak</dc:creator>
  <lastModifiedBy>Bartosz Nowak</lastModifiedBy>
</coreProperties>
</file>