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600"/>
      </w:pPr>
    </w:p>
    <w:p>
      <w:pPr>
        <w:jc w:val="center"/>
      </w:pPr>
      <w:r>
        <w:rPr>
          <w:b/>
          <w:bCs/>
          <w:color w:val="1F4E79"/>
          <w:sz w:val="72"/>
          <w:szCs w:val="72"/>
        </w:rPr>
        <w:t xml:space="preserve">ShipLync</w:t>
      </w:r>
    </w:p>
    <w:p>
      <w:pPr>
        <w:spacing w:after="80" w:before="120"/>
        <w:jc w:val="center"/>
      </w:pPr>
      <w:r>
        <w:rPr>
          <w:color w:val="444444"/>
          <w:sz w:val="30"/>
          <w:szCs w:val="30"/>
        </w:rPr>
        <w:t xml:space="preserve">AI-Assisted Courier &amp; Logistics Management Platform</w:t>
      </w:r>
    </w:p>
    <w:p>
      <w:pPr>
        <w:spacing w:after="600" w:before="40"/>
        <w:jc w:val="center"/>
      </w:pPr>
      <w:r>
        <w:rPr>
          <w:b/>
          <w:bCs/>
          <w:sz w:val="36"/>
          <w:szCs w:val="36"/>
        </w:rPr>
        <w:t xml:space="preserve">User Manual</w:t>
      </w:r>
    </w:p>
    <w:p>
      <w:pPr>
        <w:spacing w:after="40"/>
        <w:jc w:val="center"/>
      </w:pPr>
      <w:r>
        <w:rPr>
          <w:sz w:val="24"/>
          <w:szCs w:val="24"/>
        </w:rPr>
        <w:t xml:space="preserve">CSE312 — Software Engineering</w:t>
      </w:r>
    </w:p>
    <w:p>
      <w:pPr>
        <w:spacing w:after="600"/>
        <w:jc w:val="center"/>
      </w:pPr>
      <w:r>
        <w:rPr>
          <w:sz w:val="24"/>
          <w:szCs w:val="24"/>
        </w:rPr>
        <w:t xml:space="preserve">Indian Institute of Information Technology, Kottayam</w:t>
      </w:r>
    </w:p>
    <w:p>
      <w:pPr>
        <w:spacing w:after="160"/>
        <w:jc w:val="center"/>
      </w:pPr>
      <w:r>
        <w:rPr>
          <w:b/>
          <w:bCs/>
          <w:sz w:val="26"/>
          <w:szCs w:val="26"/>
        </w:rPr>
        <w:t xml:space="preserve">Team Members</w:t>
      </w:r>
    </w:p>
    <w:tbl>
      <w:tblPr>
        <w:tblW w:type="dxa" w:w="7500"/>
        <w:tblBorders>
          <w:top w:val="single" w:color="auto" w:sz="4"/>
          <w:left w:val="single" w:color="auto" w:sz="4"/>
          <w:bottom w:val="single" w:color="auto" w:sz="4"/>
          <w:right w:val="single" w:color="auto" w:sz="4"/>
          <w:insideH w:val="single" w:color="auto" w:sz="4"/>
          <w:insideV w:val="single" w:color="auto" w:sz="4"/>
        </w:tblBorders>
      </w:tblPr>
      <w:tblGrid>
        <w:gridCol w:w="4500"/>
        <w:gridCol w:w="3000"/>
      </w:tblGrid>
      <w:tr>
        <w:trPr>
          <w:tblHeader/>
        </w:trPr>
        <w:tc>
          <w:tcPr>
            <w:tcW w:type="dxa" w:w="4500"/>
            <w:shd w:fill="1F4E79" w:val="clear"/>
            <w:tcMar>
              <w:top w:type="dxa" w:w="80"/>
              <w:left w:type="dxa" w:w="120"/>
              <w:bottom w:type="dxa" w:w="80"/>
              <w:right w:type="dxa" w:w="120"/>
            </w:tcMar>
            <w:vAlign w:val="center"/>
          </w:tcPr>
          <w:p>
            <w:r>
              <w:rPr>
                <w:b/>
                <w:bCs/>
                <w:color w:val="FFFFFF"/>
                <w:sz w:val="20"/>
                <w:szCs w:val="20"/>
              </w:rPr>
              <w:t xml:space="preserve">Name</w:t>
            </w:r>
          </w:p>
        </w:tc>
        <w:tc>
          <w:tcPr>
            <w:tcW w:type="dxa" w:w="3000"/>
            <w:shd w:fill="1F4E79" w:val="clear"/>
            <w:tcMar>
              <w:top w:type="dxa" w:w="80"/>
              <w:left w:type="dxa" w:w="120"/>
              <w:bottom w:type="dxa" w:w="80"/>
              <w:right w:type="dxa" w:w="120"/>
            </w:tcMar>
            <w:vAlign w:val="center"/>
          </w:tcPr>
          <w:p>
            <w:r>
              <w:rPr>
                <w:b/>
                <w:bCs/>
                <w:color w:val="FFFFFF"/>
                <w:sz w:val="20"/>
                <w:szCs w:val="20"/>
              </w:rPr>
              <w:t xml:space="preserve">Roll Number</w:t>
            </w:r>
          </w:p>
        </w:tc>
      </w:tr>
      <w:tr>
        <w:trPr>
          <w:tblHeader w:val="false"/>
        </w:trPr>
        <w:tc>
          <w:tcPr>
            <w:tcW w:type="dxa" w:w="4500"/>
            <w:tcMar>
              <w:top w:type="dxa" w:w="80"/>
              <w:left w:type="dxa" w:w="120"/>
              <w:bottom w:type="dxa" w:w="80"/>
              <w:right w:type="dxa" w:w="120"/>
            </w:tcMar>
            <w:vAlign w:val="center"/>
          </w:tcPr>
          <w:p>
            <w:r>
              <w:rPr>
                <w:b w:val="false"/>
                <w:bCs w:val="false"/>
                <w:color w:val="000000"/>
                <w:sz w:val="20"/>
                <w:szCs w:val="20"/>
              </w:rPr>
              <w:t xml:space="preserve">Anita George</w:t>
            </w:r>
          </w:p>
        </w:tc>
        <w:tc>
          <w:tcPr>
            <w:tcW w:type="dxa" w:w="3000"/>
            <w:tcMar>
              <w:top w:type="dxa" w:w="80"/>
              <w:left w:type="dxa" w:w="120"/>
              <w:bottom w:type="dxa" w:w="80"/>
              <w:right w:type="dxa" w:w="120"/>
            </w:tcMar>
            <w:vAlign w:val="center"/>
          </w:tcPr>
          <w:p>
            <w:r>
              <w:rPr>
                <w:b w:val="false"/>
                <w:bCs w:val="false"/>
                <w:color w:val="000000"/>
                <w:sz w:val="20"/>
                <w:szCs w:val="20"/>
              </w:rPr>
              <w:t xml:space="preserve">2024BCS0072</w:t>
            </w:r>
          </w:p>
        </w:tc>
      </w:tr>
      <w:tr>
        <w:trPr>
          <w:tblHeader w:val="false"/>
        </w:trPr>
        <w:tc>
          <w:tcPr>
            <w:tcW w:type="dxa" w:w="4500"/>
            <w:tcMar>
              <w:top w:type="dxa" w:w="80"/>
              <w:left w:type="dxa" w:w="120"/>
              <w:bottom w:type="dxa" w:w="80"/>
              <w:right w:type="dxa" w:w="120"/>
            </w:tcMar>
            <w:vAlign w:val="center"/>
          </w:tcPr>
          <w:p>
            <w:r>
              <w:rPr>
                <w:b w:val="false"/>
                <w:bCs w:val="false"/>
                <w:color w:val="000000"/>
                <w:sz w:val="20"/>
                <w:szCs w:val="20"/>
              </w:rPr>
              <w:t xml:space="preserve">Lestlin Robins</w:t>
            </w:r>
          </w:p>
        </w:tc>
        <w:tc>
          <w:tcPr>
            <w:tcW w:type="dxa" w:w="3000"/>
            <w:tcMar>
              <w:top w:type="dxa" w:w="80"/>
              <w:left w:type="dxa" w:w="120"/>
              <w:bottom w:type="dxa" w:w="80"/>
              <w:right w:type="dxa" w:w="120"/>
            </w:tcMar>
            <w:vAlign w:val="center"/>
          </w:tcPr>
          <w:p>
            <w:r>
              <w:rPr>
                <w:b w:val="false"/>
                <w:bCs w:val="false"/>
                <w:color w:val="000000"/>
                <w:sz w:val="20"/>
                <w:szCs w:val="20"/>
              </w:rPr>
              <w:t xml:space="preserve">2024BCS0060</w:t>
            </w:r>
          </w:p>
        </w:tc>
      </w:tr>
      <w:tr>
        <w:trPr>
          <w:tblHeader w:val="false"/>
        </w:trPr>
        <w:tc>
          <w:tcPr>
            <w:tcW w:type="dxa" w:w="4500"/>
            <w:tcMar>
              <w:top w:type="dxa" w:w="80"/>
              <w:left w:type="dxa" w:w="120"/>
              <w:bottom w:type="dxa" w:w="80"/>
              <w:right w:type="dxa" w:w="120"/>
            </w:tcMar>
            <w:vAlign w:val="center"/>
          </w:tcPr>
          <w:p>
            <w:r>
              <w:rPr>
                <w:b w:val="false"/>
                <w:bCs w:val="false"/>
                <w:color w:val="000000"/>
                <w:sz w:val="20"/>
                <w:szCs w:val="20"/>
              </w:rPr>
              <w:t xml:space="preserve">Amey Prasad</w:t>
            </w:r>
          </w:p>
        </w:tc>
        <w:tc>
          <w:tcPr>
            <w:tcW w:type="dxa" w:w="3000"/>
            <w:tcMar>
              <w:top w:type="dxa" w:w="80"/>
              <w:left w:type="dxa" w:w="120"/>
              <w:bottom w:type="dxa" w:w="80"/>
              <w:right w:type="dxa" w:w="120"/>
            </w:tcMar>
            <w:vAlign w:val="center"/>
          </w:tcPr>
          <w:p>
            <w:r>
              <w:rPr>
                <w:b w:val="false"/>
                <w:bCs w:val="false"/>
                <w:color w:val="000000"/>
                <w:sz w:val="20"/>
                <w:szCs w:val="20"/>
              </w:rPr>
              <w:t xml:space="preserve">2024BCS0036</w:t>
            </w:r>
          </w:p>
        </w:tc>
      </w:tr>
      <w:tr>
        <w:trPr>
          <w:tblHeader w:val="false"/>
        </w:trPr>
        <w:tc>
          <w:tcPr>
            <w:tcW w:type="dxa" w:w="4500"/>
            <w:tcMar>
              <w:top w:type="dxa" w:w="80"/>
              <w:left w:type="dxa" w:w="120"/>
              <w:bottom w:type="dxa" w:w="80"/>
              <w:right w:type="dxa" w:w="120"/>
            </w:tcMar>
            <w:vAlign w:val="center"/>
          </w:tcPr>
          <w:p>
            <w:r>
              <w:rPr>
                <w:b w:val="false"/>
                <w:bCs w:val="false"/>
                <w:color w:val="000000"/>
                <w:sz w:val="20"/>
                <w:szCs w:val="20"/>
              </w:rPr>
              <w:t xml:space="preserve">Abhinav Jayan</w:t>
            </w:r>
          </w:p>
        </w:tc>
        <w:tc>
          <w:tcPr>
            <w:tcW w:type="dxa" w:w="3000"/>
            <w:tcMar>
              <w:top w:type="dxa" w:w="80"/>
              <w:left w:type="dxa" w:w="120"/>
              <w:bottom w:type="dxa" w:w="80"/>
              <w:right w:type="dxa" w:w="120"/>
            </w:tcMar>
            <w:vAlign w:val="center"/>
          </w:tcPr>
          <w:p>
            <w:r>
              <w:rPr>
                <w:b w:val="false"/>
                <w:bCs w:val="false"/>
                <w:color w:val="000000"/>
                <w:sz w:val="20"/>
                <w:szCs w:val="20"/>
              </w:rPr>
              <w:t xml:space="preserve">2024BCS0044</w:t>
            </w:r>
          </w:p>
        </w:tc>
      </w:tr>
    </w:tbl>
    <w:p>
      <w:pPr>
        <w:spacing w:before="800"/>
        <w:jc w:val="center"/>
      </w:pPr>
      <w:r>
        <w:rPr>
          <w:color w:val="666666"/>
          <w:sz w:val="22"/>
          <w:szCs w:val="22"/>
        </w:rPr>
        <w:t xml:space="preserve">September 2026</w:t>
      </w:r>
    </w:p>
    <w:p>
      <w:r>
        <w:br w:type="page"/>
      </w:r>
    </w:p>
    <w:p>
      <w:pPr>
        <w:pStyle w:val="Heading1"/>
        <w:spacing w:after="200" w:before="400"/>
      </w:pPr>
      <w:r>
        <w:t xml:space="preserve">Table of Contents</w:t>
      </w:r>
    </w:p>
    <w:sdt>
      <w:sdtPr>
        <w:alias w:val="Table of Contents"/>
      </w:sdtPr>
      <w:sdtContent>
        <w:p>
          <w:r>
            <w:fldChar w:fldCharType="begin" w:dirty="true"/>
            <w:instrText xml:space="preserve">TOC \h \o "1-2"</w:instrText>
            <w:fldChar w:fldCharType="separate"/>
          </w:r>
        </w:p>
        <w:p>
          <w:r>
            <w:fldChar w:fldCharType="end"/>
          </w:r>
        </w:p>
      </w:sdtContent>
    </w:sdt>
    <w:p>
      <w:r>
        <w:br w:type="page"/>
      </w:r>
    </w:p>
    <w:p>
      <w:pPr>
        <w:pStyle w:val="Heading1"/>
        <w:spacing w:after="200" w:before="400"/>
      </w:pPr>
      <w:r>
        <w:t xml:space="preserve">1. Introduction</w:t>
      </w:r>
    </w:p>
    <w:p>
      <w:pPr>
        <w:pStyle w:val="Heading2"/>
        <w:spacing w:after="140" w:before="280"/>
      </w:pPr>
      <w:r>
        <w:t xml:space="preserve">1.1 Overview</w:t>
      </w:r>
    </w:p>
    <w:p>
      <w:pPr>
        <w:spacing w:after="160"/>
      </w:pPr>
      <w:r>
        <w:t xml:space="preserve">ShipLync is a web-based courier and logistics management platform that digitizes the full lifecycle of a shipment — from booking and hub intake, through in-transit tracking and last-mile delivery, to exception handling and returns. It was built as a course project for CSE312 (Software Engineering) at IIIT Kottayam, and is modelled on commercial logistics products such as FedEx, DHL, Delhivery, and Uber's driver/dispatch tooling.</w:t>
      </w:r>
    </w:p>
    <w:p>
      <w:pPr>
        <w:pStyle w:val="Heading2"/>
        <w:spacing w:after="140" w:before="280"/>
      </w:pPr>
      <w:r>
        <w:t xml:space="preserve">1.2 Purpose of the System</w:t>
      </w:r>
    </w:p>
    <w:p>
      <w:pPr>
        <w:spacing w:after="160"/>
      </w:pPr>
      <w:r>
        <w:t xml:space="preserve">The system replaces manual, spreadsheet- or phone-call-driven shipment coordination with a single platform where customers can book and track shipments, hub staff can process intake/dispatch/inter-hub transfers, delivery partners can manage their delivery rounds, and administrators can monitor the entire network, fleet, and exceptions from one dashboard. It also automates several decisions that are normally manual, such as:</w:t>
      </w:r>
    </w:p>
    <w:p>
      <w:pPr>
        <w:pStyle w:val="ListParagraph"/>
        <w:numPr>
          <w:ilvl w:val="0"/>
          <w:numId w:val="2"/>
        </w:numPr>
        <w:spacing w:after="80"/>
      </w:pPr>
      <w:r>
        <w:t xml:space="preserve">Estimating delivery time using real distance, floor count, and security-checkpoint delays at the destination.</w:t>
      </w:r>
    </w:p>
    <w:p>
      <w:pPr>
        <w:pStyle w:val="ListParagraph"/>
        <w:numPr>
          <w:ilvl w:val="0"/>
          <w:numId w:val="2"/>
        </w:numPr>
        <w:spacing w:after="80"/>
      </w:pPr>
      <w:r>
        <w:t xml:space="preserve">Automatically escalating the priority of medical and elderly-care shipments.</w:t>
      </w:r>
    </w:p>
    <w:p>
      <w:pPr>
        <w:pStyle w:val="ListParagraph"/>
        <w:numPr>
          <w:ilvl w:val="0"/>
          <w:numId w:val="2"/>
        </w:numPr>
        <w:spacing w:after="80"/>
      </w:pPr>
      <w:r>
        <w:t xml:space="preserve">Periodically scanning all active shipments for problems (stuck in one place, overdue, or repeatedly failed) and raising exceptions automatically.</w:t>
      </w:r>
    </w:p>
    <w:p>
      <w:pPr>
        <w:pStyle w:val="Heading2"/>
        <w:spacing w:after="140" w:before="280"/>
      </w:pPr>
      <w:r>
        <w:t xml:space="preserve">1.3 Intended Users</w:t>
      </w:r>
    </w:p>
    <w:p>
      <w:pPr>
        <w:pStyle w:val="ListParagraph"/>
        <w:numPr>
          <w:ilvl w:val="0"/>
          <w:numId w:val="2"/>
        </w:numPr>
        <w:spacing w:after="80"/>
      </w:pPr>
      <w:r>
        <w:rPr>
          <w:b/>
          <w:bCs/>
        </w:rPr>
        <w:t xml:space="preserve">Customers: </w:t>
      </w:r>
      <w:r>
        <w:t xml:space="preserve">individuals or businesses who book shipments, track their packages, manage saved addresses, and view invoices/payment history.</w:t>
      </w:r>
    </w:p>
    <w:p>
      <w:pPr>
        <w:pStyle w:val="ListParagraph"/>
        <w:numPr>
          <w:ilvl w:val="0"/>
          <w:numId w:val="2"/>
        </w:numPr>
        <w:spacing w:after="80"/>
      </w:pPr>
      <w:r>
        <w:rPr>
          <w:b/>
          <w:bCs/>
        </w:rPr>
        <w:t xml:space="preserve">Delivery Partners: </w:t>
      </w:r>
      <w:r>
        <w:t xml:space="preserve">field agents/drivers who view their assigned deliveries, navigate their route, and record delivery outcomes (delivered / failed).</w:t>
      </w:r>
    </w:p>
    <w:p>
      <w:pPr>
        <w:pStyle w:val="ListParagraph"/>
        <w:numPr>
          <w:ilvl w:val="0"/>
          <w:numId w:val="2"/>
        </w:numPr>
        <w:spacing w:after="80"/>
      </w:pPr>
      <w:r>
        <w:rPr>
          <w:b/>
          <w:bCs/>
        </w:rPr>
        <w:t xml:space="preserve">Hub Staff: </w:t>
      </w:r>
      <w:r>
        <w:t xml:space="preserve">operations personnel at a sorting/dispatch hub who scan incoming shipments, dispatch them to delivery partners, and manage transfers between hubs.</w:t>
      </w:r>
    </w:p>
    <w:p>
      <w:pPr>
        <w:pStyle w:val="ListParagraph"/>
        <w:numPr>
          <w:ilvl w:val="0"/>
          <w:numId w:val="2"/>
        </w:numPr>
        <w:spacing w:after="80"/>
      </w:pPr>
      <w:r>
        <w:rPr>
          <w:b/>
          <w:bCs/>
        </w:rPr>
        <w:t xml:space="preserve">Administrators: </w:t>
      </w:r>
      <w:r>
        <w:t xml:space="preserve">platform owners/operations managers who oversee shipments, agents, hubs, the vehicle fleet, exceptions, analytics, and system settings across the whole network.</w:t>
      </w:r>
    </w:p>
    <w:p>
      <w:r>
        <w:br w:type="page"/>
      </w:r>
    </w:p>
    <w:p>
      <w:pPr>
        <w:pStyle w:val="Heading1"/>
        <w:spacing w:after="200" w:before="400"/>
      </w:pPr>
      <w:r>
        <w:t xml:space="preserve">2. System Requirements</w:t>
      </w:r>
    </w:p>
    <w:p>
      <w:pPr>
        <w:pStyle w:val="Heading2"/>
        <w:spacing w:after="140" w:before="280"/>
      </w:pPr>
      <w:r>
        <w:t xml:space="preserve">2.1 Hardware Requirements</w:t>
      </w:r>
    </w:p>
    <w:p>
      <w:pPr>
        <w:spacing w:after="160"/>
      </w:pPr>
      <w:r>
        <w:t xml:space="preserve">No special hardware is required. Any laptop, desktop, or smartphone capable of running a modern web browser is sufficient.</w:t>
      </w:r>
    </w:p>
    <w:p>
      <w:pPr>
        <w:pStyle w:val="ListParagraph"/>
        <w:numPr>
          <w:ilvl w:val="0"/>
          <w:numId w:val="2"/>
        </w:numPr>
        <w:spacing w:after="80"/>
      </w:pPr>
      <w:r>
        <w:t xml:space="preserve">A camera is required only for the Hub Staff "scan to intake" feature, which uses the device camera to read shipment barcodes.</w:t>
      </w:r>
    </w:p>
    <w:p>
      <w:pPr>
        <w:pStyle w:val="ListParagraph"/>
        <w:numPr>
          <w:ilvl w:val="0"/>
          <w:numId w:val="2"/>
        </w:numPr>
        <w:spacing w:after="80"/>
      </w:pPr>
      <w:r>
        <w:t xml:space="preserve">A stable internet connection is required, since ShipLync is a server-backed web application (no offline mode).</w:t>
      </w:r>
    </w:p>
    <w:p>
      <w:pPr>
        <w:pStyle w:val="Heading2"/>
        <w:spacing w:after="140" w:before="280"/>
      </w:pPr>
      <w:r>
        <w:t xml:space="preserve">2.2 Software Requirements (for end users)</w:t>
      </w:r>
    </w:p>
    <w:p>
      <w:pPr>
        <w:pStyle w:val="ListParagraph"/>
        <w:numPr>
          <w:ilvl w:val="0"/>
          <w:numId w:val="2"/>
        </w:numPr>
        <w:spacing w:after="80"/>
      </w:pPr>
      <w:r>
        <w:t xml:space="preserve">A modern web browser: Google Chrome, Microsoft Edge, Mozilla Firefox, or Safari (latest two versions recommended).</w:t>
      </w:r>
    </w:p>
    <w:p>
      <w:pPr>
        <w:pStyle w:val="ListParagraph"/>
        <w:numPr>
          <w:ilvl w:val="0"/>
          <w:numId w:val="2"/>
        </w:numPr>
        <w:spacing w:after="80"/>
      </w:pPr>
      <w:r>
        <w:t xml:space="preserve">JavaScript must be enabled (the application is a single-page web app).</w:t>
      </w:r>
    </w:p>
    <w:p>
      <w:pPr>
        <w:pStyle w:val="Heading2"/>
        <w:spacing w:after="140" w:before="280"/>
      </w:pPr>
      <w:r>
        <w:t xml:space="preserve">2.3 Browser / Platform Requirements</w:t>
      </w:r>
    </w:p>
    <w:p>
      <w:pPr>
        <w:spacing w:after="160"/>
      </w:pPr>
      <w:r>
        <w:t xml:space="preserve">The Customer, Hub Staff, and Administrator portals are optimized for desktop/laptop screens (they use a fixed sidebar layout). The Delivery Partner portal is mobile-first, with a bottom tab bar designed for use on a phone while on delivery rounds, though it also works on a desktop browser.</w:t>
      </w:r>
    </w:p>
    <w:p>
      <w:pPr>
        <w:pStyle w:val="Heading2"/>
        <w:spacing w:after="140" w:before="280"/>
      </w:pPr>
      <w:r>
        <w:t xml:space="preserve">2.4 Requirements for Running/Deploying the System (developers)</w:t>
      </w:r>
    </w:p>
    <w:p>
      <w:pPr>
        <w:spacing w:after="160"/>
      </w:pPr>
      <w:r>
        <w:t xml:space="preserve">These requirements apply only to someone installing or hosting the application, not to end users of a deployed instance:</w:t>
      </w:r>
    </w:p>
    <w:p>
      <w:pPr>
        <w:pStyle w:val="ListParagraph"/>
        <w:numPr>
          <w:ilvl w:val="0"/>
          <w:numId w:val="2"/>
        </w:numPr>
        <w:spacing w:after="80"/>
      </w:pPr>
      <w:r>
        <w:t xml:space="preserve">Node.js (project developed and tested on Node.js v22).</w:t>
      </w:r>
    </w:p>
    <w:p>
      <w:pPr>
        <w:pStyle w:val="ListParagraph"/>
        <w:numPr>
          <w:ilvl w:val="0"/>
          <w:numId w:val="2"/>
        </w:numPr>
        <w:spacing w:after="80"/>
      </w:pPr>
      <w:r>
        <w:t xml:space="preserve">npm (comes bundled with Node.js) — used to install dependencies and run scripts.</w:t>
      </w:r>
    </w:p>
    <w:p>
      <w:pPr>
        <w:pStyle w:val="ListParagraph"/>
        <w:numPr>
          <w:ilvl w:val="0"/>
          <w:numId w:val="2"/>
        </w:numPr>
        <w:spacing w:after="80"/>
      </w:pPr>
      <w:r>
        <w:t xml:space="preserve">A PostgreSQL database. The project is designed to use a Supabase-hosted Postgres instance, but any PostgreSQL database will work.</w:t>
      </w:r>
    </w:p>
    <w:p>
      <w:pPr>
        <w:pStyle w:val="ListParagraph"/>
        <w:numPr>
          <w:ilvl w:val="0"/>
          <w:numId w:val="2"/>
        </w:numPr>
        <w:spacing w:after="80"/>
      </w:pPr>
      <w:r>
        <w:t xml:space="preserve">A ".env" file with the environment variables described in Section 3.</w:t>
      </w:r>
    </w:p>
    <w:p>
      <w:r>
        <w:br w:type="page"/>
      </w:r>
    </w:p>
    <w:p>
      <w:pPr>
        <w:pStyle w:val="Heading1"/>
        <w:spacing w:after="200" w:before="400"/>
      </w:pPr>
      <w:r>
        <w:t xml:space="preserve">3. Installation / Setup</w:t>
      </w:r>
    </w:p>
    <w:p>
      <w:pPr>
        <w:spacing w:after="160"/>
      </w:pPr>
      <w:r>
        <w:t xml:space="preserve">This section explains how to set up and run ShipLync locally. End users of an already-deployed instance can skip directly to Section 4 and simply open the application's URL in a browser.</w:t>
      </w:r>
    </w:p>
    <w:p>
      <w:pPr>
        <w:pStyle w:val="Heading2"/>
        <w:spacing w:after="140" w:before="280"/>
      </w:pPr>
      <w:r>
        <w:t xml:space="preserve">3.1 Clone the Repository</w:t>
      </w:r>
    </w:p>
    <w:p>
      <w:pPr>
        <w:pBdr>
          <w:top w:val="single" w:color="CCCCCC" w:sz="2"/>
          <w:bottom w:val="single" w:color="CCCCCC" w:sz="2"/>
          <w:left w:val="single" w:color="CCCCCC" w:sz="2"/>
          <w:right w:val="single" w:color="CCCCCC" w:sz="2"/>
        </w:pBdr>
        <w:shd w:fill="F2F2F2" w:val="clear"/>
        <w:spacing w:after="160"/>
      </w:pPr>
      <w:r>
        <w:rPr>
          <w:rFonts w:ascii="Consolas" w:cs="Consolas" w:eastAsia="Consolas" w:hAnsi="Consolas"/>
          <w:sz w:val="20"/>
          <w:szCs w:val="20"/>
        </w:rPr>
        <w:t xml:space="preserve">git clone &lt;repository-url&gt;
cd shiplync-ai-logistics</w:t>
      </w:r>
    </w:p>
    <w:p>
      <w:pPr>
        <w:pStyle w:val="Heading2"/>
        <w:spacing w:after="140" w:before="280"/>
      </w:pPr>
      <w:r>
        <w:t xml:space="preserve">3.2 Install Dependencies</w:t>
      </w:r>
    </w:p>
    <w:p>
      <w:pPr>
        <w:pBdr>
          <w:top w:val="single" w:color="CCCCCC" w:sz="2"/>
          <w:bottom w:val="single" w:color="CCCCCC" w:sz="2"/>
          <w:left w:val="single" w:color="CCCCCC" w:sz="2"/>
          <w:right w:val="single" w:color="CCCCCC" w:sz="2"/>
        </w:pBdr>
        <w:shd w:fill="F2F2F2" w:val="clear"/>
        <w:spacing w:after="160"/>
      </w:pPr>
      <w:r>
        <w:rPr>
          <w:rFonts w:ascii="Consolas" w:cs="Consolas" w:eastAsia="Consolas" w:hAnsi="Consolas"/>
          <w:sz w:val="20"/>
          <w:szCs w:val="20"/>
        </w:rPr>
        <w:t xml:space="preserve">npm i</w:t>
      </w:r>
    </w:p>
    <w:p>
      <w:pPr>
        <w:pStyle w:val="Heading2"/>
        <w:spacing w:after="140" w:before="280"/>
      </w:pPr>
      <w:r>
        <w:t xml:space="preserve">3.3 Configure Environment Variables</w:t>
      </w:r>
    </w:p>
    <w:p>
      <w:pPr>
        <w:spacing w:after="160"/>
      </w:pPr>
      <w:r>
        <w:t xml:space="preserve">Copy the provided ".env.example" file to ".env" and fill in the following values: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200"/>
        <w:gridCol w:w="6300"/>
      </w:tblGrid>
      <w:tr>
        <w:trPr>
          <w:tblHeader/>
        </w:trPr>
        <w:tc>
          <w:tcPr>
            <w:tcW w:type="dxa" w:w="3200"/>
            <w:shd w:fill="1F4E79" w:val="clear"/>
            <w:tcMar>
              <w:top w:type="dxa" w:w="80"/>
              <w:left w:type="dxa" w:w="120"/>
              <w:bottom w:type="dxa" w:w="80"/>
              <w:right w:type="dxa" w:w="120"/>
            </w:tcMar>
            <w:vAlign w:val="center"/>
          </w:tcPr>
          <w:p>
            <w:r>
              <w:rPr>
                <w:b/>
                <w:bCs/>
                <w:color w:val="FFFFFF"/>
                <w:sz w:val="20"/>
                <w:szCs w:val="20"/>
              </w:rPr>
              <w:t xml:space="preserve">Variable</w:t>
            </w:r>
          </w:p>
        </w:tc>
        <w:tc>
          <w:tcPr>
            <w:tcW w:type="dxa" w:w="6300"/>
            <w:shd w:fill="1F4E79" w:val="clear"/>
            <w:tcMar>
              <w:top w:type="dxa" w:w="80"/>
              <w:left w:type="dxa" w:w="120"/>
              <w:bottom w:type="dxa" w:w="80"/>
              <w:right w:type="dxa" w:w="120"/>
            </w:tcMar>
            <w:vAlign w:val="center"/>
          </w:tcPr>
          <w:p>
            <w:r>
              <w:rPr>
                <w:b/>
                <w:bCs/>
                <w:color w:val="FFFFFF"/>
                <w:sz w:val="20"/>
                <w:szCs w:val="20"/>
              </w:rPr>
              <w:t xml:space="preserve">Purpose</w:t>
            </w:r>
          </w:p>
        </w:tc>
      </w:tr>
      <w:tr>
        <w:trPr>
          <w:tblHeader w:val="false"/>
        </w:trPr>
        <w:tc>
          <w:tcPr>
            <w:tcW w:type="dxa" w:w="3200"/>
            <w:tcMar>
              <w:top w:type="dxa" w:w="80"/>
              <w:left w:type="dxa" w:w="120"/>
              <w:bottom w:type="dxa" w:w="80"/>
              <w:right w:type="dxa" w:w="120"/>
            </w:tcMar>
            <w:vAlign w:val="center"/>
          </w:tcPr>
          <w:p>
            <w:r>
              <w:rPr>
                <w:b w:val="false"/>
                <w:bCs w:val="false"/>
                <w:color w:val="000000"/>
                <w:sz w:val="20"/>
                <w:szCs w:val="20"/>
              </w:rPr>
              <w:t xml:space="preserve">DATABASE_URL</w:t>
            </w:r>
          </w:p>
        </w:tc>
        <w:tc>
          <w:tcPr>
            <w:tcW w:type="dxa" w:w="6300"/>
            <w:tcMar>
              <w:top w:type="dxa" w:w="80"/>
              <w:left w:type="dxa" w:w="120"/>
              <w:bottom w:type="dxa" w:w="80"/>
              <w:right w:type="dxa" w:w="120"/>
            </w:tcMar>
            <w:vAlign w:val="center"/>
          </w:tcPr>
          <w:p>
            <w:r>
              <w:rPr>
                <w:b w:val="false"/>
                <w:bCs w:val="false"/>
                <w:color w:val="000000"/>
                <w:sz w:val="20"/>
                <w:szCs w:val="20"/>
              </w:rPr>
              <w:t xml:space="preserve">PostgreSQL connection string (Supabase "Transaction pooler" URL, port 6543, or any Postgres instance).</w:t>
            </w:r>
          </w:p>
        </w:tc>
      </w:tr>
      <w:tr>
        <w:trPr>
          <w:tblHeader w:val="false"/>
        </w:trPr>
        <w:tc>
          <w:tcPr>
            <w:tcW w:type="dxa" w:w="3200"/>
            <w:tcMar>
              <w:top w:type="dxa" w:w="80"/>
              <w:left w:type="dxa" w:w="120"/>
              <w:bottom w:type="dxa" w:w="80"/>
              <w:right w:type="dxa" w:w="120"/>
            </w:tcMar>
            <w:vAlign w:val="center"/>
          </w:tcPr>
          <w:p>
            <w:r>
              <w:rPr>
                <w:b w:val="false"/>
                <w:bCs w:val="false"/>
                <w:color w:val="000000"/>
                <w:sz w:val="20"/>
                <w:szCs w:val="20"/>
              </w:rPr>
              <w:t xml:space="preserve">BETTER_AUTH_SECRET</w:t>
            </w:r>
          </w:p>
        </w:tc>
        <w:tc>
          <w:tcPr>
            <w:tcW w:type="dxa" w:w="6300"/>
            <w:tcMar>
              <w:top w:type="dxa" w:w="80"/>
              <w:left w:type="dxa" w:w="120"/>
              <w:bottom w:type="dxa" w:w="80"/>
              <w:right w:type="dxa" w:w="120"/>
            </w:tcMar>
            <w:vAlign w:val="center"/>
          </w:tcPr>
          <w:p>
            <w:r>
              <w:rPr>
                <w:b w:val="false"/>
                <w:bCs w:val="false"/>
                <w:color w:val="000000"/>
                <w:sz w:val="20"/>
                <w:szCs w:val="20"/>
              </w:rPr>
              <w:t xml:space="preserve">Secret key used to sign authentication sessions. Generate with: openssl rand -hex 32</w:t>
            </w:r>
          </w:p>
        </w:tc>
      </w:tr>
      <w:tr>
        <w:trPr>
          <w:tblHeader w:val="false"/>
        </w:trPr>
        <w:tc>
          <w:tcPr>
            <w:tcW w:type="dxa" w:w="3200"/>
            <w:tcMar>
              <w:top w:type="dxa" w:w="80"/>
              <w:left w:type="dxa" w:w="120"/>
              <w:bottom w:type="dxa" w:w="80"/>
              <w:right w:type="dxa" w:w="120"/>
            </w:tcMar>
            <w:vAlign w:val="center"/>
          </w:tcPr>
          <w:p>
            <w:r>
              <w:rPr>
                <w:b w:val="false"/>
                <w:bCs w:val="false"/>
                <w:color w:val="000000"/>
                <w:sz w:val="20"/>
                <w:szCs w:val="20"/>
              </w:rPr>
              <w:t xml:space="preserve">BETTER_AUTH_URL</w:t>
            </w:r>
          </w:p>
        </w:tc>
        <w:tc>
          <w:tcPr>
            <w:tcW w:type="dxa" w:w="6300"/>
            <w:tcMar>
              <w:top w:type="dxa" w:w="80"/>
              <w:left w:type="dxa" w:w="120"/>
              <w:bottom w:type="dxa" w:w="80"/>
              <w:right w:type="dxa" w:w="120"/>
            </w:tcMar>
            <w:vAlign w:val="center"/>
          </w:tcPr>
          <w:p>
            <w:r>
              <w:rPr>
                <w:b w:val="false"/>
                <w:bCs w:val="false"/>
                <w:color w:val="000000"/>
                <w:sz w:val="20"/>
                <w:szCs w:val="20"/>
              </w:rPr>
              <w:t xml:space="preserve">Base URL the app is served from, e.g. http://localhost:3000</w:t>
            </w:r>
          </w:p>
        </w:tc>
      </w:tr>
      <w:tr>
        <w:trPr>
          <w:tblHeader w:val="false"/>
        </w:trPr>
        <w:tc>
          <w:tcPr>
            <w:tcW w:type="dxa" w:w="3200"/>
            <w:tcMar>
              <w:top w:type="dxa" w:w="80"/>
              <w:left w:type="dxa" w:w="120"/>
              <w:bottom w:type="dxa" w:w="80"/>
              <w:right w:type="dxa" w:w="120"/>
            </w:tcMar>
            <w:vAlign w:val="center"/>
          </w:tcPr>
          <w:p>
            <w:r>
              <w:rPr>
                <w:b w:val="false"/>
                <w:bCs w:val="false"/>
                <w:color w:val="000000"/>
                <w:sz w:val="20"/>
                <w:szCs w:val="20"/>
              </w:rPr>
              <w:t xml:space="preserve">SUPABASE_URL / SUPABASE_ANON_KEY / SUPABASE_SERVICE_ROLE_KEY</w:t>
            </w:r>
          </w:p>
        </w:tc>
        <w:tc>
          <w:tcPr>
            <w:tcW w:type="dxa" w:w="6300"/>
            <w:tcMar>
              <w:top w:type="dxa" w:w="80"/>
              <w:left w:type="dxa" w:w="120"/>
              <w:bottom w:type="dxa" w:w="80"/>
              <w:right w:type="dxa" w:w="120"/>
            </w:tcMar>
            <w:vAlign w:val="center"/>
          </w:tcPr>
          <w:p>
            <w:r>
              <w:rPr>
                <w:b w:val="false"/>
                <w:bCs w:val="false"/>
                <w:color w:val="000000"/>
                <w:sz w:val="20"/>
                <w:szCs w:val="20"/>
              </w:rPr>
              <w:t xml:space="preserve">Only required if Supabase Storage is used for proof-of-delivery photo uploads.</w:t>
            </w:r>
          </w:p>
        </w:tc>
      </w:tr>
    </w:tbl>
    <w:p>
      <w:pPr>
        <w:pStyle w:val="Heading2"/>
        <w:spacing w:after="140" w:before="280"/>
      </w:pPr>
      <w:r>
        <w:t xml:space="preserve">3.4 Set Up the Database Schema</w:t>
      </w:r>
    </w:p>
    <w:p>
      <w:pPr>
        <w:spacing w:after="160"/>
      </w:pPr>
      <w:r>
        <w:t xml:space="preserve">Push the application's database schema to your PostgreSQL database using Drizzle Kit:</w:t>
      </w:r>
    </w:p>
    <w:p>
      <w:pPr>
        <w:pBdr>
          <w:top w:val="single" w:color="CCCCCC" w:sz="2"/>
          <w:bottom w:val="single" w:color="CCCCCC" w:sz="2"/>
          <w:left w:val="single" w:color="CCCCCC" w:sz="2"/>
          <w:right w:val="single" w:color="CCCCCC" w:sz="2"/>
        </w:pBdr>
        <w:shd w:fill="F2F2F2" w:val="clear"/>
        <w:spacing w:after="160"/>
      </w:pPr>
      <w:r>
        <w:rPr>
          <w:rFonts w:ascii="Consolas" w:cs="Consolas" w:eastAsia="Consolas" w:hAnsi="Consolas"/>
          <w:sz w:val="20"/>
          <w:szCs w:val="20"/>
        </w:rPr>
        <w:t xml:space="preserve">npx drizzle-kit push</w:t>
      </w:r>
    </w:p>
    <w:p>
      <w:pPr>
        <w:pStyle w:val="Heading2"/>
        <w:spacing w:after="140" w:before="280"/>
      </w:pPr>
      <w:r>
        <w:t xml:space="preserve">3.5 Seed Demo Accounts (optional, recommended for evaluation)</w:t>
      </w:r>
    </w:p>
    <w:p>
      <w:pPr>
        <w:spacing w:after="160"/>
      </w:pPr>
      <w:r>
        <w:t xml:space="preserve">A seed script creates demo accounts for Hub Staff, Delivery Partner, and Administrator roles so the system can be explored without registering new accounts:</w:t>
      </w:r>
    </w:p>
    <w:p>
      <w:pPr>
        <w:pBdr>
          <w:top w:val="single" w:color="CCCCCC" w:sz="2"/>
          <w:bottom w:val="single" w:color="CCCCCC" w:sz="2"/>
          <w:left w:val="single" w:color="CCCCCC" w:sz="2"/>
          <w:right w:val="single" w:color="CCCCCC" w:sz="2"/>
        </w:pBdr>
        <w:shd w:fill="F2F2F2" w:val="clear"/>
        <w:spacing w:after="160"/>
      </w:pPr>
      <w:r>
        <w:rPr>
          <w:rFonts w:ascii="Consolas" w:cs="Consolas" w:eastAsia="Consolas" w:hAnsi="Consolas"/>
          <w:sz w:val="20"/>
          <w:szCs w:val="20"/>
        </w:rPr>
        <w:t xml:space="preserve">node scripts/seed.mjs</w:t>
      </w:r>
    </w:p>
    <w:p>
      <w:pPr>
        <w:shd w:fill="EAF1F8" w:val="clear"/>
        <w:spacing w:after="160" w:before="80"/>
        <w:ind w:left="200"/>
      </w:pPr>
      <w:r>
        <w:rPr>
          <w:b/>
          <w:bCs/>
          <w:color w:val="1F4E79"/>
        </w:rPr>
        <w:t xml:space="preserve">Note: </w:t>
      </w:r>
      <w:r>
        <w:rPr>
          <w:color w:val="333333"/>
        </w:rPr>
        <w:t xml:space="preserve">The demo password for all seeded accounts is "shiplync-demo-2026". See Section 4.2 for the full list of demo logins.</w:t>
      </w:r>
    </w:p>
    <w:p>
      <w:pPr>
        <w:pStyle w:val="Heading2"/>
        <w:spacing w:after="140" w:before="280"/>
      </w:pPr>
      <w:r>
        <w:t xml:space="preserve">3.6 Run the Application</w:t>
      </w:r>
    </w:p>
    <w:p>
      <w:pPr>
        <w:pBdr>
          <w:top w:val="single" w:color="CCCCCC" w:sz="2"/>
          <w:bottom w:val="single" w:color="CCCCCC" w:sz="2"/>
          <w:left w:val="single" w:color="CCCCCC" w:sz="2"/>
          <w:right w:val="single" w:color="CCCCCC" w:sz="2"/>
        </w:pBdr>
        <w:shd w:fill="F2F2F2" w:val="clear"/>
        <w:spacing w:after="160"/>
      </w:pPr>
      <w:r>
        <w:rPr>
          <w:rFonts w:ascii="Consolas" w:cs="Consolas" w:eastAsia="Consolas" w:hAnsi="Consolas"/>
          <w:sz w:val="20"/>
          <w:szCs w:val="20"/>
        </w:rPr>
        <w:t xml:space="preserve">npm run dev</w:t>
      </w:r>
    </w:p>
    <w:p>
      <w:pPr>
        <w:spacing w:after="160"/>
      </w:pPr>
      <w:r>
        <w:t xml:space="preserve">Once the server starts, open a browser and navigate to the URL shown in the terminal (typically http://localhost:3000).</w:t>
      </w:r>
    </w:p>
    <w:p>
      <w:pPr>
        <w:pBdr>
          <w:top w:val="dashed" w:color="999999" w:sz="4"/>
          <w:bottom w:val="dashed" w:color="999999" w:sz="4"/>
          <w:left w:val="dashed" w:color="999999" w:sz="4"/>
          <w:right w:val="dashed" w:color="999999" w:sz="4"/>
        </w:pBdr>
        <w:spacing w:after="240" w:before="120"/>
        <w:jc w:val="center"/>
      </w:pPr>
      <w:r>
        <w:rPr>
          <w:i/>
          <w:iCs/>
          <w:color w:val="666666"/>
          <w:sz w:val="20"/>
          <w:szCs w:val="20"/>
        </w:rPr>
        <w:t xml:space="preserve">[ SCREENSHOT PLACEHOLDER — Landing page of ShipLync at http://localhost:3000 ]</w:t>
      </w:r>
    </w:p>
    <w:p>
      <w:r>
        <w:br w:type="page"/>
      </w:r>
    </w:p>
    <w:p>
      <w:pPr>
        <w:pStyle w:val="Heading1"/>
        <w:spacing w:after="200" w:before="400"/>
      </w:pPr>
      <w:r>
        <w:t xml:space="preserve">4. User Login / Registration</w:t>
      </w:r>
    </w:p>
    <w:p>
      <w:pPr>
        <w:pStyle w:val="Heading2"/>
        <w:spacing w:after="140" w:before="280"/>
      </w:pPr>
      <w:r>
        <w:t xml:space="preserve">4.1 Accessing the Login Page</w:t>
      </w:r>
    </w:p>
    <w:p>
      <w:pPr>
        <w:spacing w:after="160"/>
      </w:pPr>
      <w:r>
        <w:t xml:space="preserve">From the landing page, click "Sign in" (in the header, or on any portal link) to open the login screen, or navigate directly to "/login".</w:t>
      </w:r>
    </w:p>
    <w:p>
      <w:pPr>
        <w:pBdr>
          <w:top w:val="dashed" w:color="999999" w:sz="4"/>
          <w:bottom w:val="dashed" w:color="999999" w:sz="4"/>
          <w:left w:val="dashed" w:color="999999" w:sz="4"/>
          <w:right w:val="dashed" w:color="999999" w:sz="4"/>
        </w:pBdr>
        <w:spacing w:after="240" w:before="120"/>
        <w:jc w:val="center"/>
      </w:pPr>
      <w:r>
        <w:rPr>
          <w:i/>
          <w:iCs/>
          <w:color w:val="666666"/>
          <w:sz w:val="20"/>
          <w:szCs w:val="20"/>
        </w:rPr>
        <w:t xml:space="preserve">[ SCREENSHOT PLACEHOLDER — Login page showing Email/Password, Mobile OTP tabs and Quick Demo Login panel ]</w:t>
      </w:r>
    </w:p>
    <w:p>
      <w:pPr>
        <w:pStyle w:val="Heading2"/>
        <w:spacing w:after="140" w:before="280"/>
      </w:pPr>
      <w:r>
        <w:t xml:space="preserve">4.2 Signing In</w:t>
      </w:r>
    </w:p>
    <w:p>
      <w:pPr>
        <w:spacing w:after="160"/>
      </w:pPr>
      <w:r>
        <w:t xml:space="preserve">ShipLync's login screen offers a few ways to sign in:</w:t>
      </w:r>
    </w:p>
    <w:p>
      <w:pPr>
        <w:pStyle w:val="ListParagraph"/>
        <w:numPr>
          <w:ilvl w:val="0"/>
          <w:numId w:val="2"/>
        </w:numPr>
        <w:spacing w:after="80"/>
      </w:pPr>
      <w:r>
        <w:rPr>
          <w:b/>
          <w:bCs/>
        </w:rPr>
        <w:t xml:space="preserve">Email + Password: </w:t>
      </w:r>
      <w:r>
        <w:t xml:space="preserve">the primary method for real accounts. Enter your registered email and password and click "Sign In".</w:t>
      </w:r>
    </w:p>
    <w:p>
      <w:pPr>
        <w:pStyle w:val="ListParagraph"/>
        <w:numPr>
          <w:ilvl w:val="0"/>
          <w:numId w:val="2"/>
        </w:numPr>
        <w:spacing w:after="80"/>
      </w:pPr>
      <w:r>
        <w:rPr>
          <w:b/>
          <w:bCs/>
        </w:rPr>
        <w:t xml:space="preserve">Create Account: </w:t>
      </w:r>
      <w:r>
        <w:t xml:space="preserve">on the same tab, switch to "Create Account" to register a new Customer account with your name, email, and a password.</w:t>
      </w:r>
    </w:p>
    <w:p>
      <w:pPr>
        <w:pStyle w:val="ListParagraph"/>
        <w:numPr>
          <w:ilvl w:val="0"/>
          <w:numId w:val="2"/>
        </w:numPr>
        <w:spacing w:after="80"/>
      </w:pPr>
      <w:r>
        <w:rPr>
          <w:b/>
          <w:bCs/>
        </w:rPr>
        <w:t xml:space="preserve">Mobile OTP: </w:t>
      </w:r>
      <w:r>
        <w:t xml:space="preserve">a simplified sign-in for customers using a phone number and a one-time code, which signs you in as a Customer.</w:t>
      </w:r>
    </w:p>
    <w:p>
      <w:pPr>
        <w:pStyle w:val="ListParagraph"/>
        <w:numPr>
          <w:ilvl w:val="0"/>
          <w:numId w:val="2"/>
        </w:numPr>
        <w:spacing w:after="80"/>
      </w:pPr>
      <w:r>
        <w:rPr>
          <w:b/>
          <w:bCs/>
        </w:rPr>
        <w:t xml:space="preserve">Social Login (Google / Apple): </w:t>
      </w:r>
      <w:r>
        <w:t xml:space="preserve">one-click buttons that also sign you in as a Customer.</w:t>
      </w:r>
    </w:p>
    <w:p>
      <w:pPr>
        <w:pStyle w:val="ListParagraph"/>
        <w:numPr>
          <w:ilvl w:val="0"/>
          <w:numId w:val="2"/>
        </w:numPr>
        <w:spacing w:after="80"/>
      </w:pPr>
      <w:r>
        <w:rPr>
          <w:b/>
          <w:bCs/>
        </w:rPr>
        <w:t xml:space="preserve">Quick Demo Login: </w:t>
      </w:r>
      <w:r>
        <w:t xml:space="preserve">a panel with one-click buttons for Customer, Delivery Partner, Hub Staff, and Administrator, intended for evaluation/demo purposes using pre-created accounts.</w:t>
      </w:r>
    </w:p>
    <w:p>
      <w:pPr>
        <w:pStyle w:val="Heading2"/>
        <w:spacing w:after="140" w:before="280"/>
      </w:pPr>
      <w:r>
        <w:t xml:space="preserve">4.3 Demo Accounts</w:t>
      </w:r>
    </w:p>
    <w:p>
      <w:pPr>
        <w:spacing w:after="160"/>
      </w:pPr>
      <w:r>
        <w:t xml:space="preserve">For evaluation purposes, the following seeded accounts are available (password for all: shiplync-demo-2026):</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200"/>
        <w:gridCol w:w="6300"/>
      </w:tblGrid>
      <w:tr>
        <w:trPr>
          <w:tblHeader/>
        </w:trPr>
        <w:tc>
          <w:tcPr>
            <w:tcW w:type="dxa" w:w="3200"/>
            <w:shd w:fill="1F4E79" w:val="clear"/>
            <w:tcMar>
              <w:top w:type="dxa" w:w="80"/>
              <w:left w:type="dxa" w:w="120"/>
              <w:bottom w:type="dxa" w:w="80"/>
              <w:right w:type="dxa" w:w="120"/>
            </w:tcMar>
            <w:vAlign w:val="center"/>
          </w:tcPr>
          <w:p>
            <w:r>
              <w:rPr>
                <w:b/>
                <w:bCs/>
                <w:color w:val="FFFFFF"/>
                <w:sz w:val="20"/>
                <w:szCs w:val="20"/>
              </w:rPr>
              <w:t xml:space="preserve">Role</w:t>
            </w:r>
          </w:p>
        </w:tc>
        <w:tc>
          <w:tcPr>
            <w:tcW w:type="dxa" w:w="6300"/>
            <w:shd w:fill="1F4E79" w:val="clear"/>
            <w:tcMar>
              <w:top w:type="dxa" w:w="80"/>
              <w:left w:type="dxa" w:w="120"/>
              <w:bottom w:type="dxa" w:w="80"/>
              <w:right w:type="dxa" w:w="120"/>
            </w:tcMar>
            <w:vAlign w:val="center"/>
          </w:tcPr>
          <w:p>
            <w:r>
              <w:rPr>
                <w:b/>
                <w:bCs/>
                <w:color w:val="FFFFFF"/>
                <w:sz w:val="20"/>
                <w:szCs w:val="20"/>
              </w:rPr>
              <w:t xml:space="preserve">Email</w:t>
            </w:r>
          </w:p>
        </w:tc>
      </w:tr>
      <w:tr>
        <w:trPr>
          <w:tblHeader w:val="false"/>
        </w:trPr>
        <w:tc>
          <w:tcPr>
            <w:tcW w:type="dxa" w:w="3200"/>
            <w:tcMar>
              <w:top w:type="dxa" w:w="80"/>
              <w:left w:type="dxa" w:w="120"/>
              <w:bottom w:type="dxa" w:w="80"/>
              <w:right w:type="dxa" w:w="120"/>
            </w:tcMar>
            <w:vAlign w:val="center"/>
          </w:tcPr>
          <w:p>
            <w:r>
              <w:rPr>
                <w:b w:val="false"/>
                <w:bCs w:val="false"/>
                <w:color w:val="000000"/>
                <w:sz w:val="20"/>
                <w:szCs w:val="20"/>
              </w:rPr>
              <w:t xml:space="preserve">Hub Staff</w:t>
            </w:r>
          </w:p>
        </w:tc>
        <w:tc>
          <w:tcPr>
            <w:tcW w:type="dxa" w:w="6300"/>
            <w:tcMar>
              <w:top w:type="dxa" w:w="80"/>
              <w:left w:type="dxa" w:w="120"/>
              <w:bottom w:type="dxa" w:w="80"/>
              <w:right w:type="dxa" w:w="120"/>
            </w:tcMar>
            <w:vAlign w:val="center"/>
          </w:tcPr>
          <w:p>
            <w:r>
              <w:rPr>
                <w:b w:val="false"/>
                <w:bCs w:val="false"/>
                <w:color w:val="000000"/>
                <w:sz w:val="20"/>
                <w:szCs w:val="20"/>
              </w:rPr>
              <w:t xml:space="preserve">hub1@shiplync.test</w:t>
            </w:r>
          </w:p>
        </w:tc>
      </w:tr>
      <w:tr>
        <w:trPr>
          <w:tblHeader w:val="false"/>
        </w:trPr>
        <w:tc>
          <w:tcPr>
            <w:tcW w:type="dxa" w:w="3200"/>
            <w:tcMar>
              <w:top w:type="dxa" w:w="80"/>
              <w:left w:type="dxa" w:w="120"/>
              <w:bottom w:type="dxa" w:w="80"/>
              <w:right w:type="dxa" w:w="120"/>
            </w:tcMar>
            <w:vAlign w:val="center"/>
          </w:tcPr>
          <w:p>
            <w:r>
              <w:rPr>
                <w:b w:val="false"/>
                <w:bCs w:val="false"/>
                <w:color w:val="000000"/>
                <w:sz w:val="20"/>
                <w:szCs w:val="20"/>
              </w:rPr>
              <w:t xml:space="preserve">Delivery Partner</w:t>
            </w:r>
          </w:p>
        </w:tc>
        <w:tc>
          <w:tcPr>
            <w:tcW w:type="dxa" w:w="6300"/>
            <w:tcMar>
              <w:top w:type="dxa" w:w="80"/>
              <w:left w:type="dxa" w:w="120"/>
              <w:bottom w:type="dxa" w:w="80"/>
              <w:right w:type="dxa" w:w="120"/>
            </w:tcMar>
            <w:vAlign w:val="center"/>
          </w:tcPr>
          <w:p>
            <w:r>
              <w:rPr>
                <w:b w:val="false"/>
                <w:bCs w:val="false"/>
                <w:color w:val="000000"/>
                <w:sz w:val="20"/>
                <w:szCs w:val="20"/>
              </w:rPr>
              <w:t xml:space="preserve">agent1@shiplync.test</w:t>
            </w:r>
          </w:p>
        </w:tc>
      </w:tr>
      <w:tr>
        <w:trPr>
          <w:tblHeader w:val="false"/>
        </w:trPr>
        <w:tc>
          <w:tcPr>
            <w:tcW w:type="dxa" w:w="3200"/>
            <w:tcMar>
              <w:top w:type="dxa" w:w="80"/>
              <w:left w:type="dxa" w:w="120"/>
              <w:bottom w:type="dxa" w:w="80"/>
              <w:right w:type="dxa" w:w="120"/>
            </w:tcMar>
            <w:vAlign w:val="center"/>
          </w:tcPr>
          <w:p>
            <w:r>
              <w:rPr>
                <w:b w:val="false"/>
                <w:bCs w:val="false"/>
                <w:color w:val="000000"/>
                <w:sz w:val="20"/>
                <w:szCs w:val="20"/>
              </w:rPr>
              <w:t xml:space="preserve">Administrator</w:t>
            </w:r>
          </w:p>
        </w:tc>
        <w:tc>
          <w:tcPr>
            <w:tcW w:type="dxa" w:w="6300"/>
            <w:tcMar>
              <w:top w:type="dxa" w:w="80"/>
              <w:left w:type="dxa" w:w="120"/>
              <w:bottom w:type="dxa" w:w="80"/>
              <w:right w:type="dxa" w:w="120"/>
            </w:tcMar>
            <w:vAlign w:val="center"/>
          </w:tcPr>
          <w:p>
            <w:r>
              <w:rPr>
                <w:b w:val="false"/>
                <w:bCs w:val="false"/>
                <w:color w:val="000000"/>
                <w:sz w:val="20"/>
                <w:szCs w:val="20"/>
              </w:rPr>
              <w:t xml:space="preserve">admin1@shiplync.test</w:t>
            </w:r>
          </w:p>
        </w:tc>
      </w:tr>
    </w:tbl>
    <w:p>
      <w:pPr>
        <w:shd w:fill="EAF1F8" w:val="clear"/>
        <w:spacing w:after="160" w:before="80"/>
        <w:ind w:left="200"/>
      </w:pPr>
      <w:r>
        <w:rPr>
          <w:b/>
          <w:bCs/>
          <w:color w:val="1F4E79"/>
        </w:rPr>
        <w:t xml:space="preserve">Note: </w:t>
      </w:r>
      <w:r>
        <w:rPr>
          <w:color w:val="333333"/>
        </w:rPr>
        <w:t xml:space="preserve">Customer accounts are self-serve — either register your own via "Create Account", or use the "Quick demo login → Customer" button to instantly create and sign in as a guest customer.</w:t>
      </w:r>
    </w:p>
    <w:p>
      <w:pPr>
        <w:pStyle w:val="Heading2"/>
        <w:spacing w:after="140" w:before="280"/>
      </w:pPr>
      <w:r>
        <w:t xml:space="preserve">4.4 Registration (Customers)</w:t>
      </w:r>
    </w:p>
    <w:p>
      <w:pPr>
        <w:pStyle w:val="ListParagraph"/>
        <w:numPr>
          <w:ilvl w:val="0"/>
          <w:numId w:val="3"/>
        </w:numPr>
        <w:spacing w:after="80"/>
      </w:pPr>
      <w:r>
        <w:t xml:space="preserve">Open the login page and switch to the "Create Account" tab.</w:t>
      </w:r>
    </w:p>
    <w:p>
      <w:pPr>
        <w:pStyle w:val="ListParagraph"/>
        <w:numPr>
          <w:ilvl w:val="0"/>
          <w:numId w:val="3"/>
        </w:numPr>
        <w:spacing w:after="80"/>
      </w:pPr>
      <w:r>
        <w:t xml:space="preserve">Enter your full name, email address, and a password.</w:t>
      </w:r>
    </w:p>
    <w:p>
      <w:pPr>
        <w:pStyle w:val="ListParagraph"/>
        <w:numPr>
          <w:ilvl w:val="0"/>
          <w:numId w:val="3"/>
        </w:numPr>
        <w:spacing w:after="80"/>
      </w:pPr>
      <w:r>
        <w:t xml:space="preserve">Click "Create Account". You will be signed in immediately and redirected to the Customer Dashboard.</w:t>
      </w:r>
    </w:p>
    <w:p>
      <w:pPr>
        <w:pStyle w:val="Heading2"/>
        <w:spacing w:after="140" w:before="280"/>
      </w:pPr>
      <w:r>
        <w:t xml:space="preserve">4.5 After Signing In</w:t>
      </w:r>
    </w:p>
    <w:p>
      <w:pPr>
        <w:spacing w:after="160"/>
      </w:pPr>
      <w:r>
        <w:t xml:space="preserve">ShipLync automatically redirects you to the home page of your role's portal: Customers to /customer, Delivery Partners to /driver, Hub Staff to /hub, and Administrators to /admin. If you try to open another role's portal while signed in, you will be redirected back to your own portal.</w:t>
      </w:r>
    </w:p>
    <w:p>
      <w:r>
        <w:br w:type="page"/>
      </w:r>
    </w:p>
    <w:p>
      <w:pPr>
        <w:pStyle w:val="Heading1"/>
        <w:spacing w:after="200" w:before="400"/>
      </w:pPr>
      <w:r>
        <w:t xml:space="preserve">5. System Features / Functionalities</w:t>
      </w:r>
    </w:p>
    <w:p>
      <w:pPr>
        <w:spacing w:after="160"/>
      </w:pPr>
      <w:r>
        <w:t xml:space="preserve">ShipLync is organized into four portals. This section walks through the main features of each, step by step.</w:t>
      </w:r>
    </w:p>
    <w:p>
      <w:pPr>
        <w:pStyle w:val="Heading2"/>
        <w:spacing w:after="140" w:before="280"/>
      </w:pPr>
      <w:r>
        <w:t xml:space="preserve">5.1 Customer Portal</w:t>
      </w:r>
    </w:p>
    <w:p>
      <w:pPr>
        <w:pBdr>
          <w:top w:val="dashed" w:color="999999" w:sz="4"/>
          <w:bottom w:val="dashed" w:color="999999" w:sz="4"/>
          <w:left w:val="dashed" w:color="999999" w:sz="4"/>
          <w:right w:val="dashed" w:color="999999" w:sz="4"/>
        </w:pBdr>
        <w:spacing w:after="240" w:before="120"/>
        <w:jc w:val="center"/>
      </w:pPr>
      <w:r>
        <w:rPr>
          <w:i/>
          <w:iCs/>
          <w:color w:val="666666"/>
          <w:sz w:val="20"/>
          <w:szCs w:val="20"/>
        </w:rPr>
        <w:t xml:space="preserve">[ SCREENSHOT PLACEHOLDER — Customer Dashboard ]</w:t>
      </w:r>
    </w:p>
    <w:p>
      <w:pPr>
        <w:pStyle w:val="Heading3"/>
        <w:spacing w:after="100" w:before="200"/>
      </w:pPr>
      <w:r>
        <w:t xml:space="preserve">5.1.1 Booking a Shipment</w:t>
      </w:r>
    </w:p>
    <w:p>
      <w:pPr>
        <w:pStyle w:val="ListParagraph"/>
        <w:numPr>
          <w:ilvl w:val="0"/>
          <w:numId w:val="3"/>
        </w:numPr>
        <w:spacing w:after="80"/>
      </w:pPr>
      <w:r>
        <w:t xml:space="preserve">From the Customer Dashboard, click "Book Shipment".</w:t>
      </w:r>
    </w:p>
    <w:p>
      <w:pPr>
        <w:pStyle w:val="ListParagraph"/>
        <w:numPr>
          <w:ilvl w:val="0"/>
          <w:numId w:val="3"/>
        </w:numPr>
        <w:spacing w:after="80"/>
      </w:pPr>
      <w:r>
        <w:t xml:space="preserve">Step 1 — Addresses: enter or select a saved pickup address and delivery address. If the delivery location has multiple floors or a security checkpoint, toggle the corresponding "delivery access" options — these affect the estimated delivery time.</w:t>
      </w:r>
    </w:p>
    <w:p>
      <w:pPr>
        <w:pStyle w:val="ListParagraph"/>
        <w:numPr>
          <w:ilvl w:val="0"/>
          <w:numId w:val="3"/>
        </w:numPr>
        <w:spacing w:after="80"/>
      </w:pPr>
      <w:r>
        <w:t xml:space="preserve">Step 2 — Package: choose a package type (Standard, Express, Medical, or Fragile), enter weight and dimensions, and optionally mark the package as insured. If the recipient is elderly, toggle "Elderly-care recipient" — this automatically raises the shipment's priority, the same way Medical packages are prioritized.</w:t>
      </w:r>
    </w:p>
    <w:p>
      <w:pPr>
        <w:pStyle w:val="ListParagraph"/>
        <w:numPr>
          <w:ilvl w:val="0"/>
          <w:numId w:val="3"/>
        </w:numPr>
        <w:spacing w:after="80"/>
      </w:pPr>
      <w:r>
        <w:t xml:space="preserve">Step 3 — Service: review the live, distance-based cost estimate and delivery-time estimate (which factors in floors and security-checkpoint delay), and select a requested pickup date.</w:t>
      </w:r>
    </w:p>
    <w:p>
      <w:pPr>
        <w:pStyle w:val="ListParagraph"/>
        <w:numPr>
          <w:ilvl w:val="0"/>
          <w:numId w:val="3"/>
        </w:numPr>
        <w:spacing w:after="80"/>
      </w:pPr>
      <w:r>
        <w:t xml:space="preserve">Step 4 — Review: confirm all details and click "Confirm Booking".</w:t>
      </w:r>
    </w:p>
    <w:p>
      <w:pPr>
        <w:pStyle w:val="ListParagraph"/>
        <w:numPr>
          <w:ilvl w:val="0"/>
          <w:numId w:val="3"/>
        </w:numPr>
        <w:spacing w:after="80"/>
      </w:pPr>
      <w:r>
        <w:t xml:space="preserve">On success, you receive a tracking ID, which you can copy or use to jump directly to the tracking page.</w:t>
      </w:r>
    </w:p>
    <w:p>
      <w:pPr>
        <w:pBdr>
          <w:top w:val="dashed" w:color="999999" w:sz="4"/>
          <w:bottom w:val="dashed" w:color="999999" w:sz="4"/>
          <w:left w:val="dashed" w:color="999999" w:sz="4"/>
          <w:right w:val="dashed" w:color="999999" w:sz="4"/>
        </w:pBdr>
        <w:spacing w:after="240" w:before="120"/>
        <w:jc w:val="center"/>
      </w:pPr>
      <w:r>
        <w:rPr>
          <w:i/>
          <w:iCs/>
          <w:color w:val="666666"/>
          <w:sz w:val="20"/>
          <w:szCs w:val="20"/>
        </w:rPr>
        <w:t xml:space="preserve">[ SCREENSHOT PLACEHOLDER — Shipment booking wizard (Addresses / Package / Service / Review steps) ]</w:t>
      </w:r>
    </w:p>
    <w:p>
      <w:pPr>
        <w:shd w:fill="EAF1F8" w:val="clear"/>
        <w:spacing w:after="160" w:before="80"/>
        <w:ind w:left="200"/>
      </w:pPr>
      <w:r>
        <w:rPr>
          <w:b/>
          <w:bCs/>
          <w:color w:val="1F4E79"/>
        </w:rPr>
        <w:t xml:space="preserve">Note: </w:t>
      </w:r>
      <w:r>
        <w:rPr>
          <w:color w:val="333333"/>
        </w:rPr>
        <w:t xml:space="preserve">No real payment gateway is connected in this build — bookings are recorded as "paid" without an actual charge. This is stated directly on the booking screen.</w:t>
      </w:r>
    </w:p>
    <w:p>
      <w:pPr>
        <w:pStyle w:val="Heading3"/>
        <w:spacing w:after="100" w:before="200"/>
      </w:pPr>
      <w:r>
        <w:t xml:space="preserve">5.1.2 Tracking a Shipment</w:t>
      </w:r>
    </w:p>
    <w:p>
      <w:pPr>
        <w:pStyle w:val="ListParagraph"/>
        <w:numPr>
          <w:ilvl w:val="0"/>
          <w:numId w:val="3"/>
        </w:numPr>
        <w:spacing w:after="80"/>
      </w:pPr>
      <w:r>
        <w:t xml:space="preserve">Go to "Track Shipment" and enter a tracking ID, or click "Track" from a shipment in your history.</w:t>
      </w:r>
    </w:p>
    <w:p>
      <w:pPr>
        <w:pStyle w:val="ListParagraph"/>
        <w:numPr>
          <w:ilvl w:val="0"/>
          <w:numId w:val="3"/>
        </w:numPr>
        <w:spacing w:after="80"/>
      </w:pPr>
      <w:r>
        <w:t xml:space="preserve">The tracking page shows the current status, a milestone stepper, an interactive route map, a full activity timeline, the assigned delivery partner, any open exceptions, the delivery-attempt history, and the shipment's barcode label.</w:t>
      </w:r>
    </w:p>
    <w:p>
      <w:pPr>
        <w:pStyle w:val="ListParagraph"/>
        <w:numPr>
          <w:ilvl w:val="0"/>
          <w:numId w:val="3"/>
        </w:numPr>
        <w:spacing w:after="80"/>
      </w:pPr>
      <w:r>
        <w:t xml:space="preserve">If a delivery attempt failed and the shipment has been sent back, a "Returned to Sender" notice appears.</w:t>
      </w:r>
    </w:p>
    <w:p>
      <w:pPr>
        <w:pBdr>
          <w:top w:val="dashed" w:color="999999" w:sz="4"/>
          <w:bottom w:val="dashed" w:color="999999" w:sz="4"/>
          <w:left w:val="dashed" w:color="999999" w:sz="4"/>
          <w:right w:val="dashed" w:color="999999" w:sz="4"/>
        </w:pBdr>
        <w:spacing w:after="240" w:before="120"/>
        <w:jc w:val="center"/>
      </w:pPr>
      <w:r>
        <w:rPr>
          <w:i/>
          <w:iCs/>
          <w:color w:val="666666"/>
          <w:sz w:val="20"/>
          <w:szCs w:val="20"/>
        </w:rPr>
        <w:t xml:space="preserve">[ SCREENSHOT PLACEHOLDER — Shipment tracking page with status stepper and route map ]</w:t>
      </w:r>
    </w:p>
    <w:p>
      <w:pPr>
        <w:pStyle w:val="Heading3"/>
        <w:spacing w:after="100" w:before="200"/>
      </w:pPr>
      <w:r>
        <w:t xml:space="preserve">5.1.3 Other Customer Features</w:t>
      </w:r>
    </w:p>
    <w:p>
      <w:pPr>
        <w:pStyle w:val="ListParagraph"/>
        <w:numPr>
          <w:ilvl w:val="0"/>
          <w:numId w:val="2"/>
        </w:numPr>
        <w:spacing w:after="80"/>
      </w:pPr>
      <w:r>
        <w:t xml:space="preserve">Shipment History — view all past and current shipments.</w:t>
      </w:r>
    </w:p>
    <w:p>
      <w:pPr>
        <w:pStyle w:val="ListParagraph"/>
        <w:numPr>
          <w:ilvl w:val="0"/>
          <w:numId w:val="2"/>
        </w:numPr>
        <w:spacing w:after="80"/>
      </w:pPr>
      <w:r>
        <w:t xml:space="preserve">Saved Addresses — add, edit, or remove frequently used pickup/delivery addresses.</w:t>
      </w:r>
    </w:p>
    <w:p>
      <w:pPr>
        <w:pStyle w:val="ListParagraph"/>
        <w:numPr>
          <w:ilvl w:val="0"/>
          <w:numId w:val="2"/>
        </w:numPr>
        <w:spacing w:after="80"/>
      </w:pPr>
      <w:r>
        <w:t xml:space="preserve">Payment History and Invoices — review past payments and download invoices.</w:t>
      </w:r>
    </w:p>
    <w:p>
      <w:pPr>
        <w:pStyle w:val="ListParagraph"/>
        <w:numPr>
          <w:ilvl w:val="0"/>
          <w:numId w:val="2"/>
        </w:numPr>
        <w:spacing w:after="80"/>
      </w:pPr>
      <w:r>
        <w:t xml:space="preserve">Returns — view shipments awaiting reschedule or already returned to sender.</w:t>
      </w:r>
    </w:p>
    <w:p>
      <w:pPr>
        <w:pStyle w:val="ListParagraph"/>
        <w:numPr>
          <w:ilvl w:val="0"/>
          <w:numId w:val="2"/>
        </w:numPr>
        <w:spacing w:after="80"/>
      </w:pPr>
      <w:r>
        <w:t xml:space="preserve">Notifications — view shipment-related alerts.</w:t>
      </w:r>
    </w:p>
    <w:p>
      <w:pPr>
        <w:pStyle w:val="ListParagraph"/>
        <w:numPr>
          <w:ilvl w:val="0"/>
          <w:numId w:val="2"/>
        </w:numPr>
        <w:spacing w:after="80"/>
      </w:pPr>
      <w:r>
        <w:t xml:space="preserve">Support — access help resources.</w:t>
      </w:r>
    </w:p>
    <w:p>
      <w:pPr>
        <w:pStyle w:val="Heading2"/>
        <w:spacing w:after="140" w:before="280"/>
      </w:pPr>
      <w:r>
        <w:t xml:space="preserve">5.2 Delivery Partner Portal</w:t>
      </w:r>
    </w:p>
    <w:p>
      <w:pPr>
        <w:pBdr>
          <w:top w:val="dashed" w:color="999999" w:sz="4"/>
          <w:bottom w:val="dashed" w:color="999999" w:sz="4"/>
          <w:left w:val="dashed" w:color="999999" w:sz="4"/>
          <w:right w:val="dashed" w:color="999999" w:sz="4"/>
        </w:pBdr>
        <w:spacing w:after="240" w:before="120"/>
        <w:jc w:val="center"/>
      </w:pPr>
      <w:r>
        <w:rPr>
          <w:i/>
          <w:iCs/>
          <w:color w:val="666666"/>
          <w:sz w:val="20"/>
          <w:szCs w:val="20"/>
        </w:rPr>
        <w:t xml:space="preserve">[ SCREENSHOT PLACEHOLDER — Delivery Partner ‘Today’ dashboard with bottom tab bar (mobile view) ]</w:t>
      </w:r>
    </w:p>
    <w:p>
      <w:pPr>
        <w:pStyle w:val="Heading3"/>
        <w:spacing w:after="100" w:before="200"/>
      </w:pPr>
      <w:r>
        <w:t xml:space="preserve">5.2.1 Viewing and Managing Deliveries</w:t>
      </w:r>
    </w:p>
    <w:p>
      <w:pPr>
        <w:pStyle w:val="ListParagraph"/>
        <w:numPr>
          <w:ilvl w:val="0"/>
          <w:numId w:val="3"/>
        </w:numPr>
        <w:spacing w:after="80"/>
      </w:pPr>
      <w:r>
        <w:t xml:space="preserve">The "Today" tab shows a summary of the day's assigned deliveries.</w:t>
      </w:r>
    </w:p>
    <w:p>
      <w:pPr>
        <w:pStyle w:val="ListParagraph"/>
        <w:numPr>
          <w:ilvl w:val="0"/>
          <w:numId w:val="3"/>
        </w:numPr>
        <w:spacing w:after="80"/>
      </w:pPr>
      <w:r>
        <w:t xml:space="preserve">The "Route" tab shows the optimized sequence of stops for the day.</w:t>
      </w:r>
    </w:p>
    <w:p>
      <w:pPr>
        <w:pStyle w:val="ListParagraph"/>
        <w:numPr>
          <w:ilvl w:val="0"/>
          <w:numId w:val="3"/>
        </w:numPr>
        <w:spacing w:after="80"/>
      </w:pPr>
      <w:r>
        <w:t xml:space="preserve">The "Deliveries" tab lists all assigned stops, filterable by All / Pending / Priority / Completed / Failed. Tap any delivery to open its detail screen.</w:t>
      </w:r>
    </w:p>
    <w:p>
      <w:pPr>
        <w:pStyle w:val="Heading3"/>
        <w:spacing w:after="100" w:before="200"/>
      </w:pPr>
      <w:r>
        <w:t xml:space="preserve">5.2.2 Completing a Delivery</w:t>
      </w:r>
    </w:p>
    <w:p>
      <w:pPr>
        <w:pStyle w:val="ListParagraph"/>
        <w:numPr>
          <w:ilvl w:val="0"/>
          <w:numId w:val="3"/>
        </w:numPr>
        <w:spacing w:after="80"/>
      </w:pPr>
      <w:r>
        <w:t xml:space="preserve">Open a shipment from the Deliveries list to reach the shipment detail screen.</w:t>
      </w:r>
    </w:p>
    <w:p>
      <w:pPr>
        <w:pStyle w:val="ListParagraph"/>
        <w:numPr>
          <w:ilvl w:val="0"/>
          <w:numId w:val="3"/>
        </w:numPr>
        <w:spacing w:after="80"/>
      </w:pPr>
      <w:r>
        <w:t xml:space="preserve">Use "Call Recipient" or "Navigate" for quick access to the phone dialer or maps app.</w:t>
      </w:r>
    </w:p>
    <w:p>
      <w:pPr>
        <w:pStyle w:val="ListParagraph"/>
        <w:numPr>
          <w:ilvl w:val="0"/>
          <w:numId w:val="3"/>
        </w:numPr>
        <w:spacing w:after="80"/>
      </w:pPr>
      <w:r>
        <w:t xml:space="preserve">To mark the shipment delivered, open the "Mark Delivered" panel and enter the 4-digit delivery OTP provided by the recipient.</w:t>
      </w:r>
    </w:p>
    <w:p>
      <w:pPr>
        <w:pStyle w:val="ListParagraph"/>
        <w:numPr>
          <w:ilvl w:val="0"/>
          <w:numId w:val="3"/>
        </w:numPr>
        <w:spacing w:after="80"/>
      </w:pPr>
      <w:r>
        <w:t xml:space="preserve">If delivery cannot be completed, open "Record Failed Attempt", choose a reason from the list, add notes, and submit — this logs a failed delivery attempt and notifies the customer.</w:t>
      </w:r>
    </w:p>
    <w:p>
      <w:pPr>
        <w:pBdr>
          <w:top w:val="dashed" w:color="999999" w:sz="4"/>
          <w:bottom w:val="dashed" w:color="999999" w:sz="4"/>
          <w:left w:val="dashed" w:color="999999" w:sz="4"/>
          <w:right w:val="dashed" w:color="999999" w:sz="4"/>
        </w:pBdr>
        <w:spacing w:after="240" w:before="120"/>
        <w:jc w:val="center"/>
      </w:pPr>
      <w:r>
        <w:rPr>
          <w:i/>
          <w:iCs/>
          <w:color w:val="666666"/>
          <w:sz w:val="20"/>
          <w:szCs w:val="20"/>
        </w:rPr>
        <w:t xml:space="preserve">[ SCREENSHOT PLACEHOLDER — Delivery shipment detail screen with Mark Delivered / Record Failed Attempt panels ]</w:t>
      </w:r>
    </w:p>
    <w:p>
      <w:pPr>
        <w:pStyle w:val="Heading3"/>
        <w:spacing w:after="100" w:before="200"/>
      </w:pPr>
      <w:r>
        <w:t xml:space="preserve">5.2.3 Other Delivery Partner Features</w:t>
      </w:r>
    </w:p>
    <w:p>
      <w:pPr>
        <w:pStyle w:val="ListParagraph"/>
        <w:numPr>
          <w:ilvl w:val="0"/>
          <w:numId w:val="2"/>
        </w:numPr>
        <w:spacing w:after="80"/>
      </w:pPr>
      <w:r>
        <w:t xml:space="preserve">Exceptions — view shipments in your rounds flagged with a delivery exception.</w:t>
      </w:r>
    </w:p>
    <w:p>
      <w:pPr>
        <w:pStyle w:val="ListParagraph"/>
        <w:numPr>
          <w:ilvl w:val="0"/>
          <w:numId w:val="2"/>
        </w:numPr>
        <w:spacing w:after="80"/>
      </w:pPr>
      <w:r>
        <w:t xml:space="preserve">Earnings — view today's earnings summary.</w:t>
      </w:r>
    </w:p>
    <w:p>
      <w:pPr>
        <w:pStyle w:val="ListParagraph"/>
        <w:numPr>
          <w:ilvl w:val="0"/>
          <w:numId w:val="2"/>
        </w:numPr>
        <w:spacing w:after="80"/>
      </w:pPr>
      <w:r>
        <w:t xml:space="preserve">Performance — view completed-delivery counts, route/fuel efficiency, and average delivery time.</w:t>
      </w:r>
    </w:p>
    <w:p>
      <w:pPr>
        <w:pStyle w:val="Heading2"/>
        <w:spacing w:after="140" w:before="280"/>
      </w:pPr>
      <w:r>
        <w:t xml:space="preserve">5.3 Hub Staff Portal</w:t>
      </w:r>
    </w:p>
    <w:p>
      <w:pPr>
        <w:pBdr>
          <w:top w:val="dashed" w:color="999999" w:sz="4"/>
          <w:bottom w:val="dashed" w:color="999999" w:sz="4"/>
          <w:left w:val="dashed" w:color="999999" w:sz="4"/>
          <w:right w:val="dashed" w:color="999999" w:sz="4"/>
        </w:pBdr>
        <w:spacing w:after="240" w:before="120"/>
        <w:jc w:val="center"/>
      </w:pPr>
      <w:r>
        <w:rPr>
          <w:i/>
          <w:iCs/>
          <w:color w:val="666666"/>
          <w:sz w:val="20"/>
          <w:szCs w:val="20"/>
        </w:rPr>
        <w:t xml:space="preserve">[ SCREENSHOT PLACEHOLDER — Hub Control Room dashboard ]</w:t>
      </w:r>
    </w:p>
    <w:p>
      <w:pPr>
        <w:pStyle w:val="Heading3"/>
        <w:spacing w:after="100" w:before="200"/>
      </w:pPr>
      <w:r>
        <w:t xml:space="preserve">5.3.1 Intake &amp; Scanning</w:t>
      </w:r>
    </w:p>
    <w:p>
      <w:pPr>
        <w:pStyle w:val="ListParagraph"/>
        <w:numPr>
          <w:ilvl w:val="0"/>
          <w:numId w:val="3"/>
        </w:numPr>
        <w:spacing w:after="80"/>
      </w:pPr>
      <w:r>
        <w:t xml:space="preserve">Open "Intake &amp; Scan".</w:t>
      </w:r>
    </w:p>
    <w:p>
      <w:pPr>
        <w:pStyle w:val="ListParagraph"/>
        <w:numPr>
          <w:ilvl w:val="0"/>
          <w:numId w:val="3"/>
        </w:numPr>
        <w:spacing w:after="80"/>
      </w:pPr>
      <w:r>
        <w:t xml:space="preserve">Either type a tracking ID manually, or click the camera-scan button to scan the shipment's barcode using your device camera.</w:t>
      </w:r>
    </w:p>
    <w:p>
      <w:pPr>
        <w:pStyle w:val="ListParagraph"/>
        <w:numPr>
          <w:ilvl w:val="0"/>
          <w:numId w:val="3"/>
        </w:numPr>
        <w:spacing w:after="80"/>
      </w:pPr>
      <w:r>
        <w:t xml:space="preserve">Once the shipment is found, click "Mark Received" to record its arrival at this hub.</w:t>
      </w:r>
    </w:p>
    <w:p>
      <w:pPr>
        <w:pBdr>
          <w:top w:val="dashed" w:color="999999" w:sz="4"/>
          <w:bottom w:val="dashed" w:color="999999" w:sz="4"/>
          <w:left w:val="dashed" w:color="999999" w:sz="4"/>
          <w:right w:val="dashed" w:color="999999" w:sz="4"/>
        </w:pBdr>
        <w:spacing w:after="240" w:before="120"/>
        <w:jc w:val="center"/>
      </w:pPr>
      <w:r>
        <w:rPr>
          <w:i/>
          <w:iCs/>
          <w:color w:val="666666"/>
          <w:sz w:val="20"/>
          <w:szCs w:val="20"/>
        </w:rPr>
        <w:t xml:space="preserve">[ SCREENSHOT PLACEHOLDER — Hub Intake screen with camera barcode scanner active ]</w:t>
      </w:r>
    </w:p>
    <w:p>
      <w:pPr>
        <w:pStyle w:val="Heading3"/>
        <w:spacing w:after="100" w:before="200"/>
      </w:pPr>
      <w:r>
        <w:t xml:space="preserve">5.3.2 Dispatching Shipments</w:t>
      </w:r>
    </w:p>
    <w:p>
      <w:pPr>
        <w:pStyle w:val="ListParagraph"/>
        <w:numPr>
          <w:ilvl w:val="0"/>
          <w:numId w:val="3"/>
        </w:numPr>
        <w:spacing w:after="80"/>
      </w:pPr>
      <w:r>
        <w:t xml:space="preserve">Open "Dispatch Center" to see all shipments currently at this hub, searchable and filterable by status.</w:t>
      </w:r>
    </w:p>
    <w:p>
      <w:pPr>
        <w:pStyle w:val="ListParagraph"/>
        <w:numPr>
          <w:ilvl w:val="0"/>
          <w:numId w:val="3"/>
        </w:numPr>
        <w:spacing w:after="80"/>
      </w:pPr>
      <w:r>
        <w:t xml:space="preserve">Select a shipment, assign it to a delivery agent, and click "Dispatch".</w:t>
      </w:r>
    </w:p>
    <w:p>
      <w:pPr>
        <w:pStyle w:val="ListParagraph"/>
        <w:numPr>
          <w:ilvl w:val="0"/>
          <w:numId w:val="3"/>
        </w:numPr>
        <w:spacing w:after="80"/>
      </w:pPr>
      <w:r>
        <w:t xml:space="preserve">For shipments stuck in a failed-delivery state, use the "Reschedule" button to send it out again, or "Return to Sender" to start the return process.</w:t>
      </w:r>
    </w:p>
    <w:p>
      <w:pPr>
        <w:pStyle w:val="Heading3"/>
        <w:spacing w:after="100" w:before="200"/>
      </w:pPr>
      <w:r>
        <w:t xml:space="preserve">5.3.3 Hub Transfers</w:t>
      </w:r>
    </w:p>
    <w:p>
      <w:pPr>
        <w:pStyle w:val="ListParagraph"/>
        <w:numPr>
          <w:ilvl w:val="0"/>
          <w:numId w:val="3"/>
        </w:numPr>
        <w:spacing w:after="80"/>
      </w:pPr>
      <w:r>
        <w:t xml:space="preserve">Open "Transfers" to view shipments ready to move to another hub.</w:t>
      </w:r>
    </w:p>
    <w:p>
      <w:pPr>
        <w:pStyle w:val="ListParagraph"/>
        <w:numPr>
          <w:ilvl w:val="0"/>
          <w:numId w:val="3"/>
        </w:numPr>
        <w:spacing w:after="80"/>
      </w:pPr>
      <w:r>
        <w:t xml:space="preserve">Select a destination hub and click "Start Transfer" to begin an inter-hub transfer.</w:t>
      </w:r>
    </w:p>
    <w:p>
      <w:pPr>
        <w:pStyle w:val="ListParagraph"/>
        <w:numPr>
          <w:ilvl w:val="0"/>
          <w:numId w:val="3"/>
        </w:numPr>
        <w:spacing w:after="80"/>
      </w:pPr>
      <w:r>
        <w:t xml:space="preserve">The "Active Transfers" table shows shipments currently in transit between hubs (outbound and inbound).</w:t>
      </w:r>
    </w:p>
    <w:p>
      <w:pPr>
        <w:pStyle w:val="Heading3"/>
        <w:spacing w:after="100" w:before="200"/>
      </w:pPr>
      <w:r>
        <w:t xml:space="preserve">5.3.4 Other Hub Staff Features</w:t>
      </w:r>
    </w:p>
    <w:p>
      <w:pPr>
        <w:pStyle w:val="ListParagraph"/>
        <w:numPr>
          <w:ilvl w:val="0"/>
          <w:numId w:val="2"/>
        </w:numPr>
        <w:spacing w:after="80"/>
      </w:pPr>
      <w:r>
        <w:t xml:space="preserve">Hub Capacity — monitor how full the hub currently is.</w:t>
      </w:r>
    </w:p>
    <w:p>
      <w:pPr>
        <w:pStyle w:val="ListParagraph"/>
        <w:numPr>
          <w:ilvl w:val="0"/>
          <w:numId w:val="2"/>
        </w:numPr>
        <w:spacing w:after="80"/>
      </w:pPr>
      <w:r>
        <w:t xml:space="preserve">Exceptions — review shipments flagged with problems at this hub.</w:t>
      </w:r>
    </w:p>
    <w:p>
      <w:pPr>
        <w:pStyle w:val="ListParagraph"/>
        <w:numPr>
          <w:ilvl w:val="0"/>
          <w:numId w:val="2"/>
        </w:numPr>
        <w:spacing w:after="80"/>
      </w:pPr>
      <w:r>
        <w:t xml:space="preserve">Priority Queue — a consolidated queue of medical, elderly-care, critical, and delayed shipments, with the option to assign a dedicated rider.</w:t>
      </w:r>
    </w:p>
    <w:p>
      <w:pPr>
        <w:pStyle w:val="ListParagraph"/>
        <w:numPr>
          <w:ilvl w:val="0"/>
          <w:numId w:val="2"/>
        </w:numPr>
        <w:spacing w:after="80"/>
      </w:pPr>
      <w:r>
        <w:t xml:space="preserve">Analytics — hub-level performance statistics.</w:t>
      </w:r>
    </w:p>
    <w:p>
      <w:pPr>
        <w:pStyle w:val="Heading2"/>
        <w:spacing w:after="140" w:before="280"/>
      </w:pPr>
      <w:r>
        <w:t xml:space="preserve">5.4 Administrator Dashboard</w:t>
      </w:r>
    </w:p>
    <w:p>
      <w:pPr>
        <w:pBdr>
          <w:top w:val="dashed" w:color="999999" w:sz="4"/>
          <w:bottom w:val="dashed" w:color="999999" w:sz="4"/>
          <w:left w:val="dashed" w:color="999999" w:sz="4"/>
          <w:right w:val="dashed" w:color="999999" w:sz="4"/>
        </w:pBdr>
        <w:spacing w:after="240" w:before="120"/>
        <w:jc w:val="center"/>
      </w:pPr>
      <w:r>
        <w:rPr>
          <w:i/>
          <w:iCs/>
          <w:color w:val="666666"/>
          <w:sz w:val="20"/>
          <w:szCs w:val="20"/>
        </w:rPr>
        <w:t xml:space="preserve">[ SCREENSHOT PLACEHOLDER — Admin Command Center dashboard ]</w:t>
      </w:r>
    </w:p>
    <w:p>
      <w:pPr>
        <w:pStyle w:val="Heading3"/>
        <w:spacing w:after="100" w:before="200"/>
      </w:pPr>
      <w:r>
        <w:t xml:space="preserve">5.4.1 Network Oversight</w:t>
      </w:r>
    </w:p>
    <w:p>
      <w:pPr>
        <w:pStyle w:val="ListParagraph"/>
        <w:numPr>
          <w:ilvl w:val="0"/>
          <w:numId w:val="2"/>
        </w:numPr>
        <w:spacing w:after="80"/>
      </w:pPr>
      <w:r>
        <w:t xml:space="preserve">Shipments — view and search all shipments across the network; open any shipment for full detail.</w:t>
      </w:r>
    </w:p>
    <w:p>
      <w:pPr>
        <w:pStyle w:val="ListParagraph"/>
        <w:numPr>
          <w:ilvl w:val="0"/>
          <w:numId w:val="2"/>
        </w:numPr>
        <w:spacing w:after="80"/>
      </w:pPr>
      <w:r>
        <w:t xml:space="preserve">Agents — manage delivery partner accounts.</w:t>
      </w:r>
    </w:p>
    <w:p>
      <w:pPr>
        <w:pStyle w:val="ListParagraph"/>
        <w:numPr>
          <w:ilvl w:val="0"/>
          <w:numId w:val="2"/>
        </w:numPr>
        <w:spacing w:after="80"/>
      </w:pPr>
      <w:r>
        <w:t xml:space="preserve">Hubs — view and manage all hubs; open a hub for detail.</w:t>
      </w:r>
    </w:p>
    <w:p>
      <w:pPr>
        <w:pStyle w:val="ListParagraph"/>
        <w:numPr>
          <w:ilvl w:val="0"/>
          <w:numId w:val="2"/>
        </w:numPr>
        <w:spacing w:after="80"/>
      </w:pPr>
      <w:r>
        <w:t xml:space="preserve">Vehicles (Fleet) — manage the delivery vehicle fleet.</w:t>
      </w:r>
    </w:p>
    <w:p>
      <w:pPr>
        <w:pStyle w:val="Heading3"/>
        <w:spacing w:after="100" w:before="200"/>
      </w:pPr>
      <w:r>
        <w:t xml:space="preserve">5.4.2 Exception Monitoring</w:t>
      </w:r>
    </w:p>
    <w:p>
      <w:pPr>
        <w:pStyle w:val="ListParagraph"/>
        <w:numPr>
          <w:ilvl w:val="0"/>
          <w:numId w:val="3"/>
        </w:numPr>
        <w:spacing w:after="80"/>
      </w:pPr>
      <w:r>
        <w:t xml:space="preserve">Open "Exceptions".</w:t>
      </w:r>
    </w:p>
    <w:p>
      <w:pPr>
        <w:pStyle w:val="ListParagraph"/>
        <w:numPr>
          <w:ilvl w:val="0"/>
          <w:numId w:val="3"/>
        </w:numPr>
        <w:spacing w:after="80"/>
      </w:pPr>
      <w:r>
        <w:t xml:space="preserve">Click "Run Detection Now" to immediately scan all active shipments for problems (a shipment stationary for more than 48 hours, delayed past its estimated delivery time, or with two or more failed delivery attempts).</w:t>
      </w:r>
    </w:p>
    <w:p>
      <w:pPr>
        <w:pStyle w:val="ListParagraph"/>
        <w:numPr>
          <w:ilvl w:val="0"/>
          <w:numId w:val="3"/>
        </w:numPr>
        <w:spacing w:after="80"/>
      </w:pPr>
      <w:r>
        <w:t xml:space="preserve">Review flagged shipments in the table, filter by severity, and click "Resolve" once handled.</w:t>
      </w:r>
    </w:p>
    <w:p>
      <w:pPr>
        <w:shd w:fill="EAF1F8" w:val="clear"/>
        <w:spacing w:after="160" w:before="80"/>
        <w:ind w:left="200"/>
      </w:pPr>
      <w:r>
        <w:rPr>
          <w:b/>
          <w:bCs/>
          <w:color w:val="1F4E79"/>
        </w:rPr>
        <w:t xml:space="preserve">Note: </w:t>
      </w:r>
      <w:r>
        <w:rPr>
          <w:color w:val="333333"/>
        </w:rPr>
        <w:t xml:space="preserve">This same detection sweep also runs automatically on a schedule in the background, so exceptions are raised proactively, not only when an administrator checks.</w:t>
      </w:r>
    </w:p>
    <w:p>
      <w:pPr>
        <w:pStyle w:val="Heading3"/>
        <w:spacing w:after="100" w:before="200"/>
      </w:pPr>
      <w:r>
        <w:t xml:space="preserve">5.4.3 Other Administrator Features</w:t>
      </w:r>
    </w:p>
    <w:p>
      <w:pPr>
        <w:pStyle w:val="ListParagraph"/>
        <w:numPr>
          <w:ilvl w:val="0"/>
          <w:numId w:val="2"/>
        </w:numPr>
        <w:spacing w:after="80"/>
      </w:pPr>
      <w:r>
        <w:t xml:space="preserve">Notifications — manage system-wide notifications.</w:t>
      </w:r>
    </w:p>
    <w:p>
      <w:pPr>
        <w:pStyle w:val="ListParagraph"/>
        <w:numPr>
          <w:ilvl w:val="0"/>
          <w:numId w:val="2"/>
        </w:numPr>
        <w:spacing w:after="80"/>
      </w:pPr>
      <w:r>
        <w:t xml:space="preserve">Analytics — network-wide performance dashboards.</w:t>
      </w:r>
    </w:p>
    <w:p>
      <w:pPr>
        <w:pStyle w:val="ListParagraph"/>
        <w:numPr>
          <w:ilvl w:val="0"/>
          <w:numId w:val="2"/>
        </w:numPr>
        <w:spacing w:after="80"/>
      </w:pPr>
      <w:r>
        <w:t xml:space="preserve">Reports — export shipment reports as CSV.</w:t>
      </w:r>
    </w:p>
    <w:p>
      <w:pPr>
        <w:pStyle w:val="ListParagraph"/>
        <w:numPr>
          <w:ilvl w:val="0"/>
          <w:numId w:val="2"/>
        </w:numPr>
        <w:spacing w:after="80"/>
      </w:pPr>
      <w:r>
        <w:t xml:space="preserve">Users — manage user accounts across all roles.</w:t>
      </w:r>
    </w:p>
    <w:p>
      <w:pPr>
        <w:pStyle w:val="ListParagraph"/>
        <w:numPr>
          <w:ilvl w:val="0"/>
          <w:numId w:val="2"/>
        </w:numPr>
        <w:spacing w:after="80"/>
      </w:pPr>
      <w:r>
        <w:t xml:space="preserve">Payments — view payment records.</w:t>
      </w:r>
    </w:p>
    <w:p>
      <w:pPr>
        <w:pStyle w:val="ListParagraph"/>
        <w:numPr>
          <w:ilvl w:val="0"/>
          <w:numId w:val="2"/>
        </w:numPr>
        <w:spacing w:after="80"/>
      </w:pPr>
      <w:r>
        <w:t xml:space="preserve">Settings — configure system-wide settings.</w:t>
      </w:r>
    </w:p>
    <w:p>
      <w:r>
        <w:br w:type="page"/>
      </w:r>
    </w:p>
    <w:p>
      <w:pPr>
        <w:pStyle w:val="Heading1"/>
        <w:spacing w:after="200" w:before="400"/>
      </w:pPr>
      <w:r>
        <w:t xml:space="preserve">6. Navigation</w:t>
      </w:r>
    </w:p>
    <w:p>
      <w:pPr>
        <w:spacing w:after="160"/>
      </w:pPr>
      <w:r>
        <w:t xml:space="preserve">ShipLync uses a consistent navigation pattern within each portal:</w:t>
      </w:r>
    </w:p>
    <w:p>
      <w:pPr>
        <w:pStyle w:val="ListParagraph"/>
        <w:numPr>
          <w:ilvl w:val="0"/>
          <w:numId w:val="2"/>
        </w:numPr>
        <w:spacing w:after="80"/>
      </w:pPr>
      <w:r>
        <w:rPr>
          <w:b/>
          <w:bCs/>
        </w:rPr>
        <w:t xml:space="preserve">Customer, Hub Staff, and Administrator portals: </w:t>
      </w:r>
      <w:r>
        <w:t xml:space="preserve">a fixed sidebar on the left lists all sections for that portal (with badges showing counts, e.g. open exceptions). A header bar at the top provides global search, a theme toggle (light/dark), a notifications bell, and your account avatar.</w:t>
      </w:r>
    </w:p>
    <w:p>
      <w:pPr>
        <w:pStyle w:val="ListParagraph"/>
        <w:numPr>
          <w:ilvl w:val="0"/>
          <w:numId w:val="2"/>
        </w:numPr>
        <w:spacing w:after="80"/>
      </w:pPr>
      <w:r>
        <w:rPr>
          <w:b/>
          <w:bCs/>
        </w:rPr>
        <w:t xml:space="preserve">Delivery Partner portal: </w:t>
      </w:r>
      <w:r>
        <w:t xml:space="preserve">on desktop, a similar sidebar is used. On mobile, a bottom tab bar provides one-tap access to the most-used sections (Today, Route, Deliveries, Exceptions, and your account).</w:t>
      </w:r>
    </w:p>
    <w:p>
      <w:pPr>
        <w:pStyle w:val="ListParagraph"/>
        <w:numPr>
          <w:ilvl w:val="0"/>
          <w:numId w:val="2"/>
        </w:numPr>
        <w:spacing w:after="80"/>
      </w:pPr>
      <w:r>
        <w:rPr>
          <w:b/>
          <w:bCs/>
        </w:rPr>
        <w:t xml:space="preserve">Detail pages: </w:t>
      </w:r>
      <w:r>
        <w:t xml:space="preserve">screens such as a shipment's detail page include "Back" links to return to the previous list (e.g. "Back to Dashboard", "Back to Deliveries") and inline links such as "View details →" to drill into related records.</w:t>
      </w:r>
    </w:p>
    <w:p>
      <w:pPr>
        <w:spacing w:after="160"/>
      </w:pPr>
      <w:r>
        <w:t xml:space="preserve">The currently active section is always highlighted in the sidebar or tab bar, so you can tell at a glance where you are in the application.</w:t>
      </w:r>
    </w:p>
    <w:p>
      <w:r>
        <w:br w:type="page"/>
      </w:r>
    </w:p>
    <w:p>
      <w:pPr>
        <w:pStyle w:val="Heading1"/>
        <w:spacing w:after="200" w:before="400"/>
      </w:pPr>
      <w:r>
        <w:t xml:space="preserve">7. Input and Output</w:t>
      </w:r>
    </w:p>
    <w:p>
      <w:pPr>
        <w:pStyle w:val="Heading2"/>
        <w:spacing w:after="140" w:before="280"/>
      </w:pPr>
      <w:r>
        <w:t xml:space="preserve">7.1 Key Inputs Required From Users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600"/>
        <w:gridCol w:w="6900"/>
      </w:tblGrid>
      <w:tr>
        <w:trPr>
          <w:tblHeader/>
        </w:trPr>
        <w:tc>
          <w:tcPr>
            <w:tcW w:type="dxa" w:w="2600"/>
            <w:shd w:fill="1F4E79" w:val="clear"/>
            <w:tcMar>
              <w:top w:type="dxa" w:w="80"/>
              <w:left w:type="dxa" w:w="120"/>
              <w:bottom w:type="dxa" w:w="80"/>
              <w:right w:type="dxa" w:w="120"/>
            </w:tcMar>
            <w:vAlign w:val="center"/>
          </w:tcPr>
          <w:p>
            <w:r>
              <w:rPr>
                <w:b/>
                <w:bCs/>
                <w:color w:val="FFFFFF"/>
                <w:sz w:val="20"/>
                <w:szCs w:val="20"/>
              </w:rPr>
              <w:t xml:space="preserve">Screen</w:t>
            </w:r>
          </w:p>
        </w:tc>
        <w:tc>
          <w:tcPr>
            <w:tcW w:type="dxa" w:w="6900"/>
            <w:shd w:fill="1F4E79" w:val="clear"/>
            <w:tcMar>
              <w:top w:type="dxa" w:w="80"/>
              <w:left w:type="dxa" w:w="120"/>
              <w:bottom w:type="dxa" w:w="80"/>
              <w:right w:type="dxa" w:w="120"/>
            </w:tcMar>
            <w:vAlign w:val="center"/>
          </w:tcPr>
          <w:p>
            <w:r>
              <w:rPr>
                <w:b/>
                <w:bCs/>
                <w:color w:val="FFFFFF"/>
                <w:sz w:val="20"/>
                <w:szCs w:val="20"/>
              </w:rPr>
              <w:t xml:space="preserve">Key Inputs</w:t>
            </w:r>
          </w:p>
        </w:tc>
      </w:tr>
      <w:tr>
        <w:trPr>
          <w:tblHeader w:val="false"/>
        </w:trPr>
        <w:tc>
          <w:tcPr>
            <w:tcW w:type="dxa" w:w="2600"/>
            <w:tcMar>
              <w:top w:type="dxa" w:w="80"/>
              <w:left w:type="dxa" w:w="120"/>
              <w:bottom w:type="dxa" w:w="80"/>
              <w:right w:type="dxa" w:w="120"/>
            </w:tcMar>
            <w:vAlign w:val="center"/>
          </w:tcPr>
          <w:p>
            <w:r>
              <w:rPr>
                <w:b w:val="false"/>
                <w:bCs w:val="false"/>
                <w:color w:val="000000"/>
                <w:sz w:val="20"/>
                <w:szCs w:val="20"/>
              </w:rPr>
              <w:t xml:space="preserve">Book Shipment</w:t>
            </w:r>
          </w:p>
        </w:tc>
        <w:tc>
          <w:tcPr>
            <w:tcW w:type="dxa" w:w="6900"/>
            <w:tcMar>
              <w:top w:type="dxa" w:w="80"/>
              <w:left w:type="dxa" w:w="120"/>
              <w:bottom w:type="dxa" w:w="80"/>
              <w:right w:type="dxa" w:w="120"/>
            </w:tcMar>
            <w:vAlign w:val="center"/>
          </w:tcPr>
          <w:p>
            <w:r>
              <w:rPr>
                <w:b w:val="false"/>
                <w:bCs w:val="false"/>
                <w:color w:val="000000"/>
                <w:sz w:val="20"/>
                <w:szCs w:val="20"/>
              </w:rPr>
              <w:t xml:space="preserve">Pickup &amp; delivery addresses, floor/security-checkpoint details, package type, weight &amp; dimensions, insurance option, elderly-care flag, requested pickup date.</w:t>
            </w:r>
          </w:p>
        </w:tc>
      </w:tr>
      <w:tr>
        <w:trPr>
          <w:tblHeader w:val="false"/>
        </w:trPr>
        <w:tc>
          <w:tcPr>
            <w:tcW w:type="dxa" w:w="2600"/>
            <w:tcMar>
              <w:top w:type="dxa" w:w="80"/>
              <w:left w:type="dxa" w:w="120"/>
              <w:bottom w:type="dxa" w:w="80"/>
              <w:right w:type="dxa" w:w="120"/>
            </w:tcMar>
            <w:vAlign w:val="center"/>
          </w:tcPr>
          <w:p>
            <w:r>
              <w:rPr>
                <w:b w:val="false"/>
                <w:bCs w:val="false"/>
                <w:color w:val="000000"/>
                <w:sz w:val="20"/>
                <w:szCs w:val="20"/>
              </w:rPr>
              <w:t xml:space="preserve">Login / Register</w:t>
            </w:r>
          </w:p>
        </w:tc>
        <w:tc>
          <w:tcPr>
            <w:tcW w:type="dxa" w:w="6900"/>
            <w:tcMar>
              <w:top w:type="dxa" w:w="80"/>
              <w:left w:type="dxa" w:w="120"/>
              <w:bottom w:type="dxa" w:w="80"/>
              <w:right w:type="dxa" w:w="120"/>
            </w:tcMar>
            <w:vAlign w:val="center"/>
          </w:tcPr>
          <w:p>
            <w:r>
              <w:rPr>
                <w:b w:val="false"/>
                <w:bCs w:val="false"/>
                <w:color w:val="000000"/>
                <w:sz w:val="20"/>
                <w:szCs w:val="20"/>
              </w:rPr>
              <w:t xml:space="preserve">Email, password (or phone number + OTP for the Mobile OTP flow), full name (for registration).</w:t>
            </w:r>
          </w:p>
        </w:tc>
      </w:tr>
      <w:tr>
        <w:trPr>
          <w:tblHeader w:val="false"/>
        </w:trPr>
        <w:tc>
          <w:tcPr>
            <w:tcW w:type="dxa" w:w="2600"/>
            <w:tcMar>
              <w:top w:type="dxa" w:w="80"/>
              <w:left w:type="dxa" w:w="120"/>
              <w:bottom w:type="dxa" w:w="80"/>
              <w:right w:type="dxa" w:w="120"/>
            </w:tcMar>
            <w:vAlign w:val="center"/>
          </w:tcPr>
          <w:p>
            <w:r>
              <w:rPr>
                <w:b w:val="false"/>
                <w:bCs w:val="false"/>
                <w:color w:val="000000"/>
                <w:sz w:val="20"/>
                <w:szCs w:val="20"/>
              </w:rPr>
              <w:t xml:space="preserve">Hub Intake</w:t>
            </w:r>
          </w:p>
        </w:tc>
        <w:tc>
          <w:tcPr>
            <w:tcW w:type="dxa" w:w="6900"/>
            <w:tcMar>
              <w:top w:type="dxa" w:w="80"/>
              <w:left w:type="dxa" w:w="120"/>
              <w:bottom w:type="dxa" w:w="80"/>
              <w:right w:type="dxa" w:w="120"/>
            </w:tcMar>
            <w:vAlign w:val="center"/>
          </w:tcPr>
          <w:p>
            <w:r>
              <w:rPr>
                <w:b w:val="false"/>
                <w:bCs w:val="false"/>
                <w:color w:val="000000"/>
                <w:sz w:val="20"/>
                <w:szCs w:val="20"/>
              </w:rPr>
              <w:t xml:space="preserve">Tracking ID (typed or scanned via camera).</w:t>
            </w:r>
          </w:p>
        </w:tc>
      </w:tr>
      <w:tr>
        <w:trPr>
          <w:tblHeader w:val="false"/>
        </w:trPr>
        <w:tc>
          <w:tcPr>
            <w:tcW w:type="dxa" w:w="2600"/>
            <w:tcMar>
              <w:top w:type="dxa" w:w="80"/>
              <w:left w:type="dxa" w:w="120"/>
              <w:bottom w:type="dxa" w:w="80"/>
              <w:right w:type="dxa" w:w="120"/>
            </w:tcMar>
            <w:vAlign w:val="center"/>
          </w:tcPr>
          <w:p>
            <w:r>
              <w:rPr>
                <w:b w:val="false"/>
                <w:bCs w:val="false"/>
                <w:color w:val="000000"/>
                <w:sz w:val="20"/>
                <w:szCs w:val="20"/>
              </w:rPr>
              <w:t xml:space="preserve">Dispatch</w:t>
            </w:r>
          </w:p>
        </w:tc>
        <w:tc>
          <w:tcPr>
            <w:tcW w:type="dxa" w:w="6900"/>
            <w:tcMar>
              <w:top w:type="dxa" w:w="80"/>
              <w:left w:type="dxa" w:w="120"/>
              <w:bottom w:type="dxa" w:w="80"/>
              <w:right w:type="dxa" w:w="120"/>
            </w:tcMar>
            <w:vAlign w:val="center"/>
          </w:tcPr>
          <w:p>
            <w:r>
              <w:rPr>
                <w:b w:val="false"/>
                <w:bCs w:val="false"/>
                <w:color w:val="000000"/>
                <w:sz w:val="20"/>
                <w:szCs w:val="20"/>
              </w:rPr>
              <w:t xml:space="preserve">Selected delivery agent for a shipment.</w:t>
            </w:r>
          </w:p>
        </w:tc>
      </w:tr>
      <w:tr>
        <w:trPr>
          <w:tblHeader w:val="false"/>
        </w:trPr>
        <w:tc>
          <w:tcPr>
            <w:tcW w:type="dxa" w:w="2600"/>
            <w:tcMar>
              <w:top w:type="dxa" w:w="80"/>
              <w:left w:type="dxa" w:w="120"/>
              <w:bottom w:type="dxa" w:w="80"/>
              <w:right w:type="dxa" w:w="120"/>
            </w:tcMar>
            <w:vAlign w:val="center"/>
          </w:tcPr>
          <w:p>
            <w:r>
              <w:rPr>
                <w:b w:val="false"/>
                <w:bCs w:val="false"/>
                <w:color w:val="000000"/>
                <w:sz w:val="20"/>
                <w:szCs w:val="20"/>
              </w:rPr>
              <w:t xml:space="preserve">Mark Delivered</w:t>
            </w:r>
          </w:p>
        </w:tc>
        <w:tc>
          <w:tcPr>
            <w:tcW w:type="dxa" w:w="6900"/>
            <w:tcMar>
              <w:top w:type="dxa" w:w="80"/>
              <w:left w:type="dxa" w:w="120"/>
              <w:bottom w:type="dxa" w:w="80"/>
              <w:right w:type="dxa" w:w="120"/>
            </w:tcMar>
            <w:vAlign w:val="center"/>
          </w:tcPr>
          <w:p>
            <w:r>
              <w:rPr>
                <w:b w:val="false"/>
                <w:bCs w:val="false"/>
                <w:color w:val="000000"/>
                <w:sz w:val="20"/>
                <w:szCs w:val="20"/>
              </w:rPr>
              <w:t xml:space="preserve">4-digit delivery OTP.</w:t>
            </w:r>
          </w:p>
        </w:tc>
      </w:tr>
      <w:tr>
        <w:trPr>
          <w:tblHeader w:val="false"/>
        </w:trPr>
        <w:tc>
          <w:tcPr>
            <w:tcW w:type="dxa" w:w="2600"/>
            <w:tcMar>
              <w:top w:type="dxa" w:w="80"/>
              <w:left w:type="dxa" w:w="120"/>
              <w:bottom w:type="dxa" w:w="80"/>
              <w:right w:type="dxa" w:w="120"/>
            </w:tcMar>
            <w:vAlign w:val="center"/>
          </w:tcPr>
          <w:p>
            <w:r>
              <w:rPr>
                <w:b w:val="false"/>
                <w:bCs w:val="false"/>
                <w:color w:val="000000"/>
                <w:sz w:val="20"/>
                <w:szCs w:val="20"/>
              </w:rPr>
              <w:t xml:space="preserve">Record Failed Attempt</w:t>
            </w:r>
          </w:p>
        </w:tc>
        <w:tc>
          <w:tcPr>
            <w:tcW w:type="dxa" w:w="6900"/>
            <w:tcMar>
              <w:top w:type="dxa" w:w="80"/>
              <w:left w:type="dxa" w:w="120"/>
              <w:bottom w:type="dxa" w:w="80"/>
              <w:right w:type="dxa" w:w="120"/>
            </w:tcMar>
            <w:vAlign w:val="center"/>
          </w:tcPr>
          <w:p>
            <w:r>
              <w:rPr>
                <w:b w:val="false"/>
                <w:bCs w:val="false"/>
                <w:color w:val="000000"/>
                <w:sz w:val="20"/>
                <w:szCs w:val="20"/>
              </w:rPr>
              <w:t xml:space="preserve">Failure reason (from a list) and optional notes.</w:t>
            </w:r>
          </w:p>
        </w:tc>
      </w:tr>
      <w:tr>
        <w:trPr>
          <w:tblHeader w:val="false"/>
        </w:trPr>
        <w:tc>
          <w:tcPr>
            <w:tcW w:type="dxa" w:w="2600"/>
            <w:tcMar>
              <w:top w:type="dxa" w:w="80"/>
              <w:left w:type="dxa" w:w="120"/>
              <w:bottom w:type="dxa" w:w="80"/>
              <w:right w:type="dxa" w:w="120"/>
            </w:tcMar>
            <w:vAlign w:val="center"/>
          </w:tcPr>
          <w:p>
            <w:r>
              <w:rPr>
                <w:b w:val="false"/>
                <w:bCs w:val="false"/>
                <w:color w:val="000000"/>
                <w:sz w:val="20"/>
                <w:szCs w:val="20"/>
              </w:rPr>
              <w:t xml:space="preserve">Hub Transfer</w:t>
            </w:r>
          </w:p>
        </w:tc>
        <w:tc>
          <w:tcPr>
            <w:tcW w:type="dxa" w:w="6900"/>
            <w:tcMar>
              <w:top w:type="dxa" w:w="80"/>
              <w:left w:type="dxa" w:w="120"/>
              <w:bottom w:type="dxa" w:w="80"/>
              <w:right w:type="dxa" w:w="120"/>
            </w:tcMar>
            <w:vAlign w:val="center"/>
          </w:tcPr>
          <w:p>
            <w:r>
              <w:rPr>
                <w:b w:val="false"/>
                <w:bCs w:val="false"/>
                <w:color w:val="000000"/>
                <w:sz w:val="20"/>
                <w:szCs w:val="20"/>
              </w:rPr>
              <w:t xml:space="preserve">Destination hub.</w:t>
            </w:r>
          </w:p>
        </w:tc>
      </w:tr>
    </w:tbl>
    <w:p>
      <w:pPr>
        <w:pStyle w:val="Heading2"/>
        <w:spacing w:after="140" w:before="280"/>
      </w:pPr>
      <w:r>
        <w:t xml:space="preserve">7.2 Key Outputs Shown to Users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600"/>
        <w:gridCol w:w="6900"/>
      </w:tblGrid>
      <w:tr>
        <w:trPr>
          <w:tblHeader/>
        </w:trPr>
        <w:tc>
          <w:tcPr>
            <w:tcW w:type="dxa" w:w="2600"/>
            <w:shd w:fill="1F4E79" w:val="clear"/>
            <w:tcMar>
              <w:top w:type="dxa" w:w="80"/>
              <w:left w:type="dxa" w:w="120"/>
              <w:bottom w:type="dxa" w:w="80"/>
              <w:right w:type="dxa" w:w="120"/>
            </w:tcMar>
            <w:vAlign w:val="center"/>
          </w:tcPr>
          <w:p>
            <w:r>
              <w:rPr>
                <w:b/>
                <w:bCs/>
                <w:color w:val="FFFFFF"/>
                <w:sz w:val="20"/>
                <w:szCs w:val="20"/>
              </w:rPr>
              <w:t xml:space="preserve">Screen</w:t>
            </w:r>
          </w:p>
        </w:tc>
        <w:tc>
          <w:tcPr>
            <w:tcW w:type="dxa" w:w="6900"/>
            <w:shd w:fill="1F4E79" w:val="clear"/>
            <w:tcMar>
              <w:top w:type="dxa" w:w="80"/>
              <w:left w:type="dxa" w:w="120"/>
              <w:bottom w:type="dxa" w:w="80"/>
              <w:right w:type="dxa" w:w="120"/>
            </w:tcMar>
            <w:vAlign w:val="center"/>
          </w:tcPr>
          <w:p>
            <w:r>
              <w:rPr>
                <w:b/>
                <w:bCs/>
                <w:color w:val="FFFFFF"/>
                <w:sz w:val="20"/>
                <w:szCs w:val="20"/>
              </w:rPr>
              <w:t xml:space="preserve">Key Outputs</w:t>
            </w:r>
          </w:p>
        </w:tc>
      </w:tr>
      <w:tr>
        <w:trPr>
          <w:tblHeader w:val="false"/>
        </w:trPr>
        <w:tc>
          <w:tcPr>
            <w:tcW w:type="dxa" w:w="2600"/>
            <w:tcMar>
              <w:top w:type="dxa" w:w="80"/>
              <w:left w:type="dxa" w:w="120"/>
              <w:bottom w:type="dxa" w:w="80"/>
              <w:right w:type="dxa" w:w="120"/>
            </w:tcMar>
            <w:vAlign w:val="center"/>
          </w:tcPr>
          <w:p>
            <w:r>
              <w:rPr>
                <w:b w:val="false"/>
                <w:bCs w:val="false"/>
                <w:color w:val="000000"/>
                <w:sz w:val="20"/>
                <w:szCs w:val="20"/>
              </w:rPr>
              <w:t xml:space="preserve">Book Shipment</w:t>
            </w:r>
          </w:p>
        </w:tc>
        <w:tc>
          <w:tcPr>
            <w:tcW w:type="dxa" w:w="6900"/>
            <w:tcMar>
              <w:top w:type="dxa" w:w="80"/>
              <w:left w:type="dxa" w:w="120"/>
              <w:bottom w:type="dxa" w:w="80"/>
              <w:right w:type="dxa" w:w="120"/>
            </w:tcMar>
            <w:vAlign w:val="center"/>
          </w:tcPr>
          <w:p>
            <w:r>
              <w:rPr>
                <w:b w:val="false"/>
                <w:bCs w:val="false"/>
                <w:color w:val="000000"/>
                <w:sz w:val="20"/>
                <w:szCs w:val="20"/>
              </w:rPr>
              <w:t xml:space="preserve">Estimated cost, estimated delivery time (with a route/factor breakdown), and a tracking ID upon confirmation.</w:t>
            </w:r>
          </w:p>
        </w:tc>
      </w:tr>
      <w:tr>
        <w:trPr>
          <w:tblHeader w:val="false"/>
        </w:trPr>
        <w:tc>
          <w:tcPr>
            <w:tcW w:type="dxa" w:w="2600"/>
            <w:tcMar>
              <w:top w:type="dxa" w:w="80"/>
              <w:left w:type="dxa" w:w="120"/>
              <w:bottom w:type="dxa" w:w="80"/>
              <w:right w:type="dxa" w:w="120"/>
            </w:tcMar>
            <w:vAlign w:val="center"/>
          </w:tcPr>
          <w:p>
            <w:r>
              <w:rPr>
                <w:b w:val="false"/>
                <w:bCs w:val="false"/>
                <w:color w:val="000000"/>
                <w:sz w:val="20"/>
                <w:szCs w:val="20"/>
              </w:rPr>
              <w:t xml:space="preserve">Track Shipment</w:t>
            </w:r>
          </w:p>
        </w:tc>
        <w:tc>
          <w:tcPr>
            <w:tcW w:type="dxa" w:w="6900"/>
            <w:tcMar>
              <w:top w:type="dxa" w:w="80"/>
              <w:left w:type="dxa" w:w="120"/>
              <w:bottom w:type="dxa" w:w="80"/>
              <w:right w:type="dxa" w:w="120"/>
            </w:tcMar>
            <w:vAlign w:val="center"/>
          </w:tcPr>
          <w:p>
            <w:r>
              <w:rPr>
                <w:b w:val="false"/>
                <w:bCs w:val="false"/>
                <w:color w:val="000000"/>
                <w:sz w:val="20"/>
                <w:szCs w:val="20"/>
              </w:rPr>
              <w:t xml:space="preserve">Current status, milestone progress, route map, activity timeline, assigned delivery partner, exceptions, delivery-attempt history, and barcode label.</w:t>
            </w:r>
          </w:p>
        </w:tc>
      </w:tr>
      <w:tr>
        <w:trPr>
          <w:tblHeader w:val="false"/>
        </w:trPr>
        <w:tc>
          <w:tcPr>
            <w:tcW w:type="dxa" w:w="2600"/>
            <w:tcMar>
              <w:top w:type="dxa" w:w="80"/>
              <w:left w:type="dxa" w:w="120"/>
              <w:bottom w:type="dxa" w:w="80"/>
              <w:right w:type="dxa" w:w="120"/>
            </w:tcMar>
            <w:vAlign w:val="center"/>
          </w:tcPr>
          <w:p>
            <w:r>
              <w:rPr>
                <w:b w:val="false"/>
                <w:bCs w:val="false"/>
                <w:color w:val="000000"/>
                <w:sz w:val="20"/>
                <w:szCs w:val="20"/>
              </w:rPr>
              <w:t xml:space="preserve">Dispatch / Transfers</w:t>
            </w:r>
          </w:p>
        </w:tc>
        <w:tc>
          <w:tcPr>
            <w:tcW w:type="dxa" w:w="6900"/>
            <w:tcMar>
              <w:top w:type="dxa" w:w="80"/>
              <w:left w:type="dxa" w:w="120"/>
              <w:bottom w:type="dxa" w:w="80"/>
              <w:right w:type="dxa" w:w="120"/>
            </w:tcMar>
            <w:vAlign w:val="center"/>
          </w:tcPr>
          <w:p>
            <w:r>
              <w:rPr>
                <w:b w:val="false"/>
                <w:bCs w:val="false"/>
                <w:color w:val="000000"/>
                <w:sz w:val="20"/>
                <w:szCs w:val="20"/>
              </w:rPr>
              <w:t xml:space="preserve">Confirmation toast messages (e.g. “Dispatched”, “Transfer started”) or failure messages if an action could not be completed.</w:t>
            </w:r>
          </w:p>
        </w:tc>
      </w:tr>
      <w:tr>
        <w:trPr>
          <w:tblHeader w:val="false"/>
        </w:trPr>
        <w:tc>
          <w:tcPr>
            <w:tcW w:type="dxa" w:w="2600"/>
            <w:tcMar>
              <w:top w:type="dxa" w:w="80"/>
              <w:left w:type="dxa" w:w="120"/>
              <w:bottom w:type="dxa" w:w="80"/>
              <w:right w:type="dxa" w:w="120"/>
            </w:tcMar>
            <w:vAlign w:val="center"/>
          </w:tcPr>
          <w:p>
            <w:r>
              <w:rPr>
                <w:b w:val="false"/>
                <w:bCs w:val="false"/>
                <w:color w:val="000000"/>
                <w:sz w:val="20"/>
                <w:szCs w:val="20"/>
              </w:rPr>
              <w:t xml:space="preserve">Exceptions</w:t>
            </w:r>
          </w:p>
        </w:tc>
        <w:tc>
          <w:tcPr>
            <w:tcW w:type="dxa" w:w="6900"/>
            <w:tcMar>
              <w:top w:type="dxa" w:w="80"/>
              <w:left w:type="dxa" w:w="120"/>
              <w:bottom w:type="dxa" w:w="80"/>
              <w:right w:type="dxa" w:w="120"/>
            </w:tcMar>
            <w:vAlign w:val="center"/>
          </w:tcPr>
          <w:p>
            <w:r>
              <w:rPr>
                <w:b w:val="false"/>
                <w:bCs w:val="false"/>
                <w:color w:val="000000"/>
                <w:sz w:val="20"/>
                <w:szCs w:val="20"/>
              </w:rPr>
              <w:t xml:space="preserve">A table of flagged shipments with severity and reason.</w:t>
            </w:r>
          </w:p>
        </w:tc>
      </w:tr>
      <w:tr>
        <w:trPr>
          <w:tblHeader w:val="false"/>
        </w:trPr>
        <w:tc>
          <w:tcPr>
            <w:tcW w:type="dxa" w:w="2600"/>
            <w:tcMar>
              <w:top w:type="dxa" w:w="80"/>
              <w:left w:type="dxa" w:w="120"/>
              <w:bottom w:type="dxa" w:w="80"/>
              <w:right w:type="dxa" w:w="120"/>
            </w:tcMar>
            <w:vAlign w:val="center"/>
          </w:tcPr>
          <w:p>
            <w:r>
              <w:rPr>
                <w:b w:val="false"/>
                <w:bCs w:val="false"/>
                <w:color w:val="000000"/>
                <w:sz w:val="20"/>
                <w:szCs w:val="20"/>
              </w:rPr>
              <w:t xml:space="preserve">Reports</w:t>
            </w:r>
          </w:p>
        </w:tc>
        <w:tc>
          <w:tcPr>
            <w:tcW w:type="dxa" w:w="6900"/>
            <w:tcMar>
              <w:top w:type="dxa" w:w="80"/>
              <w:left w:type="dxa" w:w="120"/>
              <w:bottom w:type="dxa" w:w="80"/>
              <w:right w:type="dxa" w:w="120"/>
            </w:tcMar>
            <w:vAlign w:val="center"/>
          </w:tcPr>
          <w:p>
            <w:r>
              <w:rPr>
                <w:b w:val="false"/>
                <w:bCs w:val="false"/>
                <w:color w:val="000000"/>
                <w:sz w:val="20"/>
                <w:szCs w:val="20"/>
              </w:rPr>
              <w:t xml:space="preserve">A downloadable CSV file of shipment data.</w:t>
            </w:r>
          </w:p>
        </w:tc>
      </w:tr>
    </w:tbl>
    <w:p>
      <w:r>
        <w:br w:type="page"/>
      </w:r>
    </w:p>
    <w:p>
      <w:pPr>
        <w:pStyle w:val="Heading1"/>
        <w:spacing w:after="200" w:before="400"/>
      </w:pPr>
      <w:r>
        <w:t xml:space="preserve">8. Error Handling / Messages</w:t>
      </w:r>
    </w:p>
    <w:p>
      <w:pPr>
        <w:spacing w:after="160"/>
      </w:pPr>
      <w:r>
        <w:t xml:space="preserve">ShipLync surfaces problems directly in the interface rather than failing silently. Common messages and how to resolve them:</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800"/>
        <w:gridCol w:w="5700"/>
      </w:tblGrid>
      <w:tr>
        <w:trPr>
          <w:tblHeader/>
        </w:trPr>
        <w:tc>
          <w:tcPr>
            <w:tcW w:type="dxa" w:w="3800"/>
            <w:shd w:fill="1F4E79" w:val="clear"/>
            <w:tcMar>
              <w:top w:type="dxa" w:w="80"/>
              <w:left w:type="dxa" w:w="120"/>
              <w:bottom w:type="dxa" w:w="80"/>
              <w:right w:type="dxa" w:w="120"/>
            </w:tcMar>
            <w:vAlign w:val="center"/>
          </w:tcPr>
          <w:p>
            <w:r>
              <w:rPr>
                <w:b/>
                <w:bCs/>
                <w:color w:val="FFFFFF"/>
                <w:sz w:val="20"/>
                <w:szCs w:val="20"/>
              </w:rPr>
              <w:t xml:space="preserve">Message / Situation</w:t>
            </w:r>
          </w:p>
        </w:tc>
        <w:tc>
          <w:tcPr>
            <w:tcW w:type="dxa" w:w="5700"/>
            <w:shd w:fill="1F4E79" w:val="clear"/>
            <w:tcMar>
              <w:top w:type="dxa" w:w="80"/>
              <w:left w:type="dxa" w:w="120"/>
              <w:bottom w:type="dxa" w:w="80"/>
              <w:right w:type="dxa" w:w="120"/>
            </w:tcMar>
            <w:vAlign w:val="center"/>
          </w:tcPr>
          <w:p>
            <w:r>
              <w:rPr>
                <w:b/>
                <w:bCs/>
                <w:color w:val="FFFFFF"/>
                <w:sz w:val="20"/>
                <w:szCs w:val="20"/>
              </w:rPr>
              <w:t xml:space="preserve">Meaning &amp; Resolution</w:t>
            </w:r>
          </w:p>
        </w:tc>
      </w:tr>
      <w:tr>
        <w:trPr>
          <w:tblHeader w:val="false"/>
        </w:trPr>
        <w:tc>
          <w:tcPr>
            <w:tcW w:type="dxa" w:w="3800"/>
            <w:tcMar>
              <w:top w:type="dxa" w:w="80"/>
              <w:left w:type="dxa" w:w="120"/>
              <w:bottom w:type="dxa" w:w="80"/>
              <w:right w:type="dxa" w:w="120"/>
            </w:tcMar>
            <w:vAlign w:val="center"/>
          </w:tcPr>
          <w:p>
            <w:r>
              <w:rPr>
                <w:b w:val="false"/>
                <w:bCs w:val="false"/>
                <w:color w:val="000000"/>
                <w:sz w:val="20"/>
                <w:szCs w:val="20"/>
              </w:rPr>
              <w:t xml:space="preserve">“Page not found”</w:t>
            </w:r>
          </w:p>
        </w:tc>
        <w:tc>
          <w:tcPr>
            <w:tcW w:type="dxa" w:w="5700"/>
            <w:tcMar>
              <w:top w:type="dxa" w:w="80"/>
              <w:left w:type="dxa" w:w="120"/>
              <w:bottom w:type="dxa" w:w="80"/>
              <w:right w:type="dxa" w:w="120"/>
            </w:tcMar>
            <w:vAlign w:val="center"/>
          </w:tcPr>
          <w:p>
            <w:r>
              <w:rPr>
                <w:b w:val="false"/>
                <w:bCs w:val="false"/>
                <w:color w:val="000000"/>
                <w:sz w:val="20"/>
                <w:szCs w:val="20"/>
              </w:rPr>
              <w:t xml:space="preserve">The URL does not match any page. Click “Go home” to return to the start.</w:t>
            </w:r>
          </w:p>
        </w:tc>
      </w:tr>
      <w:tr>
        <w:trPr>
          <w:tblHeader w:val="false"/>
        </w:trPr>
        <w:tc>
          <w:tcPr>
            <w:tcW w:type="dxa" w:w="3800"/>
            <w:tcMar>
              <w:top w:type="dxa" w:w="80"/>
              <w:left w:type="dxa" w:w="120"/>
              <w:bottom w:type="dxa" w:w="80"/>
              <w:right w:type="dxa" w:w="120"/>
            </w:tcMar>
            <w:vAlign w:val="center"/>
          </w:tcPr>
          <w:p>
            <w:r>
              <w:rPr>
                <w:b w:val="false"/>
                <w:bCs w:val="false"/>
                <w:color w:val="000000"/>
                <w:sz w:val="20"/>
                <w:szCs w:val="20"/>
              </w:rPr>
              <w:t xml:space="preserve">“This page didn’t load”</w:t>
            </w:r>
          </w:p>
        </w:tc>
        <w:tc>
          <w:tcPr>
            <w:tcW w:type="dxa" w:w="5700"/>
            <w:tcMar>
              <w:top w:type="dxa" w:w="80"/>
              <w:left w:type="dxa" w:w="120"/>
              <w:bottom w:type="dxa" w:w="80"/>
              <w:right w:type="dxa" w:w="120"/>
            </w:tcMar>
            <w:vAlign w:val="center"/>
          </w:tcPr>
          <w:p>
            <w:r>
              <w:rPr>
                <w:b w:val="false"/>
                <w:bCs w:val="false"/>
                <w:color w:val="000000"/>
                <w:sz w:val="20"/>
                <w:szCs w:val="20"/>
              </w:rPr>
              <w:t xml:space="preserve">An unexpected error occurred while loading a page. Click “Try again”, or “Go home” if the problem persists.</w:t>
            </w:r>
          </w:p>
        </w:tc>
      </w:tr>
      <w:tr>
        <w:trPr>
          <w:tblHeader w:val="false"/>
        </w:trPr>
        <w:tc>
          <w:tcPr>
            <w:tcW w:type="dxa" w:w="3800"/>
            <w:tcMar>
              <w:top w:type="dxa" w:w="80"/>
              <w:left w:type="dxa" w:w="120"/>
              <w:bottom w:type="dxa" w:w="80"/>
              <w:right w:type="dxa" w:w="120"/>
            </w:tcMar>
            <w:vAlign w:val="center"/>
          </w:tcPr>
          <w:p>
            <w:r>
              <w:rPr>
                <w:b w:val="false"/>
                <w:bCs w:val="false"/>
                <w:color w:val="000000"/>
                <w:sz w:val="20"/>
                <w:szCs w:val="20"/>
              </w:rPr>
              <w:t xml:space="preserve">“Checking your session…” (persists)</w:t>
            </w:r>
          </w:p>
        </w:tc>
        <w:tc>
          <w:tcPr>
            <w:tcW w:type="dxa" w:w="5700"/>
            <w:tcMar>
              <w:top w:type="dxa" w:w="80"/>
              <w:left w:type="dxa" w:w="120"/>
              <w:bottom w:type="dxa" w:w="80"/>
              <w:right w:type="dxa" w:w="120"/>
            </w:tcMar>
            <w:vAlign w:val="center"/>
          </w:tcPr>
          <w:p>
            <w:r>
              <w:rPr>
                <w:b w:val="false"/>
                <w:bCs w:val="false"/>
                <w:color w:val="000000"/>
                <w:sz w:val="20"/>
                <w:szCs w:val="20"/>
              </w:rPr>
              <w:t xml:space="preserve">The app is verifying your login. If it does not resolve, refresh the page or sign in again.</w:t>
            </w:r>
          </w:p>
        </w:tc>
      </w:tr>
      <w:tr>
        <w:trPr>
          <w:tblHeader w:val="false"/>
        </w:trPr>
        <w:tc>
          <w:tcPr>
            <w:tcW w:type="dxa" w:w="3800"/>
            <w:tcMar>
              <w:top w:type="dxa" w:w="80"/>
              <w:left w:type="dxa" w:w="120"/>
              <w:bottom w:type="dxa" w:w="80"/>
              <w:right w:type="dxa" w:w="120"/>
            </w:tcMar>
            <w:vAlign w:val="center"/>
          </w:tcPr>
          <w:p>
            <w:r>
              <w:rPr>
                <w:b w:val="false"/>
                <w:bCs w:val="false"/>
                <w:color w:val="000000"/>
                <w:sz w:val="20"/>
                <w:szCs w:val="20"/>
              </w:rPr>
              <w:t xml:space="preserve">Redirected to /login after clicking a portal link</w:t>
            </w:r>
          </w:p>
        </w:tc>
        <w:tc>
          <w:tcPr>
            <w:tcW w:type="dxa" w:w="5700"/>
            <w:tcMar>
              <w:top w:type="dxa" w:w="80"/>
              <w:left w:type="dxa" w:w="120"/>
              <w:bottom w:type="dxa" w:w="80"/>
              <w:right w:type="dxa" w:w="120"/>
            </w:tcMar>
            <w:vAlign w:val="center"/>
          </w:tcPr>
          <w:p>
            <w:r>
              <w:rPr>
                <w:b w:val="false"/>
                <w:bCs w:val="false"/>
                <w:color w:val="000000"/>
                <w:sz w:val="20"/>
                <w:szCs w:val="20"/>
              </w:rPr>
              <w:t xml:space="preserve">You are not signed in, or you are signed in under a different role than the portal requires. Sign in with an account that has the correct role.</w:t>
            </w:r>
          </w:p>
        </w:tc>
      </w:tr>
      <w:tr>
        <w:trPr>
          <w:tblHeader w:val="false"/>
        </w:trPr>
        <w:tc>
          <w:tcPr>
            <w:tcW w:type="dxa" w:w="3800"/>
            <w:tcMar>
              <w:top w:type="dxa" w:w="80"/>
              <w:left w:type="dxa" w:w="120"/>
              <w:bottom w:type="dxa" w:w="80"/>
              <w:right w:type="dxa" w:w="120"/>
            </w:tcMar>
            <w:vAlign w:val="center"/>
          </w:tcPr>
          <w:p>
            <w:r>
              <w:rPr>
                <w:b w:val="false"/>
                <w:bCs w:val="false"/>
                <w:color w:val="000000"/>
                <w:sz w:val="20"/>
                <w:szCs w:val="20"/>
              </w:rPr>
              <w:t xml:space="preserve">Inline field errors on the booking form (e.g. “Enter a valid 10-digit Indian mobile number”, “Weight cannot exceed 100 kg”)</w:t>
            </w:r>
          </w:p>
        </w:tc>
        <w:tc>
          <w:tcPr>
            <w:tcW w:type="dxa" w:w="5700"/>
            <w:tcMar>
              <w:top w:type="dxa" w:w="80"/>
              <w:left w:type="dxa" w:w="120"/>
              <w:bottom w:type="dxa" w:w="80"/>
              <w:right w:type="dxa" w:w="120"/>
            </w:tcMar>
            <w:vAlign w:val="center"/>
          </w:tcPr>
          <w:p>
            <w:r>
              <w:rPr>
                <w:b w:val="false"/>
                <w:bCs w:val="false"/>
                <w:color w:val="000000"/>
                <w:sz w:val="20"/>
                <w:szCs w:val="20"/>
              </w:rPr>
              <w:t xml:space="preserve">The value entered does not meet the required format or limit. Correct the highlighted field and resubmit.</w:t>
            </w:r>
          </w:p>
        </w:tc>
      </w:tr>
      <w:tr>
        <w:trPr>
          <w:tblHeader w:val="false"/>
        </w:trPr>
        <w:tc>
          <w:tcPr>
            <w:tcW w:type="dxa" w:w="3800"/>
            <w:tcMar>
              <w:top w:type="dxa" w:w="80"/>
              <w:left w:type="dxa" w:w="120"/>
              <w:bottom w:type="dxa" w:w="80"/>
              <w:right w:type="dxa" w:w="120"/>
            </w:tcMar>
            <w:vAlign w:val="center"/>
          </w:tcPr>
          <w:p>
            <w:r>
              <w:rPr>
                <w:b w:val="false"/>
                <w:bCs w:val="false"/>
                <w:color w:val="000000"/>
                <w:sz w:val="20"/>
                <w:szCs w:val="20"/>
              </w:rPr>
              <w:t xml:space="preserve">Red banner on the booking form after submission</w:t>
            </w:r>
          </w:p>
        </w:tc>
        <w:tc>
          <w:tcPr>
            <w:tcW w:type="dxa" w:w="5700"/>
            <w:tcMar>
              <w:top w:type="dxa" w:w="80"/>
              <w:left w:type="dxa" w:w="120"/>
              <w:bottom w:type="dxa" w:w="80"/>
              <w:right w:type="dxa" w:w="120"/>
            </w:tcMar>
            <w:vAlign w:val="center"/>
          </w:tcPr>
          <w:p>
            <w:r>
              <w:rPr>
                <w:b w:val="false"/>
                <w:bCs w:val="false"/>
                <w:color w:val="000000"/>
                <w:sz w:val="20"/>
                <w:szCs w:val="20"/>
              </w:rPr>
              <w:t xml:space="preserve">The booking could not be saved on the server. Check your internet connection and try again.</w:t>
            </w:r>
          </w:p>
        </w:tc>
      </w:tr>
      <w:tr>
        <w:trPr>
          <w:tblHeader w:val="false"/>
        </w:trPr>
        <w:tc>
          <w:tcPr>
            <w:tcW w:type="dxa" w:w="3800"/>
            <w:tcMar>
              <w:top w:type="dxa" w:w="80"/>
              <w:left w:type="dxa" w:w="120"/>
              <w:bottom w:type="dxa" w:w="80"/>
              <w:right w:type="dxa" w:w="120"/>
            </w:tcMar>
            <w:vAlign w:val="center"/>
          </w:tcPr>
          <w:p>
            <w:r>
              <w:rPr>
                <w:b w:val="false"/>
                <w:bCs w:val="false"/>
                <w:color w:val="000000"/>
                <w:sz w:val="20"/>
                <w:szCs w:val="20"/>
              </w:rPr>
              <w:t xml:space="preserve">Red banner on the login form</w:t>
            </w:r>
          </w:p>
        </w:tc>
        <w:tc>
          <w:tcPr>
            <w:tcW w:type="dxa" w:w="5700"/>
            <w:tcMar>
              <w:top w:type="dxa" w:w="80"/>
              <w:left w:type="dxa" w:w="120"/>
              <w:bottom w:type="dxa" w:w="80"/>
              <w:right w:type="dxa" w:w="120"/>
            </w:tcMar>
            <w:vAlign w:val="center"/>
          </w:tcPr>
          <w:p>
            <w:r>
              <w:rPr>
                <w:b w:val="false"/>
                <w:bCs w:val="false"/>
                <w:color w:val="000000"/>
                <w:sz w:val="20"/>
                <w:szCs w:val="20"/>
              </w:rPr>
              <w:t xml:space="preserve">Sign-in or account-creation failed (e.g. wrong password, or a demo account issue). Re-check your credentials.</w:t>
            </w:r>
          </w:p>
        </w:tc>
      </w:tr>
      <w:tr>
        <w:trPr>
          <w:tblHeader w:val="false"/>
        </w:trPr>
        <w:tc>
          <w:tcPr>
            <w:tcW w:type="dxa" w:w="3800"/>
            <w:tcMar>
              <w:top w:type="dxa" w:w="80"/>
              <w:left w:type="dxa" w:w="120"/>
              <w:bottom w:type="dxa" w:w="80"/>
              <w:right w:type="dxa" w:w="120"/>
            </w:tcMar>
            <w:vAlign w:val="center"/>
          </w:tcPr>
          <w:p>
            <w:r>
              <w:rPr>
                <w:b w:val="false"/>
                <w:bCs w:val="false"/>
                <w:color w:val="000000"/>
                <w:sz w:val="20"/>
                <w:szCs w:val="20"/>
              </w:rPr>
              <w:t xml:space="preserve">“This shipment isn’t assigned to you, or no longer exists” (Delivery Partner)</w:t>
            </w:r>
          </w:p>
        </w:tc>
        <w:tc>
          <w:tcPr>
            <w:tcW w:type="dxa" w:w="5700"/>
            <w:tcMar>
              <w:top w:type="dxa" w:w="80"/>
              <w:left w:type="dxa" w:w="120"/>
              <w:bottom w:type="dxa" w:w="80"/>
              <w:right w:type="dxa" w:w="120"/>
            </w:tcMar>
            <w:vAlign w:val="center"/>
          </w:tcPr>
          <w:p>
            <w:r>
              <w:rPr>
                <w:b w:val="false"/>
                <w:bCs w:val="false"/>
                <w:color w:val="000000"/>
                <w:sz w:val="20"/>
                <w:szCs w:val="20"/>
              </w:rPr>
              <w:t xml:space="preserve">You opened a shipment that is not on your route, or its ID is invalid. Return to your Deliveries list.</w:t>
            </w:r>
          </w:p>
        </w:tc>
      </w:tr>
      <w:tr>
        <w:trPr>
          <w:tblHeader w:val="false"/>
        </w:trPr>
        <w:tc>
          <w:tcPr>
            <w:tcW w:type="dxa" w:w="3800"/>
            <w:tcMar>
              <w:top w:type="dxa" w:w="80"/>
              <w:left w:type="dxa" w:w="120"/>
              <w:bottom w:type="dxa" w:w="80"/>
              <w:right w:type="dxa" w:w="120"/>
            </w:tcMar>
            <w:vAlign w:val="center"/>
          </w:tcPr>
          <w:p>
            <w:r>
              <w:rPr>
                <w:b w:val="false"/>
                <w:bCs w:val="false"/>
                <w:color w:val="000000"/>
                <w:sz w:val="20"/>
                <w:szCs w:val="20"/>
              </w:rPr>
              <w:t xml:space="preserve">Toast messages such as “Assign failed” / “Dispatch failed” / “Could not update shipment” (Hub/Admin actions)</w:t>
            </w:r>
          </w:p>
        </w:tc>
        <w:tc>
          <w:tcPr>
            <w:tcW w:type="dxa" w:w="5700"/>
            <w:tcMar>
              <w:top w:type="dxa" w:w="80"/>
              <w:left w:type="dxa" w:w="120"/>
              <w:bottom w:type="dxa" w:w="80"/>
              <w:right w:type="dxa" w:w="120"/>
            </w:tcMar>
            <w:vAlign w:val="center"/>
          </w:tcPr>
          <w:p>
            <w:r>
              <w:rPr>
                <w:b w:val="false"/>
                <w:bCs w:val="false"/>
                <w:color w:val="000000"/>
                <w:sz w:val="20"/>
                <w:szCs w:val="20"/>
              </w:rPr>
              <w:t xml:space="preserve">The action could not be completed on the server. Retry the action; if it keeps failing, verify the shipment’s current status hasn’t changed.</w:t>
            </w:r>
          </w:p>
        </w:tc>
      </w:tr>
      <w:tr>
        <w:trPr>
          <w:tblHeader w:val="false"/>
        </w:trPr>
        <w:tc>
          <w:tcPr>
            <w:tcW w:type="dxa" w:w="3800"/>
            <w:tcMar>
              <w:top w:type="dxa" w:w="80"/>
              <w:left w:type="dxa" w:w="120"/>
              <w:bottom w:type="dxa" w:w="80"/>
              <w:right w:type="dxa" w:w="120"/>
            </w:tcMar>
            <w:vAlign w:val="center"/>
          </w:tcPr>
          <w:p>
            <w:r>
              <w:rPr>
                <w:b w:val="false"/>
                <w:bCs w:val="false"/>
                <w:color w:val="000000"/>
                <w:sz w:val="20"/>
                <w:szCs w:val="20"/>
              </w:rPr>
              <w:t xml:space="preserve">“Returned to sender” notice on a tracked shipment</w:t>
            </w:r>
          </w:p>
        </w:tc>
        <w:tc>
          <w:tcPr>
            <w:tcW w:type="dxa" w:w="5700"/>
            <w:tcMar>
              <w:top w:type="dxa" w:w="80"/>
              <w:left w:type="dxa" w:w="120"/>
              <w:bottom w:type="dxa" w:w="80"/>
              <w:right w:type="dxa" w:w="120"/>
            </w:tcMar>
            <w:vAlign w:val="center"/>
          </w:tcPr>
          <w:p>
            <w:r>
              <w:rPr>
                <w:b w:val="false"/>
                <w:bCs w:val="false"/>
                <w:color w:val="000000"/>
                <w:sz w:val="20"/>
                <w:szCs w:val="20"/>
              </w:rPr>
              <w:t xml:space="preserve">Not an error — this is an informational status meaning delivery failed enough times that the shipment is being sent back.</w:t>
            </w:r>
          </w:p>
        </w:tc>
      </w:tr>
    </w:tbl>
    <w:p>
      <w:r>
        <w:br w:type="page"/>
      </w:r>
    </w:p>
    <w:p>
      <w:pPr>
        <w:pStyle w:val="Heading1"/>
        <w:spacing w:after="200" w:before="400"/>
      </w:pPr>
      <w:r>
        <w:t xml:space="preserve">9. Logout / Exit</w:t>
      </w:r>
    </w:p>
    <w:p>
      <w:pPr>
        <w:spacing w:after="160"/>
      </w:pPr>
      <w:r>
        <w:t xml:space="preserve">To safely sign out of ShipLync:</w:t>
      </w:r>
    </w:p>
    <w:p>
      <w:pPr>
        <w:pStyle w:val="ListParagraph"/>
        <w:numPr>
          <w:ilvl w:val="0"/>
          <w:numId w:val="2"/>
        </w:numPr>
        <w:spacing w:after="80"/>
      </w:pPr>
      <w:r>
        <w:rPr>
          <w:b/>
          <w:bCs/>
        </w:rPr>
        <w:t xml:space="preserve">Customer, Hub Staff, and Administrator portals: </w:t>
      </w:r>
      <w:r>
        <w:t xml:space="preserve">click your avatar/name in the top-right corner of the header bar. This immediately signs you out (tooltip: “Click to sign out”).</w:t>
      </w:r>
    </w:p>
    <w:p>
      <w:pPr>
        <w:pStyle w:val="ListParagraph"/>
        <w:numPr>
          <w:ilvl w:val="0"/>
          <w:numId w:val="2"/>
        </w:numPr>
        <w:spacing w:after="80"/>
      </w:pPr>
      <w:r>
        <w:rPr>
          <w:b/>
          <w:bCs/>
        </w:rPr>
        <w:t xml:space="preserve">Delivery Partner portal: </w:t>
      </w:r>
      <w:r>
        <w:t xml:space="preserve">click your avatar/name in the sidebar footer (desktop) or header (mobile) to sign out.</w:t>
      </w:r>
    </w:p>
    <w:p>
      <w:pPr>
        <w:pStyle w:val="ListParagraph"/>
        <w:numPr>
          <w:ilvl w:val="0"/>
          <w:numId w:val="2"/>
        </w:numPr>
        <w:spacing w:after="80"/>
      </w:pPr>
      <w:r>
        <w:rPr>
          <w:b/>
          <w:bCs/>
        </w:rPr>
        <w:t xml:space="preserve">Landing page: </w:t>
      </w:r>
      <w:r>
        <w:t xml:space="preserve">if you are signed in, an explicit “Sign out” button is shown next to your greeting.</w:t>
      </w:r>
    </w:p>
    <w:p>
      <w:pPr>
        <w:pStyle w:val="ListParagraph"/>
        <w:numPr>
          <w:ilvl w:val="0"/>
          <w:numId w:val="2"/>
        </w:numPr>
        <w:spacing w:after="80"/>
      </w:pPr>
      <w:r>
        <w:rPr>
          <w:b/>
          <w:bCs/>
        </w:rPr>
        <w:t xml:space="preserve">Login page: </w:t>
      </w:r>
      <w:r>
        <w:t xml:space="preserve">if you are already signed in and open the login page again, you can choose “Sign out and use a different account”.</w:t>
      </w:r>
    </w:p>
    <w:p>
      <w:pPr>
        <w:spacing w:after="160"/>
      </w:pPr>
      <w:r>
        <w:t xml:space="preserve">After signing out, you are returned to the login page. Simply closing the browser tab also ends your session view, but does not immediately invalidate the server session — use the sign-out action above to fully log out, especially on a shared device.</w:t>
      </w:r>
    </w:p>
    <w:p>
      <w:r>
        <w:br w:type="page"/>
      </w:r>
    </w:p>
    <w:p>
      <w:pPr>
        <w:pStyle w:val="Heading1"/>
        <w:spacing w:after="200" w:before="400"/>
      </w:pPr>
      <w:r>
        <w:t xml:space="preserve">10. Troubleshooting / FAQ</w:t>
      </w:r>
    </w:p>
    <w:p>
      <w:pPr>
        <w:pStyle w:val="Heading3"/>
        <w:spacing w:after="100" w:before="200"/>
      </w:pPr>
      <w:r>
        <w:t xml:space="preserve">Q: The app won’t start locally (“DATABASE_URL is not set” error).</w:t>
      </w:r>
    </w:p>
    <w:p>
      <w:pPr>
        <w:spacing w:after="160"/>
      </w:pPr>
      <w:r>
        <w:t xml:space="preserve">A: Ensure you created a ".env" file (copied from ".env.example") and filled in a valid DATABASE_URL before running “npm run dev”.</w:t>
      </w:r>
    </w:p>
    <w:p>
      <w:pPr>
        <w:pStyle w:val="Heading3"/>
        <w:spacing w:after="100" w:before="200"/>
      </w:pPr>
      <w:r>
        <w:t xml:space="preserve">Q: I can’t log in to the Hub Staff, Delivery Partner, or Administrator portals.</w:t>
      </w:r>
    </w:p>
    <w:p>
      <w:pPr>
        <w:spacing w:after="160"/>
      </w:pPr>
      <w:r>
        <w:t xml:space="preserve">A: These roles are not self-registering. Use the seeded demo accounts listed in Section 4.3, or the “Quick Demo Login” panel on the login page.</w:t>
      </w:r>
    </w:p>
    <w:p>
      <w:pPr>
        <w:pStyle w:val="Heading3"/>
        <w:spacing w:after="100" w:before="200"/>
      </w:pPr>
      <w:r>
        <w:t xml:space="preserve">Q: The camera scanner on the Hub Intake page doesn’t open.</w:t>
      </w:r>
    </w:p>
    <w:p>
      <w:pPr>
        <w:spacing w:after="160"/>
      </w:pPr>
      <w:r>
        <w:t xml:space="preserve">A: Make sure you have granted the browser camera permission for the site, and that you are accessing the app over HTTPS or localhost (browsers block camera access on insecure origins).</w:t>
      </w:r>
    </w:p>
    <w:p>
      <w:pPr>
        <w:pStyle w:val="Heading3"/>
        <w:spacing w:after="100" w:before="200"/>
      </w:pPr>
      <w:r>
        <w:t xml:space="preserve">Q: My payment doesn’t appear to be charged after booking.</w:t>
      </w:r>
    </w:p>
    <w:p>
      <w:pPr>
        <w:spacing w:after="160"/>
      </w:pPr>
      <w:r>
        <w:t xml:space="preserve">A: This is expected in the current build — no real payment gateway is connected. The booking is recorded as “paid” for demonstration purposes only.</w:t>
      </w:r>
    </w:p>
    <w:p>
      <w:pPr>
        <w:pStyle w:val="Heading3"/>
        <w:spacing w:after="100" w:before="200"/>
      </w:pPr>
      <w:r>
        <w:t xml:space="preserve">Q: A shipment I expect to see in “Exceptions” isn’t listed yet.</w:t>
      </w:r>
    </w:p>
    <w:p>
      <w:pPr>
        <w:spacing w:after="160"/>
      </w:pPr>
      <w:r>
        <w:t xml:space="preserve">A: Exceptions are raised automatically on a schedule, but an administrator can also click “Run Detection Now” on the Exceptions page to trigger an immediate check.</w:t>
      </w:r>
    </w:p>
    <w:p>
      <w:pPr>
        <w:pStyle w:val="Heading3"/>
        <w:spacing w:after="100" w:before="200"/>
      </w:pPr>
      <w:r>
        <w:t xml:space="preserve">Q: I was signed out unexpectedly.</w:t>
      </w:r>
    </w:p>
    <w:p>
      <w:pPr>
        <w:spacing w:after="160"/>
      </w:pPr>
      <w:r>
        <w:t xml:space="preserve">A: Your session may have expired, or you may have signed in on another device/tab. Simply sign in again.</w:t>
      </w:r>
    </w:p>
    <w:p>
      <w:pPr>
        <w:pStyle w:val="Heading3"/>
        <w:spacing w:after="100" w:before="200"/>
      </w:pPr>
      <w:r>
        <w:t xml:space="preserve">Q: Where can I get further help?</w:t>
      </w:r>
    </w:p>
    <w:p>
      <w:pPr>
        <w:spacing w:after="160"/>
      </w:pPr>
      <w:r>
        <w:t xml:space="preserve">A: Customers can use the “Support” section of the Customer Portal. For issues with installation or the codebase, contact the project team listed on the title page.</w:t>
      </w:r>
    </w:p>
    <w:sectPr>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1F4E79" w:sz="6" w:space="4"/>
      </w:pBdr>
      <w:spacing w:after="200" w:before="400"/>
    </w:pPr>
    <w:rPr>
      <w:b/>
      <w:bCs/>
      <w:color w:val="1F4E79"/>
      <w:sz w:val="32"/>
      <w:szCs w:val="32"/>
    </w:rPr>
  </w:style>
  <w:style w:type="paragraph" w:styleId="Heading2">
    <w:name w:val="Heading 2"/>
    <w:basedOn w:val="Normal"/>
    <w:next w:val="Normal"/>
    <w:qFormat/>
    <w:pPr>
      <w:spacing w:after="140" w:before="280"/>
    </w:pPr>
    <w:rPr>
      <w:b/>
      <w:bCs/>
      <w:color w:val="2E5F8A"/>
      <w:sz w:val="26"/>
      <w:szCs w:val="26"/>
    </w:rPr>
  </w:style>
  <w:style w:type="paragraph" w:styleId="Heading3">
    <w:name w:val="Heading 3"/>
    <w:basedOn w:val="Normal"/>
    <w:next w:val="Normal"/>
    <w:qFormat/>
    <w:pPr>
      <w:spacing w:after="100" w:before="200"/>
    </w:pPr>
    <w:rPr>
      <w:b/>
      <w:bCs/>
      <w:i/>
      <w:iCs/>
      <w:color w:val="444444"/>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ShipLync User Manual</dc:title>
  <dc:creator>ShipLync Team</dc:creator>
  <cp:lastModifiedBy>Un-named</cp:lastModifiedBy>
  <cp:revision>1</cp:revision>
  <dcterms:created xsi:type="dcterms:W3CDTF">2026-09-16T10:18:11.026Z</dcterms:created>
  <dcterms:modified xsi:type="dcterms:W3CDTF">2026-09-16T10:18:11.027Z</dcterms:modified>
</cp:coreProperties>
</file>

<file path=docProps/custom.xml><?xml version="1.0" encoding="utf-8"?>
<Properties xmlns="http://schemas.openxmlformats.org/officeDocument/2006/custom-properties" xmlns:vt="http://schemas.openxmlformats.org/officeDocument/2006/docPropsVTypes"/>
</file>