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12DB" w14:textId="77777777" w:rsidR="00364580" w:rsidRPr="003B281C" w:rsidRDefault="00026255" w:rsidP="007B4871">
      <w:pPr>
        <w:rPr>
          <w:rFonts w:asciiTheme="majorHAnsi" w:hAnsiTheme="majorHAnsi" w:cstheme="majorHAnsi"/>
          <w:b/>
          <w:bCs/>
          <w:lang w:val="en-GB"/>
        </w:rPr>
      </w:pPr>
      <w:r w:rsidRPr="003B281C">
        <w:rPr>
          <w:rFonts w:asciiTheme="majorHAnsi" w:hAnsiTheme="majorHAnsi" w:cstheme="majorHAnsi"/>
          <w:b/>
          <w:bCs/>
          <w:lang w:val="en-GB"/>
        </w:rPr>
        <w:t>Recruitment Procedure</w:t>
      </w:r>
    </w:p>
    <w:p w14:paraId="00D91BED" w14:textId="0B637622" w:rsidR="00364580" w:rsidRPr="003B281C" w:rsidRDefault="00026255" w:rsidP="007B4871">
      <w:pPr>
        <w:rPr>
          <w:rFonts w:asciiTheme="majorHAnsi" w:hAnsiTheme="majorHAnsi" w:cstheme="majorHAnsi"/>
          <w:lang w:val="en-GB"/>
        </w:rPr>
      </w:pPr>
      <w:r w:rsidRPr="003B281C">
        <w:rPr>
          <w:rFonts w:asciiTheme="majorHAnsi" w:hAnsiTheme="majorHAnsi" w:cstheme="majorHAnsi"/>
          <w:u w:val="single"/>
          <w:lang w:val="en-GB"/>
        </w:rPr>
        <w:t>Target groups</w:t>
      </w:r>
      <w:r w:rsidRPr="003B281C">
        <w:rPr>
          <w:rFonts w:asciiTheme="majorHAnsi" w:hAnsiTheme="majorHAnsi" w:cstheme="majorHAnsi"/>
          <w:lang w:val="en-GB"/>
        </w:rPr>
        <w:br/>
        <w:t>- Women (≥18 years) with a non-Western migration background, residing in one of four participating neighbourhoods. Both first- and second-generation migrants, regardless of Dutch language proficiency, were eligible.</w:t>
      </w:r>
      <w:r w:rsidRPr="003B281C">
        <w:rPr>
          <w:rFonts w:asciiTheme="majorHAnsi" w:hAnsiTheme="majorHAnsi" w:cstheme="majorHAnsi"/>
          <w:lang w:val="en-GB"/>
        </w:rPr>
        <w:br/>
        <w:t xml:space="preserve">- Teenage girls (12–18 years) residing in </w:t>
      </w:r>
      <w:r w:rsidR="002A40B0">
        <w:rPr>
          <w:rFonts w:asciiTheme="majorHAnsi" w:hAnsiTheme="majorHAnsi" w:cstheme="majorHAnsi"/>
          <w:lang w:val="en-GB"/>
        </w:rPr>
        <w:t>one of the three</w:t>
      </w:r>
      <w:r w:rsidRPr="003B281C">
        <w:rPr>
          <w:rFonts w:asciiTheme="majorHAnsi" w:hAnsiTheme="majorHAnsi" w:cstheme="majorHAnsi"/>
          <w:lang w:val="en-GB"/>
        </w:rPr>
        <w:t xml:space="preserve"> participating neighbourhoods</w:t>
      </w:r>
      <w:r w:rsidR="002A40B0">
        <w:rPr>
          <w:rFonts w:asciiTheme="majorHAnsi" w:hAnsiTheme="majorHAnsi" w:cstheme="majorHAnsi"/>
          <w:lang w:val="en-GB"/>
        </w:rPr>
        <w:t xml:space="preserve"> (one neighbourhood did not include teenage girls as target group)</w:t>
      </w:r>
      <w:r w:rsidRPr="003B281C">
        <w:rPr>
          <w:rFonts w:asciiTheme="majorHAnsi" w:hAnsiTheme="majorHAnsi" w:cstheme="majorHAnsi"/>
          <w:lang w:val="en-GB"/>
        </w:rPr>
        <w:t>.</w:t>
      </w:r>
      <w:r w:rsidRPr="003B281C">
        <w:rPr>
          <w:rFonts w:asciiTheme="majorHAnsi" w:hAnsiTheme="majorHAnsi" w:cstheme="majorHAnsi"/>
          <w:lang w:val="en-GB"/>
        </w:rPr>
        <w:br/>
        <w:t xml:space="preserve">- Neighbourhood workers employed in the physical or social domain, municipality, welfare organisations, or schools, and working </w:t>
      </w:r>
      <w:r w:rsidR="00395A11">
        <w:rPr>
          <w:rFonts w:asciiTheme="majorHAnsi" w:hAnsiTheme="majorHAnsi" w:cstheme="majorHAnsi"/>
          <w:lang w:val="en-GB"/>
        </w:rPr>
        <w:t xml:space="preserve">on projects involving the </w:t>
      </w:r>
      <w:r w:rsidRPr="003B281C">
        <w:rPr>
          <w:rFonts w:asciiTheme="majorHAnsi" w:hAnsiTheme="majorHAnsi" w:cstheme="majorHAnsi"/>
          <w:lang w:val="en-GB"/>
        </w:rPr>
        <w:t>above groups.</w:t>
      </w:r>
      <w:r w:rsidRPr="003B281C">
        <w:rPr>
          <w:rFonts w:asciiTheme="majorHAnsi" w:hAnsiTheme="majorHAnsi" w:cstheme="majorHAnsi"/>
          <w:lang w:val="en-GB"/>
        </w:rPr>
        <w:br/>
      </w:r>
      <w:r w:rsidRPr="003B281C">
        <w:rPr>
          <w:rFonts w:asciiTheme="majorHAnsi" w:hAnsiTheme="majorHAnsi" w:cstheme="majorHAnsi"/>
          <w:lang w:val="en-GB"/>
        </w:rPr>
        <w:br/>
      </w:r>
      <w:r w:rsidRPr="003B281C">
        <w:rPr>
          <w:rFonts w:asciiTheme="majorHAnsi" w:hAnsiTheme="majorHAnsi" w:cstheme="majorHAnsi"/>
          <w:u w:val="single"/>
          <w:lang w:val="en-GB"/>
        </w:rPr>
        <w:t>Recruitment strategy</w:t>
      </w:r>
      <w:r w:rsidRPr="003B281C">
        <w:rPr>
          <w:rFonts w:asciiTheme="majorHAnsi" w:hAnsiTheme="majorHAnsi" w:cstheme="majorHAnsi"/>
          <w:lang w:val="en-GB"/>
        </w:rPr>
        <w:br/>
        <w:t>- Neighbourhood workers were identified through neighbourhood tours, referrals from municipalities, desk research, and snowball sampling.</w:t>
      </w:r>
      <w:r w:rsidRPr="003B281C">
        <w:rPr>
          <w:rFonts w:asciiTheme="majorHAnsi" w:hAnsiTheme="majorHAnsi" w:cstheme="majorHAnsi"/>
          <w:lang w:val="en-GB"/>
        </w:rPr>
        <w:br/>
        <w:t>- Women and girls were recruited via existing networks of neighbourhood and youth workers, distribution of tailored flyers (Dutch, English, Arabic for women; Dutch for girls), and attendance at local activities by the research team. Flyers were distributed in community centres, libraries, schools, online, and, in one neighbourhood, door-to-door.</w:t>
      </w:r>
      <w:r w:rsidRPr="003B281C">
        <w:rPr>
          <w:rFonts w:asciiTheme="majorHAnsi" w:hAnsiTheme="majorHAnsi" w:cstheme="majorHAnsi"/>
          <w:lang w:val="en-GB"/>
        </w:rPr>
        <w:br/>
        <w:t>- Snowball sampling was used to encourage participants to invite others from their networks.</w:t>
      </w:r>
      <w:r w:rsidRPr="003B281C">
        <w:rPr>
          <w:rFonts w:asciiTheme="majorHAnsi" w:hAnsiTheme="majorHAnsi" w:cstheme="majorHAnsi"/>
          <w:lang w:val="en-GB"/>
        </w:rPr>
        <w:br/>
      </w:r>
      <w:r w:rsidRPr="003B281C">
        <w:rPr>
          <w:rFonts w:asciiTheme="majorHAnsi" w:hAnsiTheme="majorHAnsi" w:cstheme="majorHAnsi"/>
          <w:lang w:val="en-GB"/>
        </w:rPr>
        <w:br/>
      </w:r>
      <w:r w:rsidRPr="003B281C">
        <w:rPr>
          <w:rFonts w:asciiTheme="majorHAnsi" w:hAnsiTheme="majorHAnsi" w:cstheme="majorHAnsi"/>
          <w:u w:val="single"/>
          <w:lang w:val="en-GB"/>
        </w:rPr>
        <w:t>Registration process</w:t>
      </w:r>
      <w:r w:rsidRPr="003B281C">
        <w:rPr>
          <w:rFonts w:asciiTheme="majorHAnsi" w:hAnsiTheme="majorHAnsi" w:cstheme="majorHAnsi"/>
          <w:lang w:val="en-GB"/>
        </w:rPr>
        <w:br/>
        <w:t xml:space="preserve">- Participants could register via neighbourhood workers or through an online form (QR code on flyer). For women, the form included questions on </w:t>
      </w:r>
      <w:r w:rsidRPr="003B281C">
        <w:rPr>
          <w:rFonts w:asciiTheme="majorHAnsi" w:hAnsiTheme="majorHAnsi" w:cstheme="majorHAnsi"/>
          <w:lang w:val="en-GB"/>
        </w:rPr>
        <w:t xml:space="preserve">background, </w:t>
      </w:r>
      <w:r w:rsidRPr="003B281C">
        <w:rPr>
          <w:rFonts w:asciiTheme="majorHAnsi" w:hAnsiTheme="majorHAnsi" w:cstheme="majorHAnsi"/>
          <w:lang w:val="en-GB"/>
        </w:rPr>
        <w:t>parenthood and Dutch language proficiency.</w:t>
      </w:r>
      <w:r w:rsidRPr="003B281C">
        <w:rPr>
          <w:rFonts w:asciiTheme="majorHAnsi" w:hAnsiTheme="majorHAnsi" w:cstheme="majorHAnsi"/>
          <w:lang w:val="en-GB"/>
        </w:rPr>
        <w:br/>
        <w:t>- Neighbourhood workers assisted participants with registration when needed, or relayed participant information directly to researchers.</w:t>
      </w:r>
      <w:r w:rsidRPr="003B281C">
        <w:rPr>
          <w:rFonts w:asciiTheme="majorHAnsi" w:hAnsiTheme="majorHAnsi" w:cstheme="majorHAnsi"/>
          <w:lang w:val="en-GB"/>
        </w:rPr>
        <w:br/>
        <w:t>- Researchers contacted participants to arrange focus groups, PhotoVoice sessions, or interviews.</w:t>
      </w:r>
      <w:r w:rsidRPr="003B281C">
        <w:rPr>
          <w:rFonts w:asciiTheme="majorHAnsi" w:hAnsiTheme="majorHAnsi" w:cstheme="majorHAnsi"/>
          <w:lang w:val="en-GB"/>
        </w:rPr>
        <w:br/>
      </w:r>
      <w:r w:rsidRPr="003B281C">
        <w:rPr>
          <w:rFonts w:asciiTheme="majorHAnsi" w:hAnsiTheme="majorHAnsi" w:cstheme="majorHAnsi"/>
          <w:lang w:val="en-GB"/>
        </w:rPr>
        <w:br/>
      </w:r>
      <w:r w:rsidRPr="003B281C">
        <w:rPr>
          <w:rFonts w:asciiTheme="majorHAnsi" w:hAnsiTheme="majorHAnsi" w:cstheme="majorHAnsi"/>
          <w:u w:val="single"/>
          <w:lang w:val="en-GB"/>
        </w:rPr>
        <w:t>Additional notes</w:t>
      </w:r>
      <w:r w:rsidRPr="003B281C">
        <w:rPr>
          <w:rFonts w:asciiTheme="majorHAnsi" w:hAnsiTheme="majorHAnsi" w:cstheme="majorHAnsi"/>
          <w:lang w:val="en-GB"/>
        </w:rPr>
        <w:br/>
        <w:t>- Some participants attended without prior registration.</w:t>
      </w:r>
      <w:r w:rsidRPr="003B281C">
        <w:rPr>
          <w:rFonts w:asciiTheme="majorHAnsi" w:hAnsiTheme="majorHAnsi" w:cstheme="majorHAnsi"/>
          <w:lang w:val="en-GB"/>
        </w:rPr>
        <w:br/>
        <w:t>- Recruitment success varied by neighbourhood; representation of groups differed.</w:t>
      </w:r>
      <w:r w:rsidRPr="003B281C">
        <w:rPr>
          <w:rFonts w:asciiTheme="majorHAnsi" w:hAnsiTheme="majorHAnsi" w:cstheme="majorHAnsi"/>
          <w:lang w:val="en-GB"/>
        </w:rPr>
        <w:br/>
        <w:t>- Session duration was reduced from 4 to 2 hours to increase accessibility</w:t>
      </w:r>
      <w:r w:rsidR="009847C0">
        <w:rPr>
          <w:rFonts w:asciiTheme="majorHAnsi" w:hAnsiTheme="majorHAnsi" w:cstheme="majorHAnsi"/>
          <w:lang w:val="en-GB"/>
        </w:rPr>
        <w:t xml:space="preserve"> and efficiency</w:t>
      </w:r>
      <w:r w:rsidR="00884A63">
        <w:rPr>
          <w:rFonts w:asciiTheme="majorHAnsi" w:hAnsiTheme="majorHAnsi" w:cstheme="majorHAnsi"/>
          <w:lang w:val="en-GB"/>
        </w:rPr>
        <w:t>, without losing relevant</w:t>
      </w:r>
      <w:r w:rsidR="00551D06">
        <w:rPr>
          <w:rFonts w:asciiTheme="majorHAnsi" w:hAnsiTheme="majorHAnsi" w:cstheme="majorHAnsi"/>
          <w:lang w:val="en-GB"/>
        </w:rPr>
        <w:t xml:space="preserve"> sections.</w:t>
      </w:r>
      <w:r w:rsidRPr="003B281C">
        <w:rPr>
          <w:rFonts w:asciiTheme="majorHAnsi" w:hAnsiTheme="majorHAnsi" w:cstheme="majorHAnsi"/>
          <w:lang w:val="en-GB"/>
        </w:rPr>
        <w:br/>
      </w:r>
    </w:p>
    <w:sectPr w:rsidR="00364580" w:rsidRPr="003B2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804077">
    <w:abstractNumId w:val="8"/>
  </w:num>
  <w:num w:numId="2" w16cid:durableId="1816676620">
    <w:abstractNumId w:val="6"/>
  </w:num>
  <w:num w:numId="3" w16cid:durableId="1758668774">
    <w:abstractNumId w:val="5"/>
  </w:num>
  <w:num w:numId="4" w16cid:durableId="675378248">
    <w:abstractNumId w:val="4"/>
  </w:num>
  <w:num w:numId="5" w16cid:durableId="1896308738">
    <w:abstractNumId w:val="7"/>
  </w:num>
  <w:num w:numId="6" w16cid:durableId="1621062167">
    <w:abstractNumId w:val="3"/>
  </w:num>
  <w:num w:numId="7" w16cid:durableId="2122727203">
    <w:abstractNumId w:val="2"/>
  </w:num>
  <w:num w:numId="8" w16cid:durableId="1283347423">
    <w:abstractNumId w:val="1"/>
  </w:num>
  <w:num w:numId="9" w16cid:durableId="119885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255"/>
    <w:rsid w:val="00034616"/>
    <w:rsid w:val="0006063C"/>
    <w:rsid w:val="000D2D2F"/>
    <w:rsid w:val="0015074B"/>
    <w:rsid w:val="0029639D"/>
    <w:rsid w:val="002A40B0"/>
    <w:rsid w:val="00326F90"/>
    <w:rsid w:val="00364580"/>
    <w:rsid w:val="00395A11"/>
    <w:rsid w:val="003B281C"/>
    <w:rsid w:val="00551D06"/>
    <w:rsid w:val="00653439"/>
    <w:rsid w:val="007B4871"/>
    <w:rsid w:val="007F1DCE"/>
    <w:rsid w:val="00884A63"/>
    <w:rsid w:val="009847C0"/>
    <w:rsid w:val="00AA1D8D"/>
    <w:rsid w:val="00B47730"/>
    <w:rsid w:val="00C86B43"/>
    <w:rsid w:val="00CB0664"/>
    <w:rsid w:val="00CC29F9"/>
    <w:rsid w:val="00F0045B"/>
    <w:rsid w:val="00FC4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0239F"/>
  <w14:defaultImageDpi w14:val="300"/>
  <w15:docId w15:val="{0D754875-D341-4549-A644-02DE201B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02625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026255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026255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2625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26255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0262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294</Words>
  <Characters>1621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Geertje van Wijk</cp:lastModifiedBy>
  <cp:revision>8</cp:revision>
  <dcterms:created xsi:type="dcterms:W3CDTF">2025-08-14T08:48:00Z</dcterms:created>
  <dcterms:modified xsi:type="dcterms:W3CDTF">2025-08-14T08:54:00Z</dcterms:modified>
  <cp:category/>
</cp:coreProperties>
</file>