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2024 Business Performance Report</w:t>
      </w:r>
    </w:p>
    <w:p>
      <w:pPr>
        <w:pStyle w:val="Heading1"/>
      </w:pPr>
      <w:r>
        <w:t>Executive Summary</w:t>
      </w:r>
    </w:p>
    <w:p>
      <w:r>
        <w:t>Q2 2024 saw strong revenue growth across all product lines, with total revenue reaching $47.5 million — a 12% increase year-over-year. Widget C continued to be our top performer, accounting for 58% of total revenue. The North and South regions showed the strongest growth, while the West region recovered from Q1 dip.</w:t>
      </w:r>
    </w:p>
    <w:p>
      <w:pPr>
        <w:pStyle w:val="Heading1"/>
      </w:pPr>
      <w:r>
        <w:t>Revenue by Product</w:t>
      </w:r>
    </w:p>
    <w:p>
      <w:r>
        <w:t>Widget A contributed $8.2 million, Widget B contributed $4.1 million, and Widget C led with $35.2 million. Combined units sold reached 1,240 across all product lines, with an average selling price of $38.30.</w:t>
      </w:r>
    </w:p>
    <w:p>
      <w:pPr>
        <w:pStyle w:val="Heading1"/>
      </w:pPr>
      <w:r>
        <w:t>Regional Breakdown</w:t>
      </w:r>
    </w:p>
    <w:p>
      <w:r>
        <w:t>The North region generated $14.3 million (30%), the South region $12.8 million (27%), the East region $11.9 million (25%), and the West region $8.5 million (18%).</w:t>
      </w:r>
    </w:p>
    <w:p>
      <w:pPr>
        <w:pStyle w:val="Heading1"/>
      </w:pPr>
      <w:r>
        <w:t>Financial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Avg Price ($)</w:t>
            </w:r>
          </w:p>
        </w:tc>
      </w:tr>
      <w:tr>
        <w:tc>
          <w:tcPr>
            <w:tcW w:type="dxa" w:w="2160"/>
          </w:tcPr>
          <w:p>
            <w:r>
              <w:t>Widget A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19.07</w:t>
            </w:r>
          </w:p>
        </w:tc>
      </w:tr>
      <w:tr>
        <w:tc>
          <w:tcPr>
            <w:tcW w:type="dxa" w:w="2160"/>
          </w:tcPr>
          <w:p>
            <w:r>
              <w:t>Widget B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19.07</w:t>
            </w:r>
          </w:p>
        </w:tc>
      </w:tr>
      <w:tr>
        <w:tc>
          <w:tcPr>
            <w:tcW w:type="dxa" w:w="2160"/>
          </w:tcPr>
          <w:p>
            <w:r>
              <w:t>Widget C</w:t>
            </w:r>
          </w:p>
        </w:tc>
        <w:tc>
          <w:tcPr>
            <w:tcW w:type="dxa" w:w="2160"/>
          </w:tcPr>
          <w:p>
            <w:r>
              <w:t>35.2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59.16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1,240</w:t>
            </w:r>
          </w:p>
        </w:tc>
        <w:tc>
          <w:tcPr>
            <w:tcW w:type="dxa" w:w="2160"/>
          </w:tcPr>
          <w:p>
            <w:r>
              <w:t>38.31</w:t>
            </w:r>
          </w:p>
        </w:tc>
      </w:tr>
    </w:tbl>
    <w:p>
      <w:pPr>
        <w:pStyle w:val="Heading1"/>
      </w:pPr>
      <w:r>
        <w:t>Recommendations</w:t>
      </w:r>
    </w:p>
    <w:p>
      <w:r>
        <w:t>1. Increase Widget C production capacity to meet growing demand.</w:t>
        <w:br/>
        <w:t>2. Launch targeted campaign in the West region to boost market share.</w:t>
        <w:br/>
        <w:t>3. Investigate Widget B underperformance and explore pricing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