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3864"/>
          <w:sz w:val="44"/>
          <w:szCs w:val="44"/>
        </w:rPr>
        <w:t xml:space="preserve">Theoretical Framework</w:t>
      </w:r>
    </w:p>
    <w:p>
      <w:pPr>
        <w:spacing w:after="80" w:before="0"/>
        <w:jc w:val="center"/>
      </w:pPr>
      <w:r>
        <w:rPr>
          <w:rFonts w:ascii="Arial" w:cs="Arial" w:eastAsia="Arial" w:hAnsi="Arial"/>
          <w:b/>
          <w:bCs/>
          <w:color w:val="2E4057"/>
          <w:sz w:val="32"/>
          <w:szCs w:val="32"/>
        </w:rPr>
        <w:t xml:space="preserve">Algebra IDE — Lesson L0: Ages</w:t>
      </w:r>
    </w:p>
    <w:p>
      <w:pPr>
        <w:spacing w:after="400" w:before="0"/>
        <w:jc w:val="center"/>
      </w:pPr>
      <w:r>
        <w:rPr>
          <w:rFonts w:ascii="Arial" w:cs="Arial" w:eastAsia="Arial" w:hAnsi="Arial"/>
          <w:i/>
          <w:iCs/>
          <w:color w:val="595959"/>
          <w:sz w:val="24"/>
          <w:szCs w:val="24"/>
        </w:rPr>
        <w:t xml:space="preserve">UDL, Equity, and Computational Thinking Integration</w:t>
      </w:r>
    </w:p>
    <w:p>
      <w:pPr>
        <w:pBdr>
          <w:bottom w:val="single" w:color="4472C4" w:sz="6" w:space="1"/>
        </w:pBdr>
      </w:pPr>
      <w:r>
        <w:t xml:space="preserve"/>
      </w:r>
    </w:p>
    <w:p>
      <w:r>
        <w:t xml:space="preserve"/>
      </w:r>
    </w:p>
    <w:p>
      <w:pPr>
        <w:pStyle w:val="Heading1"/>
      </w:pPr>
      <w:r>
        <w:rPr>
          <w:rFonts w:ascii="Arial" w:cs="Arial" w:eastAsia="Arial" w:hAnsi="Arial"/>
          <w:b/>
          <w:bCs/>
          <w:sz w:val="32"/>
          <w:szCs w:val="32"/>
        </w:rPr>
        <w:t xml:space="preserve">Document Overview</w:t>
      </w:r>
    </w:p>
    <w:p>
      <w:pPr>
        <w:spacing w:after="80" w:before="80"/>
      </w:pPr>
      <w:r>
        <w:rPr>
          <w:rFonts w:ascii="Arial" w:cs="Arial" w:eastAsia="Arial" w:hAnsi="Arial"/>
          <w:sz w:val="22"/>
          <w:szCs w:val="22"/>
        </w:rPr>
        <w:t xml:space="preserve">This document provides the theoretical and scholarly foundation for the Algebra IDE Lesson L0. It explains how the Universal Design for Learning (UDL) framework, culturally sustaining pedagogies, and computational thinking (CT) integration inform every design decision in the IDE. This document is intended for academic review and course submission.</w:t>
      </w:r>
    </w:p>
    <w:p>
      <w:pPr>
        <w:spacing w:after="80" w:before="80"/>
      </w:pPr>
      <w:r>
        <w:rPr>
          <w:rFonts w:ascii="Arial" w:cs="Arial" w:eastAsia="Arial" w:hAnsi="Arial"/>
          <w:sz w:val="22"/>
          <w:szCs w:val="22"/>
        </w:rPr>
        <w:t xml:space="preserve">For classroom implementation guidance, refer to the companion document: Algebra IDE — L0 Classroom Action Lesson Plan.</w:t>
      </w:r>
    </w:p>
    <w:p>
      <w:r>
        <w:t xml:space="preserve"/>
      </w:r>
    </w:p>
    <w:p>
      <w:pPr>
        <w:pStyle w:val="Heading1"/>
      </w:pPr>
      <w:r>
        <w:rPr>
          <w:rFonts w:ascii="Arial" w:cs="Arial" w:eastAsia="Arial" w:hAnsi="Arial"/>
          <w:b/>
          <w:bCs/>
          <w:sz w:val="32"/>
          <w:szCs w:val="32"/>
        </w:rPr>
        <w:t xml:space="preserve">Lesson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Lesson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L0: Ages — Selvi and Thamarai</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Central Equation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 = x + 4</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Target Learners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Middle school students, grades 6–8 (ages 10–14)</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Pedagogical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5E Instructional Model (Engage, Explore, Explain, Elaborate, Evaluate)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Algebra IDE: Task tab (Steps 1–5), Desmos tab, Pyret tab, Check tab</w:t>
            </w:r>
          </w:p>
        </w:tc>
      </w:tr>
    </w:tbl>
    <w:p>
      <w:r>
        <w:t xml:space="preserve"/>
      </w:r>
    </w:p>
    <w:p>
      <w:pPr>
        <w:pStyle w:val="Heading1"/>
      </w:pPr>
      <w:r>
        <w:rPr>
          <w:rFonts w:ascii="Arial" w:cs="Arial" w:eastAsia="Arial" w:hAnsi="Arial"/>
          <w:b/>
          <w:bCs/>
          <w:sz w:val="32"/>
          <w:szCs w:val="32"/>
        </w:rPr>
        <w:t xml:space="preserve">Universal Design for Learning Framework</w:t>
      </w:r>
    </w:p>
    <w:p>
      <w:pPr>
        <w:spacing w:after="80" w:before="80"/>
      </w:pPr>
      <w:r>
        <w:rPr>
          <w:rFonts w:ascii="Arial" w:cs="Arial" w:eastAsia="Arial" w:hAnsi="Arial"/>
          <w:sz w:val="22"/>
          <w:szCs w:val="22"/>
        </w:rPr>
        <w:t xml:space="preserve">The Universal Design for Learning (UDL) framework is an instructional planning approach that reduces barriers to learning by providing multiple means of engagement, representation, and action and expression (CAST, 2024). UDL draws on neuroscience research to acknowledge that no two learners are alike — CAST uses the term neuro-variability to describe this variation — and builds curricula that are accessible for all students from the outset rather than retrofitting accommodations after the fact (CAST, 2018; Israel, Lash, &amp; Ray, 2017).</w:t>
      </w:r>
    </w:p>
    <w:p>
      <w:pPr>
        <w:spacing w:after="80" w:before="80"/>
      </w:pPr>
      <w:r>
        <w:rPr>
          <w:rFonts w:ascii="Arial" w:cs="Arial" w:eastAsia="Arial" w:hAnsi="Arial"/>
          <w:sz w:val="22"/>
          <w:szCs w:val="22"/>
        </w:rPr>
        <w:t xml:space="preserve">Israel and Ray (2024) note that UDL in CS education specifically requires attending to both content vocabulary and computing vocabulary, since students may already hold prior conceptions of terms like ‘variable’ from mathematics that differ from their computational meaning (Schanzer, 2017). This lesson addresses that directly in Step 5, where students are guided to distinguish x (input variable) from y (output variable) through a structured three-question sequence before encountering the equation y = x + 4.</w:t>
      </w:r>
    </w:p>
    <w:p>
      <w:r>
        <w:t xml:space="preserve"/>
      </w:r>
    </w:p>
    <w:p>
      <w:pPr>
        <w:pStyle w:val="Heading2"/>
      </w:pPr>
      <w:r>
        <w:rPr>
          <w:rFonts w:ascii="Arial" w:cs="Arial" w:eastAsia="Arial" w:hAnsi="Arial"/>
          <w:b/>
          <w:bCs/>
          <w:sz w:val="26"/>
          <w:szCs w:val="26"/>
        </w:rPr>
        <w:t xml:space="preserve">Principle 1: Multiple Means of Engagement (the ‘why’ of learning)</w:t>
      </w:r>
    </w:p>
    <w:p>
      <w:pPr>
        <w:spacing w:after="80" w:before="80"/>
      </w:pPr>
      <w:r>
        <w:rPr>
          <w:rFonts w:ascii="Arial" w:cs="Arial" w:eastAsia="Arial" w:hAnsi="Arial"/>
          <w:sz w:val="22"/>
          <w:szCs w:val="22"/>
        </w:rPr>
        <w:t xml:space="preserve">Engagement involves welcoming students’ interests and identities, sustaining effort and persistence, and developing emotional capacity (CAST, 2024; Israel et al., 2017).</w:t>
      </w:r>
    </w:p>
    <w:p>
      <w:pPr>
        <w:pStyle w:val="ListParagraph"/>
        <w:numPr>
          <w:ilvl w:val="0"/>
          <w:numId w:val="2"/>
        </w:numPr>
        <w:spacing w:after="60" w:before="60"/>
      </w:pPr>
      <w:r>
        <w:rPr>
          <w:rFonts w:ascii="Arial" w:cs="Arial" w:eastAsia="Arial" w:hAnsi="Arial"/>
          <w:sz w:val="22"/>
          <w:szCs w:val="22"/>
        </w:rPr>
        <w:t xml:space="preserve">Culturally sustaining context: The names Selvi and Thamarai reflect South Asian family contexts. Paris and Alim (2017) argue that culturally sustaining pedagogies go beyond capturing surface-level student interests to taking up students’ cultures and backgrounds as resources for learning. Using names and relationships meaningful to students from those backgrounds signals that their identities are welcome in mathematics.</w:t>
      </w:r>
    </w:p>
    <w:p>
      <w:pPr>
        <w:pStyle w:val="ListParagraph"/>
        <w:numPr>
          <w:ilvl w:val="0"/>
          <w:numId w:val="2"/>
        </w:numPr>
        <w:spacing w:after="60" w:before="60"/>
      </w:pPr>
      <w:r>
        <w:rPr>
          <w:rFonts w:ascii="Arial" w:cs="Arial" w:eastAsia="Arial" w:hAnsi="Arial"/>
          <w:sz w:val="22"/>
          <w:szCs w:val="22"/>
        </w:rPr>
        <w:t xml:space="preserve">Learner agency and choice: The prediction question in the Desmos tab accepts any answer without penalty, embodying a core UDL tenet — building learner agency so students become purposeful and action-oriented (CAST, 2024).</w:t>
      </w:r>
    </w:p>
    <w:p>
      <w:pPr>
        <w:pStyle w:val="ListParagraph"/>
        <w:numPr>
          <w:ilvl w:val="0"/>
          <w:numId w:val="2"/>
        </w:numPr>
        <w:spacing w:after="60" w:before="60"/>
      </w:pPr>
      <w:r>
        <w:rPr>
          <w:rFonts w:ascii="Arial" w:cs="Arial" w:eastAsia="Arial" w:hAnsi="Arial"/>
          <w:sz w:val="22"/>
          <w:szCs w:val="22"/>
        </w:rPr>
        <w:t xml:space="preserve">Sustaining persistence: A progressive hint system unlocks after two failed attempts. Israel and Lash (2020) recommend ‘I can’ statements and positive learning objectives to make goals concrete. These are incorporated in the lesson objectives and communicated to students at the start.</w:t>
      </w:r>
    </w:p>
    <w:p>
      <w:pPr>
        <w:pStyle w:val="ListParagraph"/>
        <w:numPr>
          <w:ilvl w:val="0"/>
          <w:numId w:val="2"/>
        </w:numPr>
        <w:spacing w:after="60" w:before="60"/>
      </w:pPr>
      <w:r>
        <w:rPr>
          <w:rFonts w:ascii="Arial" w:cs="Arial" w:eastAsia="Arial" w:hAnsi="Arial"/>
          <w:sz w:val="22"/>
          <w:szCs w:val="22"/>
        </w:rPr>
        <w:t xml:space="preserve">Emotional capacity: AI validation provides personalised, non-judgmental feedback. Students who write ‘4+x’ instead of ‘x+4’ receive credit, avoiding penalising format over understanding.</w:t>
      </w:r>
    </w:p>
    <w:p>
      <w:r>
        <w:t xml:space="preserve"/>
      </w:r>
    </w:p>
    <w:p>
      <w:pPr>
        <w:pStyle w:val="Heading2"/>
      </w:pPr>
      <w:r>
        <w:rPr>
          <w:rFonts w:ascii="Arial" w:cs="Arial" w:eastAsia="Arial" w:hAnsi="Arial"/>
          <w:b/>
          <w:bCs/>
          <w:sz w:val="26"/>
          <w:szCs w:val="26"/>
        </w:rPr>
        <w:t xml:space="preserve">Principle 2: Multiple Means of Representation (the ‘what’ of learning)</w:t>
      </w:r>
    </w:p>
    <w:p>
      <w:pPr>
        <w:spacing w:after="80" w:before="80"/>
      </w:pPr>
      <w:r>
        <w:rPr>
          <w:rFonts w:ascii="Arial" w:cs="Arial" w:eastAsia="Arial" w:hAnsi="Arial"/>
          <w:sz w:val="22"/>
          <w:szCs w:val="22"/>
        </w:rPr>
        <w:t xml:space="preserve">Representation involves offering information in multiple modalities, clarifying vocabulary and symbols, and building knowledge by connecting prior understanding to new learning (CAST, 2024).</w:t>
      </w:r>
    </w:p>
    <w:p>
      <w:pPr>
        <w:pStyle w:val="ListParagraph"/>
        <w:numPr>
          <w:ilvl w:val="0"/>
          <w:numId w:val="2"/>
        </w:numPr>
        <w:spacing w:after="60" w:before="60"/>
      </w:pPr>
      <w:r>
        <w:rPr>
          <w:rFonts w:ascii="Arial" w:cs="Arial" w:eastAsia="Arial" w:hAnsi="Arial"/>
          <w:sz w:val="22"/>
          <w:szCs w:val="22"/>
        </w:rPr>
        <w:t xml:space="preserve">Four representations of one relationship: The relationship ‘Thamarai is 4 years older than Selvi’ is presented in four modes — natural language (word problem), algebraic expression (x + 4), graphical (y = x + 4 in Desmos), and computational (Pyret function). Kozma et al. (2009) demonstrate that providing multiple representations of scientific relationships significantly improves student comprehension and transfer.</w:t>
      </w:r>
    </w:p>
    <w:p>
      <w:pPr>
        <w:pStyle w:val="ListParagraph"/>
        <w:numPr>
          <w:ilvl w:val="0"/>
          <w:numId w:val="2"/>
        </w:numPr>
        <w:spacing w:after="60" w:before="60"/>
      </w:pPr>
      <w:r>
        <w:rPr>
          <w:rFonts w:ascii="Arial" w:cs="Arial" w:eastAsia="Arial" w:hAnsi="Arial"/>
          <w:sz w:val="22"/>
          <w:szCs w:val="22"/>
        </w:rPr>
        <w:t xml:space="preserve">Concrete-to-symbolic progression: Steps 2 and 3 establish the operation and concrete result before Step 4 asks for symbolic abstraction. This scaffolding sequence directly addresses the challenge identified by Schanzer (2017): the jump from arithmetic to algebra is where many students disengage.</w:t>
      </w:r>
    </w:p>
    <w:p>
      <w:pPr>
        <w:pStyle w:val="ListParagraph"/>
        <w:numPr>
          <w:ilvl w:val="0"/>
          <w:numId w:val="2"/>
        </w:numPr>
        <w:spacing w:after="60" w:before="60"/>
      </w:pPr>
      <w:r>
        <w:rPr>
          <w:rFonts w:ascii="Arial" w:cs="Arial" w:eastAsia="Arial" w:hAnsi="Arial"/>
          <w:sz w:val="22"/>
          <w:szCs w:val="22"/>
        </w:rPr>
        <w:t xml:space="preserve">Literate programming: The Pyret tab displays each line of code alongside a plain-language explanation. Knuth (1984) defines literate programming as treating code as a form of human-readable expression. This approach makes the computational representation accessible to students with no prior coding experience.</w:t>
      </w:r>
    </w:p>
    <w:p>
      <w:pPr>
        <w:pStyle w:val="ListParagraph"/>
        <w:numPr>
          <w:ilvl w:val="0"/>
          <w:numId w:val="2"/>
        </w:numPr>
        <w:spacing w:after="60" w:before="60"/>
      </w:pPr>
      <w:r>
        <w:rPr>
          <w:rFonts w:ascii="Arial" w:cs="Arial" w:eastAsia="Arial" w:hAnsi="Arial"/>
          <w:sz w:val="22"/>
          <w:szCs w:val="22"/>
        </w:rPr>
        <w:t xml:space="preserve">Vocabulary bridging: Step 5 explicitly addresses the term ‘variable’ in both its mathematical and computational senses, consistent with the recommendation in Chapter 17 of the course readings to remap concepts for learners when familiar terms take on new meanings in CS contexts.</w:t>
      </w:r>
    </w:p>
    <w:p>
      <w:r>
        <w:t xml:space="preserve"/>
      </w:r>
    </w:p>
    <w:p>
      <w:pPr>
        <w:pStyle w:val="Heading2"/>
      </w:pPr>
      <w:r>
        <w:rPr>
          <w:rFonts w:ascii="Arial" w:cs="Arial" w:eastAsia="Arial" w:hAnsi="Arial"/>
          <w:b/>
          <w:bCs/>
          <w:sz w:val="26"/>
          <w:szCs w:val="26"/>
        </w:rPr>
        <w:t xml:space="preserve">Principle 3: Multiple Means of Action and Expression (the ‘how’ of learning)</w:t>
      </w:r>
    </w:p>
    <w:p>
      <w:pPr>
        <w:spacing w:after="80" w:before="80"/>
      </w:pPr>
      <w:r>
        <w:rPr>
          <w:rFonts w:ascii="Arial" w:cs="Arial" w:eastAsia="Arial" w:hAnsi="Arial"/>
          <w:sz w:val="22"/>
          <w:szCs w:val="22"/>
        </w:rPr>
        <w:t xml:space="preserve">Action and expression involves varying methods for response, using multiple media for communication, and supporting students to set and achieve goals (CAST, 2024).</w:t>
      </w:r>
    </w:p>
    <w:p>
      <w:pPr>
        <w:pStyle w:val="ListParagraph"/>
        <w:numPr>
          <w:ilvl w:val="0"/>
          <w:numId w:val="2"/>
        </w:numPr>
        <w:spacing w:after="60" w:before="60"/>
      </w:pPr>
      <w:r>
        <w:rPr>
          <w:rFonts w:ascii="Arial" w:cs="Arial" w:eastAsia="Arial" w:hAnsi="Arial"/>
          <w:sz w:val="22"/>
          <w:szCs w:val="22"/>
        </w:rPr>
        <w:t xml:space="preserve">Varied response types: Students express understanding through open-ended text (Step 1), numerical input (Step 3), radio selection (Step 2), a structured expression builder with dropdown and number field (Step 4), table reasoning (Step 5), radio-based graphical interpretation (Desmos), code interaction (Pyret), and reflective writing (Check tab).</w:t>
      </w:r>
    </w:p>
    <w:p>
      <w:pPr>
        <w:pStyle w:val="ListParagraph"/>
        <w:numPr>
          <w:ilvl w:val="0"/>
          <w:numId w:val="2"/>
        </w:numPr>
        <w:spacing w:after="60" w:before="60"/>
      </w:pPr>
      <w:r>
        <w:rPr>
          <w:rFonts w:ascii="Arial" w:cs="Arial" w:eastAsia="Arial" w:hAnsi="Arial"/>
          <w:sz w:val="22"/>
          <w:szCs w:val="22"/>
        </w:rPr>
        <w:t xml:space="preserve">Expression builder scaffold: Step 4 structures the expression as three parts — x, operator dropdown, constant field — reducing the blank-page barrier for students who understand the concept but cannot yet produce algebraic notation fluently. Barrett and Israel (2023) demonstrate that scaffolding block coding through multiple entry points improves access for diverse learners; the same principle applies here to algebraic expression writing.</w:t>
      </w:r>
    </w:p>
    <w:p>
      <w:pPr>
        <w:pStyle w:val="ListParagraph"/>
        <w:numPr>
          <w:ilvl w:val="0"/>
          <w:numId w:val="2"/>
        </w:numPr>
        <w:spacing w:after="60" w:before="60"/>
      </w:pPr>
      <w:r>
        <w:rPr>
          <w:rFonts w:ascii="Arial" w:cs="Arial" w:eastAsia="Arial" w:hAnsi="Arial"/>
          <w:sz w:val="22"/>
          <w:szCs w:val="22"/>
        </w:rPr>
        <w:t xml:space="preserve">Confirmation box: After correctly building x + 4, students see a confirmation box displaying ‘Thamarai’s age = x + 4 — This works for any age!’ before continuing. This makes the meaning of the expression explicit, supporting students who may have assembled the correct answer without fully understanding what it represents.</w:t>
      </w:r>
    </w:p>
    <w:p>
      <w:r>
        <w:t xml:space="preserve"/>
      </w:r>
    </w:p>
    <w:p>
      <w:pPr>
        <w:pBdr>
          <w:bottom w:val="single" w:color="4472C4" w:sz="6" w:space="1"/>
        </w:pBdr>
      </w:pPr>
      <w:r>
        <w:t xml:space="preserve"/>
      </w:r>
    </w:p>
    <w:p>
      <w:r>
        <w:t xml:space="preserve"/>
      </w:r>
    </w:p>
    <w:p>
      <w:pPr>
        <w:pStyle w:val="Heading1"/>
      </w:pPr>
      <w:r>
        <w:rPr>
          <w:rFonts w:ascii="Arial" w:cs="Arial" w:eastAsia="Arial" w:hAnsi="Arial"/>
          <w:b/>
          <w:bCs/>
          <w:sz w:val="32"/>
          <w:szCs w:val="32"/>
        </w:rPr>
        <w:t xml:space="preserve">Standards Alignment</w:t>
      </w:r>
    </w:p>
    <w:p>
      <w:r>
        <w:t xml:space="preserve"/>
      </w:r>
    </w:p>
    <w:p>
      <w:pPr>
        <w:pStyle w:val="Heading2"/>
      </w:pPr>
      <w:r>
        <w:rPr>
          <w:rFonts w:ascii="Arial" w:cs="Arial" w:eastAsia="Arial" w:hAnsi="Arial"/>
          <w:b/>
          <w:bCs/>
          <w:sz w:val="26"/>
          <w:szCs w:val="26"/>
        </w:rPr>
        <w:t xml:space="preserve">Common Core State Standards —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CCSS 6.EE.A.2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Write, read, and evaluate expressions in which letters stand for numbers. Students write x + 4 in Step 4 and evaluate it for specific values in Step 3 and the Pyret try-it panel.</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CCSS 6.EE.B.5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Understand solving an equation as a process of answering which values make it true. The Desmos graph shows that y = x + 4 holds for all plotted points, building this intuition visually.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CCSS 6.EE.C.9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variables to represent two quantities in a real-world problem that change in relationship to one another. Steps 5a–5c explicitly build the concept of two co-varying quantities requiring two distinct variables.</w:t>
            </w:r>
          </w:p>
        </w:tc>
      </w:tr>
    </w:tbl>
    <w:p>
      <w:r>
        <w:t xml:space="preserve"/>
      </w:r>
    </w:p>
    <w:p>
      <w:pPr>
        <w:pStyle w:val="Heading2"/>
      </w:pPr>
      <w:r>
        <w:rPr>
          <w:rFonts w:ascii="Arial" w:cs="Arial" w:eastAsia="Arial" w:hAnsi="Arial"/>
          <w:b/>
          <w:bCs/>
          <w:sz w:val="26"/>
          <w:szCs w:val="26"/>
        </w:rPr>
        <w:t xml:space="preserve">CSTA K–12 Computer Science Standards (Grades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2-AP-11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clearly named variables that represent different data types and perform operations on their values. Students define selvi-age as the parameter and apply + 4 in the Pyret function body.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2-AP-14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procedures with parameters to organize code and make it easier to reuse. The thamarai-age function takes selvi-age as a parameter, directly instantiating this standard.</w:t>
            </w:r>
          </w:p>
        </w:tc>
      </w:tr>
    </w:tbl>
    <w:p>
      <w:r>
        <w:t xml:space="preserve"/>
      </w:r>
    </w:p>
    <w:p>
      <w:pPr>
        <w:pBdr>
          <w:bottom w:val="single" w:color="4472C4" w:sz="6" w:space="1"/>
        </w:pBdr>
      </w:pPr>
      <w:r>
        <w:t xml:space="preserve"/>
      </w:r>
    </w:p>
    <w:p>
      <w:r>
        <w:t xml:space="preserve"/>
      </w:r>
    </w:p>
    <w:p>
      <w:pPr>
        <w:pStyle w:val="Heading1"/>
      </w:pPr>
      <w:r>
        <w:rPr>
          <w:rFonts w:ascii="Arial" w:cs="Arial" w:eastAsia="Arial" w:hAnsi="Arial"/>
          <w:b/>
          <w:bCs/>
          <w:sz w:val="32"/>
          <w:szCs w:val="32"/>
        </w:rPr>
        <w:t xml:space="preserve">Learning Theory Rationale by 5E Phase</w:t>
      </w:r>
    </w:p>
    <w:p>
      <w:r>
        <w:t xml:space="preserve"/>
      </w:r>
    </w:p>
    <w:p>
      <w:pPr>
        <w:spacing w:after="80" w:before="80"/>
      </w:pPr>
      <w:r>
        <w:rPr>
          <w:rFonts w:ascii="Arial" w:cs="Arial" w:eastAsia="Arial" w:hAnsi="Arial"/>
          <w:sz w:val="22"/>
          <w:szCs w:val="22"/>
        </w:rPr>
        <w:t xml:space="preserve">The 5E Instructional Model (Engage, Explore, Explain, Elaborate, Evaluate) provides a constructivist framework in which students build understanding through sequential phases of inquiry. Each phase of this lesson is grounded in specific theoretical decisions described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E2F0D8" w:val="clear"/>
            <w:tcMar>
              <w:top w:type="dxa" w:w="80"/>
              <w:left w:type="dxa" w:w="120"/>
              <w:bottom w:type="dxa" w:w="80"/>
              <w:right w:type="dxa" w:w="120"/>
            </w:tcMar>
          </w:tcPr>
          <w:p>
            <w:r>
              <w:rPr>
                <w:rFonts w:ascii="Arial" w:cs="Arial" w:eastAsia="Arial" w:hAnsi="Arial"/>
                <w:b/>
                <w:bCs/>
                <w:sz w:val="22"/>
                <w:szCs w:val="22"/>
              </w:rPr>
              <w:t xml:space="preserve">5E Phase &amp; IDE Activity</w:t>
            </w:r>
          </w:p>
        </w:tc>
        <w:tc>
          <w:tcPr>
            <w:tcW w:type="dxa" w:w="3120"/>
            <w:tcBorders>
              <w:top w:val="single" w:color="4472C4" w:sz="1"/>
              <w:left w:val="single" w:color="4472C4" w:sz="1"/>
              <w:bottom w:val="single" w:color="4472C4" w:sz="1"/>
              <w:right w:val="single" w:color="4472C4" w:sz="1"/>
            </w:tcBorders>
            <w:shd w:fill="E2F0D8" w:val="clear"/>
            <w:tcMar>
              <w:top w:type="dxa" w:w="80"/>
              <w:left w:type="dxa" w:w="120"/>
              <w:bottom w:type="dxa" w:w="80"/>
              <w:right w:type="dxa" w:w="120"/>
            </w:tcMar>
          </w:tcPr>
          <w:p>
            <w:r>
              <w:rPr>
                <w:rFonts w:ascii="Arial" w:cs="Arial" w:eastAsia="Arial" w:hAnsi="Arial"/>
                <w:b/>
                <w:bCs/>
                <w:sz w:val="22"/>
                <w:szCs w:val="22"/>
              </w:rPr>
              <w:t xml:space="preserve">Learning Theory Rationale</w:t>
            </w:r>
          </w:p>
        </w:tc>
        <w:tc>
          <w:tcPr>
            <w:tcW w:type="dxa" w:w="3120"/>
            <w:tcBorders>
              <w:top w:val="single" w:color="4472C4" w:sz="1"/>
              <w:left w:val="single" w:color="4472C4" w:sz="1"/>
              <w:bottom w:val="single" w:color="4472C4" w:sz="1"/>
              <w:right w:val="single" w:color="4472C4" w:sz="1"/>
            </w:tcBorders>
            <w:shd w:fill="E2F0D8" w:val="clear"/>
            <w:tcMar>
              <w:top w:type="dxa" w:w="80"/>
              <w:left w:type="dxa" w:w="120"/>
              <w:bottom w:type="dxa" w:w="80"/>
              <w:right w:type="dxa" w:w="120"/>
            </w:tcMar>
          </w:tcPr>
          <w:p>
            <w:r>
              <w:rPr>
                <w:rFonts w:ascii="Arial" w:cs="Arial" w:eastAsia="Arial" w:hAnsi="Arial"/>
                <w:b/>
                <w:bCs/>
                <w:sz w:val="22"/>
                <w:szCs w:val="22"/>
              </w:rPr>
              <w:t xml:space="preserve">IDE Design Decision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ENGAGE</w:t>
            </w:r>
          </w:p>
          <w:p>
            <w:pPr>
              <w:pStyle w:val="ListParagraph"/>
              <w:numPr>
                <w:ilvl w:val="0"/>
                <w:numId w:val="2"/>
              </w:numPr>
              <w:spacing w:after="40" w:before="40"/>
            </w:pPr>
            <w:r>
              <w:rPr>
                <w:rFonts w:ascii="Arial" w:cs="Arial" w:eastAsia="Arial" w:hAnsi="Arial"/>
                <w:sz w:val="20"/>
                <w:szCs w:val="20"/>
              </w:rPr>
              <w:t xml:space="preserve">Warm-up: sibling age gap question (verbal)</w:t>
            </w:r>
          </w:p>
          <w:p>
            <w:pPr>
              <w:pStyle w:val="ListParagraph"/>
              <w:numPr>
                <w:ilvl w:val="0"/>
                <w:numId w:val="2"/>
              </w:numPr>
              <w:spacing w:after="40" w:before="40"/>
            </w:pPr>
            <w:r>
              <w:rPr>
                <w:rFonts w:ascii="Arial" w:cs="Arial" w:eastAsia="Arial" w:hAnsi="Arial"/>
                <w:sz w:val="20"/>
                <w:szCs w:val="20"/>
              </w:rPr>
              <w:t xml:space="preserve">Problem statement read aloud together</w:t>
            </w:r>
          </w:p>
          <w:p>
            <w:pPr>
              <w:pStyle w:val="ListParagraph"/>
              <w:numPr>
                <w:ilvl w:val="0"/>
                <w:numId w:val="2"/>
              </w:numPr>
              <w:spacing w:after="40" w:before="40"/>
            </w:pPr>
            <w:r>
              <w:rPr>
                <w:rFonts w:ascii="Arial" w:cs="Arial" w:eastAsia="Arial" w:hAnsi="Arial"/>
                <w:sz w:val="20"/>
                <w:szCs w:val="20"/>
              </w:rPr>
              <w:t xml:space="preserve">Think-pair-share before IDE opens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Activating prior knowledge before new instruction reduces cognitive load and increases schema formation (CAST, 2018). The warm-up uses a context students can solve without algebra, establishing the additive relationship before formalising it.</w:t>
            </w:r>
          </w:p>
          <w:p>
            <w:pPr>
              <w:spacing w:after="60" w:before="60"/>
            </w:pPr>
            <w:r>
              <w:rPr>
                <w:rFonts w:ascii="Arial" w:cs="Arial" w:eastAsia="Arial" w:hAnsi="Arial"/>
                <w:sz w:val="20"/>
                <w:szCs w:val="20"/>
              </w:rPr>
              <w:t xml:space="preserve">Culturally sustaining pedagogies (Paris &amp; Alim, 2017): reading the problem aloud together ensures access regardless of reading fluency, welcoming multilingual learners and students with print-processing differences.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The problem uses South Asian names to signal cultural welcome before a single interaction occurs in the IDE.</w:t>
            </w:r>
          </w:p>
          <w:p>
            <w:pPr>
              <w:spacing w:after="60" w:before="60"/>
            </w:pPr>
            <w:r>
              <w:rPr>
                <w:rFonts w:ascii="Arial" w:cs="Arial" w:eastAsia="Arial" w:hAnsi="Arial"/>
                <w:sz w:val="20"/>
                <w:szCs w:val="20"/>
              </w:rPr>
              <w:t xml:space="preserve">The problem statement is displayed persistently at the top of the Task tab throughout all five steps, removing the need to hold it in working memory.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D9E2F3" w:val="clear"/>
            <w:tcMar>
              <w:top w:type="dxa" w:w="80"/>
              <w:left w:type="dxa" w:w="120"/>
              <w:bottom w:type="dxa" w:w="80"/>
              <w:right w:type="dxa" w:w="120"/>
            </w:tcMar>
          </w:tcPr>
          <w:p>
            <w:r>
              <w:rPr>
                <w:rFonts w:ascii="Arial" w:cs="Arial" w:eastAsia="Arial" w:hAnsi="Arial"/>
                <w:b/>
                <w:bCs/>
                <w:sz w:val="22"/>
                <w:szCs w:val="22"/>
              </w:rPr>
              <w:t xml:space="preserve">5E Phase &amp; IDE Activity</w:t>
            </w:r>
          </w:p>
        </w:tc>
        <w:tc>
          <w:tcPr>
            <w:tcW w:type="dxa" w:w="3120"/>
            <w:tcBorders>
              <w:top w:val="single" w:color="4472C4" w:sz="1"/>
              <w:left w:val="single" w:color="4472C4" w:sz="1"/>
              <w:bottom w:val="single" w:color="4472C4" w:sz="1"/>
              <w:right w:val="single" w:color="4472C4" w:sz="1"/>
            </w:tcBorders>
            <w:shd w:fill="D9E2F3" w:val="clear"/>
            <w:tcMar>
              <w:top w:type="dxa" w:w="80"/>
              <w:left w:type="dxa" w:w="120"/>
              <w:bottom w:type="dxa" w:w="80"/>
              <w:right w:type="dxa" w:w="120"/>
            </w:tcMar>
          </w:tcPr>
          <w:p>
            <w:r>
              <w:rPr>
                <w:rFonts w:ascii="Arial" w:cs="Arial" w:eastAsia="Arial" w:hAnsi="Arial"/>
                <w:b/>
                <w:bCs/>
                <w:sz w:val="22"/>
                <w:szCs w:val="22"/>
              </w:rPr>
              <w:t xml:space="preserve">Learning Theory Rationale</w:t>
            </w:r>
          </w:p>
        </w:tc>
        <w:tc>
          <w:tcPr>
            <w:tcW w:type="dxa" w:w="3120"/>
            <w:tcBorders>
              <w:top w:val="single" w:color="4472C4" w:sz="1"/>
              <w:left w:val="single" w:color="4472C4" w:sz="1"/>
              <w:bottom w:val="single" w:color="4472C4" w:sz="1"/>
              <w:right w:val="single" w:color="4472C4" w:sz="1"/>
            </w:tcBorders>
            <w:shd w:fill="D9E2F3" w:val="clear"/>
            <w:tcMar>
              <w:top w:type="dxa" w:w="80"/>
              <w:left w:type="dxa" w:w="120"/>
              <w:bottom w:type="dxa" w:w="80"/>
              <w:right w:type="dxa" w:w="120"/>
            </w:tcMar>
          </w:tcPr>
          <w:p>
            <w:r>
              <w:rPr>
                <w:rFonts w:ascii="Arial" w:cs="Arial" w:eastAsia="Arial" w:hAnsi="Arial"/>
                <w:b/>
                <w:bCs/>
                <w:sz w:val="22"/>
                <w:szCs w:val="22"/>
              </w:rPr>
              <w:t xml:space="preserve">IDE Design Decision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EXPLORE</w:t>
            </w:r>
          </w:p>
          <w:p>
            <w:pPr>
              <w:pStyle w:val="ListParagraph"/>
              <w:numPr>
                <w:ilvl w:val="0"/>
                <w:numId w:val="2"/>
              </w:numPr>
              <w:spacing w:after="40" w:before="40"/>
            </w:pPr>
            <w:r>
              <w:rPr>
                <w:rFonts w:ascii="Arial" w:cs="Arial" w:eastAsia="Arial" w:hAnsi="Arial"/>
                <w:sz w:val="20"/>
                <w:szCs w:val="20"/>
              </w:rPr>
              <w:t xml:space="preserve">Steps 1–5 in the Task tab</w:t>
            </w:r>
          </w:p>
          <w:p>
            <w:pPr>
              <w:pStyle w:val="ListParagraph"/>
              <w:numPr>
                <w:ilvl w:val="0"/>
                <w:numId w:val="2"/>
              </w:numPr>
              <w:spacing w:after="40" w:before="40"/>
            </w:pPr>
            <w:r>
              <w:rPr>
                <w:rFonts w:ascii="Arial" w:cs="Arial" w:eastAsia="Arial" w:hAnsi="Arial"/>
                <w:sz w:val="20"/>
                <w:szCs w:val="20"/>
              </w:rPr>
              <w:t xml:space="preserve">Step order: understand → identify operation → concrete number → expression → table-bridge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The concrete-to-symbolic progression is grounded in Israel and Lash’s (2020) mathematics-CT learning progression research, which demonstrates that students need arithmetic grounding before algebraic abstraction.</w:t>
            </w:r>
          </w:p>
          <w:p>
            <w:pPr>
              <w:spacing w:after="60" w:before="60"/>
            </w:pPr>
            <w:r>
              <w:rPr>
                <w:rFonts w:ascii="Arial" w:cs="Arial" w:eastAsia="Arial" w:hAnsi="Arial"/>
                <w:sz w:val="20"/>
                <w:szCs w:val="20"/>
              </w:rPr>
              <w:t xml:space="preserve">Moving the operation identification (Step 2) before the concrete calculation (Step 3) ensures students understand why they are adding before they apply it, reducing procedural mimicry without conceptual understanding.</w:t>
            </w:r>
          </w:p>
          <w:p>
            <w:pPr>
              <w:spacing w:after="60" w:before="60"/>
            </w:pPr>
            <w:r>
              <w:rPr>
                <w:rFonts w:ascii="Arial" w:cs="Arial" w:eastAsia="Arial" w:hAnsi="Arial"/>
                <w:sz w:val="20"/>
                <w:szCs w:val="20"/>
              </w:rPr>
              <w:t xml:space="preserve">AI validation in Steps 1 and 4 (open-ended and expression types) accepts varied correct responses, operationalising the UDL principle of multiple means of action and expression.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Expression builder (Step 4): structured as x — operator dropdown — number field. This is a deliberate scaffolding entry point (Barrett &amp; Israel, 2023) that separates the decision about the operation from the decision about the constant.</w:t>
            </w:r>
          </w:p>
          <w:p>
            <w:pPr>
              <w:spacing w:after="60" w:before="60"/>
            </w:pPr>
            <w:r>
              <w:rPr>
                <w:rFonts w:ascii="Arial" w:cs="Arial" w:eastAsia="Arial" w:hAnsi="Arial"/>
                <w:sz w:val="20"/>
                <w:szCs w:val="20"/>
              </w:rPr>
              <w:t xml:space="preserve">Progressive hint system: hints unlock after 2 failed attempts, not immediately, preserving productive struggle before providing support.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FFF2CC" w:val="clear"/>
            <w:tcMar>
              <w:top w:type="dxa" w:w="80"/>
              <w:left w:type="dxa" w:w="120"/>
              <w:bottom w:type="dxa" w:w="80"/>
              <w:right w:type="dxa" w:w="120"/>
            </w:tcMar>
          </w:tcPr>
          <w:p>
            <w:r>
              <w:rPr>
                <w:rFonts w:ascii="Arial" w:cs="Arial" w:eastAsia="Arial" w:hAnsi="Arial"/>
                <w:b/>
                <w:bCs/>
                <w:sz w:val="22"/>
                <w:szCs w:val="22"/>
              </w:rPr>
              <w:t xml:space="preserve">5E Phase &amp; IDE Activity</w:t>
            </w:r>
          </w:p>
        </w:tc>
        <w:tc>
          <w:tcPr>
            <w:tcW w:type="dxa" w:w="3120"/>
            <w:tcBorders>
              <w:top w:val="single" w:color="4472C4" w:sz="1"/>
              <w:left w:val="single" w:color="4472C4" w:sz="1"/>
              <w:bottom w:val="single" w:color="4472C4" w:sz="1"/>
              <w:right w:val="single" w:color="4472C4" w:sz="1"/>
            </w:tcBorders>
            <w:shd w:fill="FFF2CC" w:val="clear"/>
            <w:tcMar>
              <w:top w:type="dxa" w:w="80"/>
              <w:left w:type="dxa" w:w="120"/>
              <w:bottom w:type="dxa" w:w="80"/>
              <w:right w:type="dxa" w:w="120"/>
            </w:tcMar>
          </w:tcPr>
          <w:p>
            <w:r>
              <w:rPr>
                <w:rFonts w:ascii="Arial" w:cs="Arial" w:eastAsia="Arial" w:hAnsi="Arial"/>
                <w:b/>
                <w:bCs/>
                <w:sz w:val="22"/>
                <w:szCs w:val="22"/>
              </w:rPr>
              <w:t xml:space="preserve">Learning Theory Rationale</w:t>
            </w:r>
          </w:p>
        </w:tc>
        <w:tc>
          <w:tcPr>
            <w:tcW w:type="dxa" w:w="3120"/>
            <w:tcBorders>
              <w:top w:val="single" w:color="4472C4" w:sz="1"/>
              <w:left w:val="single" w:color="4472C4" w:sz="1"/>
              <w:bottom w:val="single" w:color="4472C4" w:sz="1"/>
              <w:right w:val="single" w:color="4472C4" w:sz="1"/>
            </w:tcBorders>
            <w:shd w:fill="FFF2CC" w:val="clear"/>
            <w:tcMar>
              <w:top w:type="dxa" w:w="80"/>
              <w:left w:type="dxa" w:w="120"/>
              <w:bottom w:type="dxa" w:w="80"/>
              <w:right w:type="dxa" w:w="120"/>
            </w:tcMar>
          </w:tcPr>
          <w:p>
            <w:r>
              <w:rPr>
                <w:rFonts w:ascii="Arial" w:cs="Arial" w:eastAsia="Arial" w:hAnsi="Arial"/>
                <w:b/>
                <w:bCs/>
                <w:sz w:val="22"/>
                <w:szCs w:val="22"/>
              </w:rPr>
              <w:t xml:space="preserve">IDE Design Decision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EXPLAIN</w:t>
            </w:r>
          </w:p>
          <w:p>
            <w:pPr>
              <w:pStyle w:val="ListParagraph"/>
              <w:numPr>
                <w:ilvl w:val="0"/>
                <w:numId w:val="2"/>
              </w:numPr>
              <w:spacing w:after="40" w:before="40"/>
            </w:pPr>
            <w:r>
              <w:rPr>
                <w:rFonts w:ascii="Arial" w:cs="Arial" w:eastAsia="Arial" w:hAnsi="Arial"/>
                <w:sz w:val="20"/>
                <w:szCs w:val="20"/>
              </w:rPr>
              <w:t xml:space="preserve">Task completion → equation y = x + 4 revealed</w:t>
            </w:r>
          </w:p>
          <w:p>
            <w:pPr>
              <w:pStyle w:val="ListParagraph"/>
              <w:numPr>
                <w:ilvl w:val="0"/>
                <w:numId w:val="2"/>
              </w:numPr>
              <w:spacing w:after="40" w:before="40"/>
            </w:pPr>
            <w:r>
              <w:rPr>
                <w:rFonts w:ascii="Arial" w:cs="Arial" w:eastAsia="Arial" w:hAnsi="Arial"/>
                <w:sz w:val="20"/>
                <w:szCs w:val="20"/>
              </w:rPr>
              <w:t xml:space="preserve">Desmos prediction question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The prediction question operationalises Curiosity-Driven Learning: asking students to predict before revealing creates a knowledge gap that motivates engagement with the graph (Loewenstein, 1994, as applied in IDE design).</w:t>
            </w:r>
          </w:p>
          <w:p>
            <w:pPr>
              <w:spacing w:after="60" w:before="60"/>
            </w:pPr>
            <w:r>
              <w:rPr>
                <w:rFonts w:ascii="Arial" w:cs="Arial" w:eastAsia="Arial" w:hAnsi="Arial"/>
                <w:sz w:val="20"/>
                <w:szCs w:val="20"/>
              </w:rPr>
              <w:t xml:space="preserve">Accepting any prediction without penalty is consistent with the UDL emotional capacity guideline — removing the fear of being wrong before exploring.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The prediction is stored and referenced when the graph reveals: ‘You predicted a curved line — does the graph match?’ This closes the prediction loop, making the gap between expectation and reality the learning moment.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FCE4D6" w:val="clear"/>
            <w:tcMar>
              <w:top w:type="dxa" w:w="80"/>
              <w:left w:type="dxa" w:w="120"/>
              <w:bottom w:type="dxa" w:w="80"/>
              <w:right w:type="dxa" w:w="120"/>
            </w:tcMar>
          </w:tcPr>
          <w:p>
            <w:r>
              <w:rPr>
                <w:rFonts w:ascii="Arial" w:cs="Arial" w:eastAsia="Arial" w:hAnsi="Arial"/>
                <w:b/>
                <w:bCs/>
                <w:sz w:val="22"/>
                <w:szCs w:val="22"/>
              </w:rPr>
              <w:t xml:space="preserve">5E Phase &amp; IDE Activity</w:t>
            </w:r>
          </w:p>
        </w:tc>
        <w:tc>
          <w:tcPr>
            <w:tcW w:type="dxa" w:w="3120"/>
            <w:tcBorders>
              <w:top w:val="single" w:color="4472C4" w:sz="1"/>
              <w:left w:val="single" w:color="4472C4" w:sz="1"/>
              <w:bottom w:val="single" w:color="4472C4" w:sz="1"/>
              <w:right w:val="single" w:color="4472C4" w:sz="1"/>
            </w:tcBorders>
            <w:shd w:fill="FCE4D6" w:val="clear"/>
            <w:tcMar>
              <w:top w:type="dxa" w:w="80"/>
              <w:left w:type="dxa" w:w="120"/>
              <w:bottom w:type="dxa" w:w="80"/>
              <w:right w:type="dxa" w:w="120"/>
            </w:tcMar>
          </w:tcPr>
          <w:p>
            <w:r>
              <w:rPr>
                <w:rFonts w:ascii="Arial" w:cs="Arial" w:eastAsia="Arial" w:hAnsi="Arial"/>
                <w:b/>
                <w:bCs/>
                <w:sz w:val="22"/>
                <w:szCs w:val="22"/>
              </w:rPr>
              <w:t xml:space="preserve">Learning Theory Rationale</w:t>
            </w:r>
          </w:p>
        </w:tc>
        <w:tc>
          <w:tcPr>
            <w:tcW w:type="dxa" w:w="3120"/>
            <w:tcBorders>
              <w:top w:val="single" w:color="4472C4" w:sz="1"/>
              <w:left w:val="single" w:color="4472C4" w:sz="1"/>
              <w:bottom w:val="single" w:color="4472C4" w:sz="1"/>
              <w:right w:val="single" w:color="4472C4" w:sz="1"/>
            </w:tcBorders>
            <w:shd w:fill="FCE4D6" w:val="clear"/>
            <w:tcMar>
              <w:top w:type="dxa" w:w="80"/>
              <w:left w:type="dxa" w:w="120"/>
              <w:bottom w:type="dxa" w:w="80"/>
              <w:right w:type="dxa" w:w="120"/>
            </w:tcMar>
          </w:tcPr>
          <w:p>
            <w:r>
              <w:rPr>
                <w:rFonts w:ascii="Arial" w:cs="Arial" w:eastAsia="Arial" w:hAnsi="Arial"/>
                <w:b/>
                <w:bCs/>
                <w:sz w:val="22"/>
                <w:szCs w:val="22"/>
              </w:rPr>
              <w:t xml:space="preserve">IDE Design Decision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ELABORATE</w:t>
            </w:r>
          </w:p>
          <w:p>
            <w:pPr>
              <w:pStyle w:val="ListParagraph"/>
              <w:numPr>
                <w:ilvl w:val="0"/>
                <w:numId w:val="2"/>
              </w:numPr>
              <w:spacing w:after="40" w:before="40"/>
            </w:pPr>
            <w:r>
              <w:rPr>
                <w:rFonts w:ascii="Arial" w:cs="Arial" w:eastAsia="Arial" w:hAnsi="Arial"/>
                <w:sz w:val="20"/>
                <w:szCs w:val="20"/>
              </w:rPr>
              <w:t xml:space="preserve">Desmos graph with comprehension question</w:t>
            </w:r>
          </w:p>
          <w:p>
            <w:pPr>
              <w:pStyle w:val="ListParagraph"/>
              <w:numPr>
                <w:ilvl w:val="0"/>
                <w:numId w:val="2"/>
              </w:numPr>
              <w:spacing w:after="40" w:before="40"/>
            </w:pPr>
            <w:r>
              <w:rPr>
                <w:rFonts w:ascii="Arial" w:cs="Arial" w:eastAsia="Arial" w:hAnsi="Arial"/>
                <w:sz w:val="20"/>
                <w:szCs w:val="20"/>
              </w:rPr>
              <w:t xml:space="preserve">Pyret tab: code explanation + try-it panel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Kozma et al. (2009) demonstrate that students who engage with multiple representations of the same relationship develop deeper and more transferable understanding than those who encounter only one.</w:t>
            </w:r>
          </w:p>
          <w:p>
            <w:pPr>
              <w:spacing w:after="60" w:before="60"/>
            </w:pPr>
            <w:r>
              <w:rPr>
                <w:rFonts w:ascii="Arial" w:cs="Arial" w:eastAsia="Arial" w:hAnsi="Arial"/>
                <w:sz w:val="20"/>
                <w:szCs w:val="20"/>
              </w:rPr>
              <w:t xml:space="preserve">Literate programming (Knuth, 1984): the Pyret tab treats code as human-readable text. Each line is annotated in plain language, bridging the gap between the algebraic and computational registers.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The comprehension question (‘What happens to Thamarai’s age as Selvi’s age increases?’) is radio-based, reducing expressive language demands while assessing conceptual understanding of the graph’s slope direction.</w:t>
            </w:r>
          </w:p>
          <w:p>
            <w:pPr>
              <w:spacing w:after="60" w:before="60"/>
            </w:pPr>
            <w:r>
              <w:rPr>
                <w:rFonts w:ascii="Arial" w:cs="Arial" w:eastAsia="Arial" w:hAnsi="Arial"/>
                <w:sz w:val="20"/>
                <w:szCs w:val="20"/>
              </w:rPr>
              <w:t xml:space="preserve">The try-it panel in Pyret allows open-ended exploration — students test any value they choose, supporting self-directed inquiry at variable pace.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E2F0D8" w:val="clear"/>
            <w:tcMar>
              <w:top w:type="dxa" w:w="80"/>
              <w:left w:type="dxa" w:w="120"/>
              <w:bottom w:type="dxa" w:w="80"/>
              <w:right w:type="dxa" w:w="120"/>
            </w:tcMar>
          </w:tcPr>
          <w:p>
            <w:r>
              <w:rPr>
                <w:rFonts w:ascii="Arial" w:cs="Arial" w:eastAsia="Arial" w:hAnsi="Arial"/>
                <w:b/>
                <w:bCs/>
                <w:sz w:val="22"/>
                <w:szCs w:val="22"/>
              </w:rPr>
              <w:t xml:space="preserve">5E Phase &amp; IDE Activity</w:t>
            </w:r>
          </w:p>
        </w:tc>
        <w:tc>
          <w:tcPr>
            <w:tcW w:type="dxa" w:w="3120"/>
            <w:tcBorders>
              <w:top w:val="single" w:color="4472C4" w:sz="1"/>
              <w:left w:val="single" w:color="4472C4" w:sz="1"/>
              <w:bottom w:val="single" w:color="4472C4" w:sz="1"/>
              <w:right w:val="single" w:color="4472C4" w:sz="1"/>
            </w:tcBorders>
            <w:shd w:fill="E2F0D8" w:val="clear"/>
            <w:tcMar>
              <w:top w:type="dxa" w:w="80"/>
              <w:left w:type="dxa" w:w="120"/>
              <w:bottom w:type="dxa" w:w="80"/>
              <w:right w:type="dxa" w:w="120"/>
            </w:tcMar>
          </w:tcPr>
          <w:p>
            <w:r>
              <w:rPr>
                <w:rFonts w:ascii="Arial" w:cs="Arial" w:eastAsia="Arial" w:hAnsi="Arial"/>
                <w:b/>
                <w:bCs/>
                <w:sz w:val="22"/>
                <w:szCs w:val="22"/>
              </w:rPr>
              <w:t xml:space="preserve">Learning Theory Rationale</w:t>
            </w:r>
          </w:p>
        </w:tc>
        <w:tc>
          <w:tcPr>
            <w:tcW w:type="dxa" w:w="3120"/>
            <w:tcBorders>
              <w:top w:val="single" w:color="4472C4" w:sz="1"/>
              <w:left w:val="single" w:color="4472C4" w:sz="1"/>
              <w:bottom w:val="single" w:color="4472C4" w:sz="1"/>
              <w:right w:val="single" w:color="4472C4" w:sz="1"/>
            </w:tcBorders>
            <w:shd w:fill="E2F0D8" w:val="clear"/>
            <w:tcMar>
              <w:top w:type="dxa" w:w="80"/>
              <w:left w:type="dxa" w:w="120"/>
              <w:bottom w:type="dxa" w:w="80"/>
              <w:right w:type="dxa" w:w="120"/>
            </w:tcMar>
          </w:tcPr>
          <w:p>
            <w:r>
              <w:rPr>
                <w:rFonts w:ascii="Arial" w:cs="Arial" w:eastAsia="Arial" w:hAnsi="Arial"/>
                <w:b/>
                <w:bCs/>
                <w:sz w:val="22"/>
                <w:szCs w:val="22"/>
              </w:rPr>
              <w:t xml:space="preserve">IDE Design Decision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EVALUATE</w:t>
            </w:r>
          </w:p>
          <w:p>
            <w:pPr>
              <w:pStyle w:val="ListParagraph"/>
              <w:numPr>
                <w:ilvl w:val="0"/>
                <w:numId w:val="2"/>
              </w:numPr>
              <w:spacing w:after="40" w:before="40"/>
            </w:pPr>
            <w:r>
              <w:rPr>
                <w:rFonts w:ascii="Arial" w:cs="Arial" w:eastAsia="Arial" w:hAnsi="Arial"/>
                <w:sz w:val="20"/>
                <w:szCs w:val="20"/>
              </w:rPr>
              <w:t xml:space="preserve">Check tab: 3 reflection questions</w:t>
            </w:r>
          </w:p>
          <w:p>
            <w:pPr>
              <w:pStyle w:val="ListParagraph"/>
              <w:numPr>
                <w:ilvl w:val="0"/>
                <w:numId w:val="2"/>
              </w:numPr>
              <w:spacing w:after="40" w:before="40"/>
            </w:pPr>
            <w:r>
              <w:rPr>
                <w:rFonts w:ascii="Arial" w:cs="Arial" w:eastAsia="Arial" w:hAnsi="Arial"/>
                <w:sz w:val="20"/>
                <w:szCs w:val="20"/>
              </w:rPr>
              <w:t xml:space="preserve">Q1: connection across representations</w:t>
            </w:r>
          </w:p>
          <w:p>
            <w:pPr>
              <w:pStyle w:val="ListParagraph"/>
              <w:numPr>
                <w:ilvl w:val="0"/>
                <w:numId w:val="2"/>
              </w:numPr>
              <w:spacing w:after="40" w:before="40"/>
            </w:pPr>
            <w:r>
              <w:rPr>
                <w:rFonts w:ascii="Arial" w:cs="Arial" w:eastAsia="Arial" w:hAnsi="Arial"/>
                <w:sz w:val="20"/>
                <w:szCs w:val="20"/>
              </w:rPr>
              <w:t xml:space="preserve">Q2: preferred representation (choice)</w:t>
            </w:r>
          </w:p>
          <w:p>
            <w:pPr>
              <w:pStyle w:val="ListParagraph"/>
              <w:numPr>
                <w:ilvl w:val="0"/>
                <w:numId w:val="2"/>
              </w:numPr>
              <w:spacing w:after="40" w:before="40"/>
            </w:pPr>
            <w:r>
              <w:rPr>
                <w:rFonts w:ascii="Arial" w:cs="Arial" w:eastAsia="Arial" w:hAnsi="Arial"/>
                <w:sz w:val="20"/>
                <w:szCs w:val="20"/>
              </w:rPr>
              <w:t xml:space="preserve">Q3: transfer to new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Q2 (preferred representation) directly operationalises the UDL principle of multiple means of action and expression — students are not only allowed but invited to identify which representation worked for them, honouring cognitive diversity.</w:t>
            </w:r>
          </w:p>
          <w:p>
            <w:pPr>
              <w:spacing w:after="60" w:before="60"/>
            </w:pPr>
            <w:r>
              <w:rPr>
                <w:rFonts w:ascii="Arial" w:cs="Arial" w:eastAsia="Arial" w:hAnsi="Arial"/>
                <w:sz w:val="20"/>
                <w:szCs w:val="20"/>
              </w:rPr>
              <w:t xml:space="preserve">Q3 (transfer question) assesses generalisation: whether the student can apply y = x + 4 thinking to a new real-life context. Transfer is the highest-order evidence of conceptual understanding (Israel &amp; Lash, 2020).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All Check tab responses are open-ended with no single correct answer, giving every student an equal entry point regardless of prior algebraic fluency.</w:t>
            </w:r>
          </w:p>
          <w:p>
            <w:pPr>
              <w:spacing w:after="60" w:before="60"/>
            </w:pPr>
            <w:r>
              <w:rPr>
                <w:rFonts w:ascii="Arial" w:cs="Arial" w:eastAsia="Arial" w:hAnsi="Arial"/>
                <w:sz w:val="20"/>
                <w:szCs w:val="20"/>
              </w:rPr>
              <w:t xml:space="preserve">Teacher is directed to collect Q3 responses as informal formative data to open the next lesson (L1: Pocket Money) with a student-generated context.</w:t>
            </w:r>
          </w:p>
        </w:tc>
      </w:tr>
    </w:tbl>
    <w:p>
      <w:r>
        <w:t xml:space="preserve"/>
      </w:r>
    </w:p>
    <w:p>
      <w:pPr>
        <w:pBdr>
          <w:bottom w:val="single" w:color="4472C4" w:sz="6" w:space="1"/>
        </w:pBdr>
      </w:pPr>
      <w:r>
        <w:t xml:space="preserve"/>
      </w:r>
    </w:p>
    <w:p>
      <w:r>
        <w:t xml:space="preserve"/>
      </w:r>
    </w:p>
    <w:p>
      <w:pPr>
        <w:pStyle w:val="Heading1"/>
      </w:pPr>
      <w:r>
        <w:rPr>
          <w:rFonts w:ascii="Arial" w:cs="Arial" w:eastAsia="Arial" w:hAnsi="Arial"/>
          <w:b/>
          <w:bCs/>
          <w:sz w:val="32"/>
          <w:szCs w:val="32"/>
        </w:rPr>
        <w:t xml:space="preserve">References</w:t>
      </w:r>
    </w:p>
    <w:p>
      <w:r>
        <w:t xml:space="preserve"/>
      </w:r>
    </w:p>
    <w:p>
      <w:pPr>
        <w:spacing w:after="80" w:before="80"/>
      </w:pPr>
      <w:r>
        <w:rPr>
          <w:rFonts w:ascii="Arial" w:cs="Arial" w:eastAsia="Arial" w:hAnsi="Arial"/>
          <w:sz w:val="22"/>
          <w:szCs w:val="22"/>
        </w:rPr>
        <w:t xml:space="preserve">Barrett, J., &amp; Israel, M. (2023). Scaffolding block coding through multiple entry points. WiPSCE ’23: Proceedings of the 18th WiPSCE Conference on Primary and Secondary Computing Education Research. https://doi.org/10.1145/3605468.3609756</w:t>
      </w:r>
    </w:p>
    <w:p>
      <w:r>
        <w:t xml:space="preserve"/>
      </w:r>
    </w:p>
    <w:p>
      <w:pPr>
        <w:spacing w:after="80" w:before="80"/>
      </w:pPr>
      <w:r>
        <w:rPr>
          <w:rFonts w:ascii="Arial" w:cs="Arial" w:eastAsia="Arial" w:hAnsi="Arial"/>
          <w:sz w:val="22"/>
          <w:szCs w:val="22"/>
        </w:rPr>
        <w:t xml:space="preserve">CAST. (2018). UDL and the learning brain. Center for Applied Special Technology. https://www.cast.org/binaries/content/assets/common/publications/articles/cast-udlandthebrain-20220228-a11y.pdf</w:t>
      </w:r>
    </w:p>
    <w:p>
      <w:r>
        <w:t xml:space="preserve"/>
      </w:r>
    </w:p>
    <w:p>
      <w:pPr>
        <w:spacing w:after="80" w:before="80"/>
      </w:pPr>
      <w:r>
        <w:rPr>
          <w:rFonts w:ascii="Arial" w:cs="Arial" w:eastAsia="Arial" w:hAnsi="Arial"/>
          <w:sz w:val="22"/>
          <w:szCs w:val="22"/>
        </w:rPr>
        <w:t xml:space="preserve">CAST. (2024). The UDL guidelines. https://udlguidelines.cast.org/</w:t>
      </w:r>
    </w:p>
    <w:p>
      <w:r>
        <w:t xml:space="preserve"/>
      </w:r>
    </w:p>
    <w:p>
      <w:pPr>
        <w:spacing w:after="80" w:before="80"/>
      </w:pPr>
      <w:r>
        <w:rPr>
          <w:rFonts w:ascii="Arial" w:cs="Arial" w:eastAsia="Arial" w:hAnsi="Arial"/>
          <w:sz w:val="22"/>
          <w:szCs w:val="22"/>
        </w:rPr>
        <w:t xml:space="preserve">Israel, M., &amp; Lash, T. (2020). From classroom lessons to exploratory learning progressions: Mathematics computational thinking. Interactive Learning Environments, 28(3), 362–382. https://doi.org/10.1080/10494820.2019.1674879</w:t>
      </w:r>
    </w:p>
    <w:p>
      <w:r>
        <w:t xml:space="preserve"/>
      </w:r>
    </w:p>
    <w:p>
      <w:pPr>
        <w:spacing w:after="80" w:before="80"/>
      </w:pPr>
      <w:r>
        <w:rPr>
          <w:rFonts w:ascii="Arial" w:cs="Arial" w:eastAsia="Arial" w:hAnsi="Arial"/>
          <w:sz w:val="22"/>
          <w:szCs w:val="22"/>
        </w:rPr>
        <w:t xml:space="preserve">Israel, M., Lash, T., &amp; Ray, M. (2017). Universal Design for Learning within computer science education. Creative Technology Research Lab, University of Florida.</w:t>
      </w:r>
    </w:p>
    <w:p>
      <w:r>
        <w:t xml:space="preserve"/>
      </w:r>
    </w:p>
    <w:p>
      <w:pPr>
        <w:spacing w:after="80" w:before="80"/>
      </w:pPr>
      <w:r>
        <w:rPr>
          <w:rFonts w:ascii="Arial" w:cs="Arial" w:eastAsia="Arial" w:hAnsi="Arial"/>
          <w:sz w:val="22"/>
          <w:szCs w:val="22"/>
        </w:rPr>
        <w:t xml:space="preserve">Israel, M., &amp; Ray, S. (2024, April 6). UDL in CS education [Professional development session]. Exploring Equity in Computer Science, New York City Public Schools.</w:t>
      </w:r>
    </w:p>
    <w:p>
      <w:r>
        <w:t xml:space="preserve"/>
      </w:r>
    </w:p>
    <w:p>
      <w:pPr>
        <w:spacing w:after="80" w:before="80"/>
      </w:pPr>
      <w:r>
        <w:rPr>
          <w:rFonts w:ascii="Arial" w:cs="Arial" w:eastAsia="Arial" w:hAnsi="Arial"/>
          <w:sz w:val="22"/>
          <w:szCs w:val="22"/>
        </w:rPr>
        <w:t xml:space="preserve">Knuth, D. E. (1984). Literate programming. The Computer Journal, 27(2), 97–111.</w:t>
      </w:r>
    </w:p>
    <w:p>
      <w:r>
        <w:t xml:space="preserve"/>
      </w:r>
    </w:p>
    <w:p>
      <w:pPr>
        <w:spacing w:after="80" w:before="80"/>
      </w:pPr>
      <w:r>
        <w:rPr>
          <w:rFonts w:ascii="Arial" w:cs="Arial" w:eastAsia="Arial" w:hAnsi="Arial"/>
          <w:sz w:val="22"/>
          <w:szCs w:val="22"/>
        </w:rPr>
        <w:t xml:space="preserve">Kozma, R., Chin, E., Russell, J., &amp; Marx, N. (2009). The roles of representations and tools in the chemistry laboratory and their implications for chemistry learning. Journal of the Learning Sciences, 9(2), 105–143.</w:t>
      </w:r>
    </w:p>
    <w:p>
      <w:r>
        <w:t xml:space="preserve"/>
      </w:r>
    </w:p>
    <w:p>
      <w:pPr>
        <w:spacing w:after="80" w:before="80"/>
      </w:pPr>
      <w:r>
        <w:rPr>
          <w:rFonts w:ascii="Arial" w:cs="Arial" w:eastAsia="Arial" w:hAnsi="Arial"/>
          <w:sz w:val="22"/>
          <w:szCs w:val="22"/>
        </w:rPr>
        <w:t xml:space="preserve">Paris, D., &amp; Alim, H. S. (2017). Culturally sustaining pedagogies: Teaching and learning for justice in a changing world. Teachers College Press.</w:t>
      </w:r>
    </w:p>
    <w:p>
      <w:r>
        <w:t xml:space="preserve"/>
      </w:r>
    </w:p>
    <w:p>
      <w:pPr>
        <w:spacing w:after="80" w:before="80"/>
      </w:pPr>
      <w:r>
        <w:rPr>
          <w:rFonts w:ascii="Arial" w:cs="Arial" w:eastAsia="Arial" w:hAnsi="Arial"/>
          <w:sz w:val="22"/>
          <w:szCs w:val="22"/>
        </w:rPr>
        <w:t xml:space="preserve">Schanzer, E. (2017, January 9). Integrating computer science in math: The potential is great but so are the risks. AMS Blogs. https://blogs.ams.org/matheducation/2017/01/09/integrating-computer-science-in-math-the-potential-is-great-but-so-are-the-risks/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2026-03-16T19:19:02.716Z</dcterms:created>
  <dcterms:modified xsi:type="dcterms:W3CDTF">2026-03-16T19:19:02.717Z</dcterms:modified>
</cp:coreProperties>
</file>

<file path=docProps/custom.xml><?xml version="1.0" encoding="utf-8"?>
<Properties xmlns="http://schemas.openxmlformats.org/officeDocument/2006/custom-properties" xmlns:vt="http://schemas.openxmlformats.org/officeDocument/2006/docPropsVTypes"/>
</file>