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Personal Data Breach Response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ACME-INC-002</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Personal Data Breach Response Playbook</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 — Restricted</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CISO</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Playbook establishes the mandatory incident response procedures of Acme Digital Solutions Private Limited for suspected or confirmed personal data breaches. It applies to all personnel, contractors and engaged processors.</w:t>
      </w:r>
    </w:p>
    <w:p>
      <w:pPr>
        <w:pBdr>
          <w:bottom w:val="single" w:color="2E5090" w:sz="1" w:space="4"/>
        </w:pBdr>
        <w:spacing w:after="160" w:before="320"/>
      </w:pPr>
      <w:r>
        <w:rPr>
          <w:b/>
          <w:bCs/>
          <w:color w:val="1B2A4A"/>
          <w:sz w:val="26"/>
          <w:szCs w:val="26"/>
        </w:rPr>
        <w:t xml:space="preserve">Phase 1 — Detect and contain (0–12 hours)</w:t>
      </w:r>
    </w:p>
    <w:p>
      <w:pPr>
        <w:pStyle w:val="ListParagraph"/>
        <w:numPr>
          <w:ilvl w:val="0"/>
          <w:numId w:val="1"/>
        </w:numPr>
        <w:spacing w:after="80"/>
        <w:jc w:val="both"/>
      </w:pPr>
      <w:r>
        <w:rPr>
          <w:sz w:val="22"/>
          <w:szCs w:val="22"/>
        </w:rPr>
        <w:t xml:space="preserve">Log incident in PagerDuty + Jira ticket ACME-SEC-____</w:t>
      </w:r>
    </w:p>
    <w:p>
      <w:pPr>
        <w:pStyle w:val="ListParagraph"/>
        <w:numPr>
          <w:ilvl w:val="0"/>
          <w:numId w:val="1"/>
        </w:numPr>
        <w:spacing w:after="80"/>
        <w:jc w:val="both"/>
      </w:pPr>
      <w:r>
        <w:rPr>
          <w:sz w:val="22"/>
          <w:szCs w:val="22"/>
        </w:rPr>
        <w:t xml:space="preserve">Appoint Incident Commander (rotation: CISO → IT Director → On-call lead)</w:t>
      </w:r>
    </w:p>
    <w:p>
      <w:pPr>
        <w:pStyle w:val="ListParagraph"/>
        <w:numPr>
          <w:ilvl w:val="0"/>
          <w:numId w:val="1"/>
        </w:numPr>
        <w:spacing w:after="80"/>
        <w:jc w:val="both"/>
      </w:pPr>
      <w:r>
        <w:rPr>
          <w:sz w:val="22"/>
          <w:szCs w:val="22"/>
        </w:rPr>
        <w:t xml:space="preserve">Isolate affected systems — disable accounts, revoke keys, block IPs, segment network</w:t>
      </w:r>
    </w:p>
    <w:p>
      <w:pPr>
        <w:pStyle w:val="ListParagraph"/>
        <w:numPr>
          <w:ilvl w:val="0"/>
          <w:numId w:val="1"/>
        </w:numPr>
        <w:spacing w:after="80"/>
        <w:jc w:val="both"/>
      </w:pPr>
      <w:r>
        <w:rPr>
          <w:sz w:val="22"/>
          <w:szCs w:val="22"/>
        </w:rPr>
        <w:t xml:space="preserve">Preserve evidence — disk images, memory dumps, API logs, WAF logs (min 12 months per Rule 8(3))</w:t>
      </w:r>
    </w:p>
    <w:p>
      <w:pPr>
        <w:pStyle w:val="ListParagraph"/>
        <w:numPr>
          <w:ilvl w:val="0"/>
          <w:numId w:val="1"/>
        </w:numPr>
        <w:spacing w:after="80"/>
        <w:jc w:val="both"/>
      </w:pPr>
      <w:r>
        <w:rPr>
          <w:sz w:val="22"/>
          <w:szCs w:val="22"/>
        </w:rPr>
        <w:t xml:space="preserve">Notify Legal, CCO and CEO within 1 hour for all confirmed personal data breaches</w:t>
      </w:r>
    </w:p>
    <w:p>
      <w:pPr>
        <w:pStyle w:val="ListParagraph"/>
        <w:numPr>
          <w:ilvl w:val="0"/>
          <w:numId w:val="1"/>
        </w:numPr>
        <w:spacing w:after="80"/>
        <w:jc w:val="both"/>
      </w:pPr>
      <w:r>
        <w:rPr>
          <w:sz w:val="22"/>
          <w:szCs w:val="22"/>
        </w:rPr>
        <w:t xml:space="preserve">Engage forensic firm (CrowdStrike retainer) if production data involved</w:t>
      </w:r>
    </w:p>
    <w:p>
      <w:pPr>
        <w:pStyle w:val="ListParagraph"/>
        <w:numPr>
          <w:ilvl w:val="0"/>
          <w:numId w:val="1"/>
        </w:numPr>
        <w:spacing w:after="80"/>
        <w:jc w:val="both"/>
      </w:pPr>
      <w:r>
        <w:rPr>
          <w:sz w:val="22"/>
          <w:szCs w:val="22"/>
        </w:rPr>
        <w:t xml:space="preserve">Do NOT delete logs or rebuild systems before forensic preservation</w:t>
      </w:r>
    </w:p>
    <w:p>
      <w:pPr>
        <w:pStyle w:val="ListParagraph"/>
        <w:numPr>
          <w:ilvl w:val="0"/>
          <w:numId w:val="1"/>
        </w:numPr>
        <w:spacing w:after="80"/>
        <w:jc w:val="both"/>
      </w:pPr>
      <w:r>
        <w:rPr>
          <w:sz w:val="22"/>
          <w:szCs w:val="22"/>
        </w:rPr>
        <w:t xml:space="preserve">Brief customer support with holding statement only — no speculation</w:t>
      </w:r>
    </w:p>
    <w:p>
      <w:pPr>
        <w:pBdr>
          <w:bottom w:val="single" w:color="2E5090" w:sz="1" w:space="4"/>
        </w:pBdr>
        <w:spacing w:after="160" w:before="320"/>
      </w:pPr>
      <w:r>
        <w:rPr>
          <w:b/>
          <w:bCs/>
          <w:color w:val="1B2A4A"/>
          <w:sz w:val="26"/>
          <w:szCs w:val="26"/>
        </w:rPr>
        <w:t xml:space="preserve">Phase 2 — Assess (12–48 hours)</w:t>
      </w:r>
    </w:p>
    <w:p>
      <w:pPr>
        <w:pStyle w:val="ListParagraph"/>
        <w:numPr>
          <w:ilvl w:val="0"/>
          <w:numId w:val="1"/>
        </w:numPr>
        <w:spacing w:after="80"/>
        <w:jc w:val="both"/>
      </w:pPr>
      <w:r>
        <w:rPr>
          <w:sz w:val="22"/>
          <w:szCs w:val="22"/>
        </w:rPr>
        <w:t xml:space="preserve">Confirm personal data (not just corporate confidential data) is in scope</w:t>
      </w:r>
    </w:p>
    <w:p>
      <w:pPr>
        <w:pStyle w:val="ListParagraph"/>
        <w:numPr>
          <w:ilvl w:val="0"/>
          <w:numId w:val="1"/>
        </w:numPr>
        <w:spacing w:after="80"/>
        <w:jc w:val="both"/>
      </w:pPr>
      <w:r>
        <w:rPr>
          <w:sz w:val="22"/>
          <w:szCs w:val="22"/>
        </w:rPr>
        <w:t xml:space="preserve">Map data categories: identity, financial, health, biometric, children's data, etc.</w:t>
      </w:r>
    </w:p>
    <w:p>
      <w:pPr>
        <w:pStyle w:val="ListParagraph"/>
        <w:numPr>
          <w:ilvl w:val="0"/>
          <w:numId w:val="1"/>
        </w:numPr>
        <w:spacing w:after="80"/>
        <w:jc w:val="both"/>
      </w:pPr>
      <w:r>
        <w:rPr>
          <w:sz w:val="22"/>
          <w:szCs w:val="22"/>
        </w:rPr>
        <w:t xml:space="preserve">Estimate number of affected Data Principals (exact count or justified range)</w:t>
      </w:r>
    </w:p>
    <w:p>
      <w:pPr>
        <w:pStyle w:val="ListParagraph"/>
        <w:numPr>
          <w:ilvl w:val="0"/>
          <w:numId w:val="1"/>
        </w:numPr>
        <w:spacing w:after="80"/>
        <w:jc w:val="both"/>
      </w:pPr>
      <w:r>
        <w:rPr>
          <w:sz w:val="22"/>
          <w:szCs w:val="22"/>
        </w:rPr>
        <w:t xml:space="preserve">Determine attack vector, root cause and whether ongoing</w:t>
      </w:r>
    </w:p>
    <w:p>
      <w:pPr>
        <w:pStyle w:val="ListParagraph"/>
        <w:numPr>
          <w:ilvl w:val="0"/>
          <w:numId w:val="1"/>
        </w:numPr>
        <w:spacing w:after="80"/>
        <w:jc w:val="both"/>
      </w:pPr>
      <w:r>
        <w:rPr>
          <w:sz w:val="22"/>
          <w:szCs w:val="22"/>
        </w:rPr>
        <w:t xml:space="preserve">Assess harm likelihood: identity theft, financial loss, discrimination, reputational harm</w:t>
      </w:r>
    </w:p>
    <w:p>
      <w:pPr>
        <w:pStyle w:val="ListParagraph"/>
        <w:numPr>
          <w:ilvl w:val="0"/>
          <w:numId w:val="1"/>
        </w:numPr>
        <w:spacing w:after="80"/>
        <w:jc w:val="both"/>
      </w:pPr>
      <w:r>
        <w:rPr>
          <w:sz w:val="22"/>
          <w:szCs w:val="22"/>
        </w:rPr>
        <w:t xml:space="preserve">Review processor involvement — notify CloudHost, Razorpay etc. if their systems involved</w:t>
      </w:r>
    </w:p>
    <w:p>
      <w:pPr>
        <w:pStyle w:val="ListParagraph"/>
        <w:numPr>
          <w:ilvl w:val="0"/>
          <w:numId w:val="1"/>
        </w:numPr>
        <w:spacing w:after="80"/>
        <w:jc w:val="both"/>
      </w:pPr>
      <w:r>
        <w:rPr>
          <w:sz w:val="22"/>
          <w:szCs w:val="22"/>
        </w:rPr>
        <w:t xml:space="preserve">Decision record: Board notification required? (Y/N with rationale)</w:t>
      </w:r>
    </w:p>
    <w:p>
      <w:pPr>
        <w:pStyle w:val="ListParagraph"/>
        <w:numPr>
          <w:ilvl w:val="0"/>
          <w:numId w:val="1"/>
        </w:numPr>
        <w:spacing w:after="80"/>
        <w:jc w:val="both"/>
      </w:pPr>
      <w:r>
        <w:rPr>
          <w:sz w:val="22"/>
          <w:szCs w:val="22"/>
        </w:rPr>
        <w:t xml:space="preserve">Decision record: Principal notification required? (Y/N with rationale)</w:t>
      </w:r>
    </w:p>
    <w:p>
      <w:pPr>
        <w:pStyle w:val="ListParagraph"/>
        <w:numPr>
          <w:ilvl w:val="0"/>
          <w:numId w:val="1"/>
        </w:numPr>
        <w:spacing w:after="80"/>
        <w:jc w:val="both"/>
      </w:pPr>
      <w:r>
        <w:rPr>
          <w:sz w:val="22"/>
          <w:szCs w:val="22"/>
        </w:rPr>
        <w:t xml:space="preserve">Legal reviews 72-hour deadline from time of awareness (not occurrence)</w:t>
      </w:r>
    </w:p>
    <w:p>
      <w:pPr>
        <w:pBdr>
          <w:bottom w:val="single" w:color="2E5090" w:sz="1" w:space="4"/>
        </w:pBdr>
        <w:spacing w:after="160" w:before="320"/>
      </w:pPr>
      <w:r>
        <w:rPr>
          <w:b/>
          <w:bCs/>
          <w:color w:val="1B2A4A"/>
          <w:sz w:val="26"/>
          <w:szCs w:val="26"/>
        </w:rPr>
        <w:t xml:space="preserve">Phase 3 — Notify (within 72 hours of awareness)</w:t>
      </w:r>
    </w:p>
    <w:p>
      <w:pPr>
        <w:pStyle w:val="ListParagraph"/>
        <w:numPr>
          <w:ilvl w:val="0"/>
          <w:numId w:val="1"/>
        </w:numPr>
        <w:spacing w:after="80"/>
        <w:jc w:val="both"/>
      </w:pPr>
      <w:r>
        <w:rPr>
          <w:sz w:val="22"/>
          <w:szCs w:val="22"/>
        </w:rPr>
        <w:t xml:space="preserve">File Board notification via prescribed portal — use Breach Notice Part A template</w:t>
      </w:r>
    </w:p>
    <w:p>
      <w:pPr>
        <w:pStyle w:val="ListParagraph"/>
        <w:numPr>
          <w:ilvl w:val="0"/>
          <w:numId w:val="1"/>
        </w:numPr>
        <w:spacing w:after="80"/>
        <w:jc w:val="both"/>
      </w:pPr>
      <w:r>
        <w:rPr>
          <w:sz w:val="22"/>
          <w:szCs w:val="22"/>
        </w:rPr>
        <w:t xml:space="preserve">CEO and Board briefed before external notification</w:t>
      </w:r>
    </w:p>
    <w:p>
      <w:pPr>
        <w:pStyle w:val="ListParagraph"/>
        <w:numPr>
          <w:ilvl w:val="0"/>
          <w:numId w:val="1"/>
        </w:numPr>
        <w:spacing w:after="80"/>
        <w:jc w:val="both"/>
      </w:pPr>
      <w:r>
        <w:rPr>
          <w:sz w:val="22"/>
          <w:szCs w:val="22"/>
        </w:rPr>
        <w:t xml:space="preserve">Principal notification: email primary channel; SMS for critical incidents; website banner</w:t>
      </w:r>
    </w:p>
    <w:p>
      <w:pPr>
        <w:pStyle w:val="ListParagraph"/>
        <w:numPr>
          <w:ilvl w:val="0"/>
          <w:numId w:val="1"/>
        </w:numPr>
        <w:spacing w:after="80"/>
        <w:jc w:val="both"/>
      </w:pPr>
      <w:r>
        <w:rPr>
          <w:sz w:val="22"/>
          <w:szCs w:val="22"/>
        </w:rPr>
        <w:t xml:space="preserve">Notification content: what happened, data involved, actions taken, principal steps, contact</w:t>
      </w:r>
    </w:p>
    <w:p>
      <w:pPr>
        <w:pStyle w:val="ListParagraph"/>
        <w:numPr>
          <w:ilvl w:val="0"/>
          <w:numId w:val="1"/>
        </w:numPr>
        <w:spacing w:after="80"/>
        <w:jc w:val="both"/>
      </w:pPr>
      <w:r>
        <w:rPr>
          <w:sz w:val="22"/>
          <w:szCs w:val="22"/>
        </w:rPr>
        <w:t xml:space="preserve">Regulators in other jurisdictions if applicable (e.g. MAS for Singapore affiliate data)</w:t>
      </w:r>
    </w:p>
    <w:p>
      <w:pPr>
        <w:pStyle w:val="ListParagraph"/>
        <w:numPr>
          <w:ilvl w:val="0"/>
          <w:numId w:val="1"/>
        </w:numPr>
        <w:spacing w:after="80"/>
        <w:jc w:val="both"/>
      </w:pPr>
      <w:r>
        <w:rPr>
          <w:sz w:val="22"/>
          <w:szCs w:val="22"/>
        </w:rPr>
        <w:t xml:space="preserve">Prepare FAQ for support team — route media to comms@acmedigital.in only</w:t>
      </w:r>
    </w:p>
    <w:p>
      <w:pPr>
        <w:pStyle w:val="ListParagraph"/>
        <w:numPr>
          <w:ilvl w:val="0"/>
          <w:numId w:val="1"/>
        </w:numPr>
        <w:spacing w:after="80"/>
        <w:jc w:val="both"/>
      </w:pPr>
      <w:r>
        <w:rPr>
          <w:sz w:val="22"/>
          <w:szCs w:val="22"/>
        </w:rPr>
        <w:t xml:space="preserve">Do not admit liability beyond facts in legal-approved statements</w:t>
      </w:r>
    </w:p>
    <w:p>
      <w:pPr>
        <w:pBdr>
          <w:bottom w:val="single" w:color="2E5090" w:sz="1" w:space="4"/>
        </w:pBdr>
        <w:spacing w:after="160" w:before="320"/>
      </w:pPr>
      <w:r>
        <w:rPr>
          <w:b/>
          <w:bCs/>
          <w:color w:val="1B2A4A"/>
          <w:sz w:val="26"/>
          <w:szCs w:val="26"/>
        </w:rPr>
        <w:t xml:space="preserve">Phase 4 — Recover and learn (48 hours onwards)</w:t>
      </w:r>
    </w:p>
    <w:p>
      <w:pPr>
        <w:pStyle w:val="ListParagraph"/>
        <w:numPr>
          <w:ilvl w:val="0"/>
          <w:numId w:val="1"/>
        </w:numPr>
        <w:spacing w:after="80"/>
        <w:jc w:val="both"/>
      </w:pPr>
      <w:r>
        <w:rPr>
          <w:sz w:val="22"/>
          <w:szCs w:val="22"/>
        </w:rPr>
        <w:t xml:space="preserve">Deploy remediation — patches, MFA enforcement, key rotation, access review</w:t>
      </w:r>
    </w:p>
    <w:p>
      <w:pPr>
        <w:pStyle w:val="ListParagraph"/>
        <w:numPr>
          <w:ilvl w:val="0"/>
          <w:numId w:val="1"/>
        </w:numPr>
        <w:spacing w:after="80"/>
        <w:jc w:val="both"/>
      </w:pPr>
      <w:r>
        <w:rPr>
          <w:sz w:val="22"/>
          <w:szCs w:val="22"/>
        </w:rPr>
        <w:t xml:space="preserve">Monitor for recurrence 90 days — enhanced SOC rules</w:t>
      </w:r>
    </w:p>
    <w:p>
      <w:pPr>
        <w:pStyle w:val="ListParagraph"/>
        <w:numPr>
          <w:ilvl w:val="0"/>
          <w:numId w:val="1"/>
        </w:numPr>
        <w:spacing w:after="80"/>
        <w:jc w:val="both"/>
      </w:pPr>
      <w:r>
        <w:rPr>
          <w:sz w:val="22"/>
          <w:szCs w:val="22"/>
        </w:rPr>
        <w:t xml:space="preserve">Post-incident review within 14 days: timeline, root cause, control gaps</w:t>
      </w:r>
    </w:p>
    <w:p>
      <w:pPr>
        <w:pStyle w:val="ListParagraph"/>
        <w:numPr>
          <w:ilvl w:val="0"/>
          <w:numId w:val="1"/>
        </w:numPr>
        <w:spacing w:after="80"/>
        <w:jc w:val="both"/>
      </w:pPr>
      <w:r>
        <w:rPr>
          <w:sz w:val="22"/>
          <w:szCs w:val="22"/>
        </w:rPr>
        <w:t xml:space="preserve">Update RoPA, risk register, DPIA if processing changed</w:t>
      </w:r>
    </w:p>
    <w:p>
      <w:pPr>
        <w:pStyle w:val="ListParagraph"/>
        <w:numPr>
          <w:ilvl w:val="0"/>
          <w:numId w:val="1"/>
        </w:numPr>
        <w:spacing w:after="80"/>
        <w:jc w:val="both"/>
      </w:pPr>
      <w:r>
        <w:rPr>
          <w:sz w:val="22"/>
          <w:szCs w:val="22"/>
        </w:rPr>
        <w:t xml:space="preserve">Board report within 30 days for material incidents</w:t>
      </w:r>
    </w:p>
    <w:p>
      <w:pPr>
        <w:pStyle w:val="ListParagraph"/>
        <w:numPr>
          <w:ilvl w:val="0"/>
          <w:numId w:val="1"/>
        </w:numPr>
        <w:spacing w:after="80"/>
        <w:jc w:val="both"/>
      </w:pPr>
      <w:r>
        <w:rPr>
          <w:sz w:val="22"/>
          <w:szCs w:val="22"/>
        </w:rPr>
        <w:t xml:space="preserve">Staff training update if human error contributed</w:t>
      </w:r>
    </w:p>
    <w:p>
      <w:pPr>
        <w:pStyle w:val="ListParagraph"/>
        <w:numPr>
          <w:ilvl w:val="0"/>
          <w:numId w:val="1"/>
        </w:numPr>
        <w:spacing w:after="80"/>
        <w:jc w:val="both"/>
      </w:pPr>
      <w:r>
        <w:rPr>
          <w:sz w:val="22"/>
          <w:szCs w:val="22"/>
        </w:rPr>
        <w:t xml:space="preserve">Insurance notification to cyber policy broker within policy timeframe</w:t>
      </w:r>
    </w:p>
    <w:p>
      <w:pPr>
        <w:pBdr>
          <w:bottom w:val="single" w:color="2E5090" w:sz="1" w:space="4"/>
        </w:pBdr>
        <w:spacing w:after="160" w:before="320"/>
      </w:pPr>
      <w:r>
        <w:rPr>
          <w:b/>
          <w:bCs/>
          <w:color w:val="1B2A4A"/>
          <w:sz w:val="26"/>
          <w:szCs w:val="26"/>
        </w:rPr>
        <w:t xml:space="preserve">Roles and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Primary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Backup</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Contact</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Incident Commander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Vikram Desai, CISO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IT Director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vikram.d@acmedigital.in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Protection Lead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CCO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 Counsel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grievance@acmedigital.in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Khaitan &amp; Co.</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dpdp-legal@khaitanco.com</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Communications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Anita Rao, VP Marketing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CEO office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comms@acmedigital.in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Forensics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CrowdStrike IR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Retainer #CS-8821</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CEO escalation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Sanjay Kapoor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sanjay.k@acmedigital.in</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Escalation to CEO immediately if</w:t>
      </w:r>
    </w:p>
    <w:p>
      <w:pPr>
        <w:pStyle w:val="ListParagraph"/>
        <w:numPr>
          <w:ilvl w:val="0"/>
          <w:numId w:val="1"/>
        </w:numPr>
        <w:spacing w:after="80"/>
        <w:jc w:val="both"/>
      </w:pPr>
      <w:r>
        <w:rPr>
          <w:sz w:val="22"/>
          <w:szCs w:val="22"/>
        </w:rPr>
        <w:t xml:space="preserve">More than 10,000 Data Principals affected</w:t>
      </w:r>
    </w:p>
    <w:p>
      <w:pPr>
        <w:pStyle w:val="ListParagraph"/>
        <w:numPr>
          <w:ilvl w:val="0"/>
          <w:numId w:val="1"/>
        </w:numPr>
        <w:spacing w:after="80"/>
        <w:jc w:val="both"/>
      </w:pPr>
      <w:r>
        <w:rPr>
          <w:sz w:val="22"/>
          <w:szCs w:val="22"/>
        </w:rPr>
        <w:t xml:space="preserve">Financial, health or children's data exposed</w:t>
      </w:r>
    </w:p>
    <w:p>
      <w:pPr>
        <w:pStyle w:val="ListParagraph"/>
        <w:numPr>
          <w:ilvl w:val="0"/>
          <w:numId w:val="1"/>
        </w:numPr>
        <w:spacing w:after="80"/>
        <w:jc w:val="both"/>
      </w:pPr>
      <w:r>
        <w:rPr>
          <w:sz w:val="22"/>
          <w:szCs w:val="22"/>
        </w:rPr>
        <w:t xml:space="preserve">Ransomware with data exfiltration</w:t>
      </w:r>
    </w:p>
    <w:p>
      <w:pPr>
        <w:pStyle w:val="ListParagraph"/>
        <w:numPr>
          <w:ilvl w:val="0"/>
          <w:numId w:val="1"/>
        </w:numPr>
        <w:spacing w:after="80"/>
        <w:jc w:val="both"/>
      </w:pPr>
      <w:r>
        <w:rPr>
          <w:sz w:val="22"/>
          <w:szCs w:val="22"/>
        </w:rPr>
        <w:t xml:space="preserve">Media inquiry or social media trending</w:t>
      </w:r>
    </w:p>
    <w:p>
      <w:pPr>
        <w:pStyle w:val="ListParagraph"/>
        <w:numPr>
          <w:ilvl w:val="0"/>
          <w:numId w:val="1"/>
        </w:numPr>
        <w:spacing w:after="80"/>
        <w:jc w:val="both"/>
      </w:pPr>
      <w:r>
        <w:rPr>
          <w:sz w:val="22"/>
          <w:szCs w:val="22"/>
        </w:rPr>
        <w:t xml:space="preserve">Board notification deadline at risk (&lt;12 hours remaining)</w:t>
      </w:r>
    </w:p>
    <w:p>
      <w:pPr>
        <w:pStyle w:val="ListParagraph"/>
        <w:numPr>
          <w:ilvl w:val="0"/>
          <w:numId w:val="1"/>
        </w:numPr>
        <w:spacing w:after="80"/>
        <w:jc w:val="both"/>
      </w:pPr>
      <w:r>
        <w:rPr>
          <w:sz w:val="22"/>
          <w:szCs w:val="22"/>
        </w:rPr>
        <w:t xml:space="preserve">Law enforcement involvement</w:t>
      </w:r>
    </w:p>
    <w:p>
      <w:pPr>
        <w:pBdr>
          <w:bottom w:val="single" w:color="2E5090" w:sz="1" w:space="4"/>
        </w:pBdr>
        <w:spacing w:after="160" w:before="320"/>
      </w:pPr>
      <w:r>
        <w:rPr>
          <w:b/>
          <w:bCs/>
          <w:color w:val="1B2A4A"/>
          <w:sz w:val="26"/>
          <w:szCs w:val="26"/>
        </w:rPr>
        <w:t xml:space="preserve">Post-incident review template</w:t>
      </w:r>
    </w:p>
    <w:p>
      <w:pPr>
        <w:spacing w:after="160" w:line="276"/>
        <w:jc w:val="both"/>
      </w:pPr>
      <w:r>
        <w:rPr>
          <w:sz w:val="22"/>
          <w:szCs w:val="22"/>
        </w:rPr>
        <w:t xml:space="preserve">Incident ID: __________  Review date: __________  Chair: __________</w:t>
      </w:r>
    </w:p>
    <w:p>
      <w:pPr>
        <w:spacing w:after="160" w:line="276"/>
        <w:jc w:val="both"/>
      </w:pPr>
      <w:r>
        <w:rPr>
          <w:sz w:val="22"/>
          <w:szCs w:val="22"/>
        </w:rPr>
        <w:t xml:space="preserve">Timeline summary: ________________________________________________________________________</w:t>
      </w:r>
    </w:p>
    <w:p>
      <w:pPr>
        <w:spacing w:after="160" w:line="276"/>
        <w:jc w:val="both"/>
      </w:pPr>
      <w:r>
        <w:rPr>
          <w:sz w:val="22"/>
          <w:szCs w:val="22"/>
        </w:rPr>
        <w:t xml:space="preserve">Root cause: ______________________________________________________________________________</w:t>
      </w:r>
    </w:p>
    <w:p>
      <w:pPr>
        <w:spacing w:after="160" w:line="276"/>
        <w:jc w:val="both"/>
      </w:pPr>
      <w:r>
        <w:rPr>
          <w:sz w:val="22"/>
          <w:szCs w:val="22"/>
        </w:rPr>
        <w:t xml:space="preserve">Action items (owner / due date): ___________________________________________________________</w:t>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2026-07-05T20:39:55.427Z</dcterms:created>
  <dcterms:modified xsi:type="dcterms:W3CDTF">2026-07-05T20:39:55.427Z</dcterms:modified>
</cp:coreProperties>
</file>

<file path=docProps/custom.xml><?xml version="1.0" encoding="utf-8"?>
<Properties xmlns="http://schemas.openxmlformats.org/officeDocument/2006/custom-properties" xmlns:vt="http://schemas.openxmlformats.org/officeDocument/2006/docPropsVTypes"/>
</file>