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Cross-Border Personal Data Transfer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ACME-AGR-002</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Cross-Border Personal Data Transfer Agreement</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Confidential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60" w:line="276"/>
        <w:jc w:val="both"/>
      </w:pPr>
      <w:r>
        <w:rPr>
          <w:sz w:val="22"/>
          <w:szCs w:val="22"/>
        </w:rPr>
        <w:t xml:space="preserve">THIS CROSS-BORDER PERSONAL DATA TRANSFER AGREEMENT is made on 01 April 2026 between Acme Digital Solutions Private Limited ("Exporter" / "Data Fiduciary") and Acme Digital Pte. Ltd., UEN 202012345K, having its registered office at 71 Robinson Road, Singapore 068895 ("Importer").</w:t>
      </w:r>
    </w:p>
    <w:p>
      <w:pPr>
        <w:pBdr>
          <w:bottom w:val="single" w:color="2E5090" w:sz="1" w:space="4"/>
        </w:pBdr>
        <w:spacing w:after="160" w:before="320"/>
      </w:pPr>
      <w:r>
        <w:rPr>
          <w:b/>
          <w:bCs/>
          <w:color w:val="1B2A4A"/>
          <w:sz w:val="26"/>
          <w:szCs w:val="26"/>
        </w:rPr>
        <w:t xml:space="preserve">Recitals</w:t>
      </w:r>
    </w:p>
    <w:p>
      <w:pPr>
        <w:spacing w:after="140" w:line="276"/>
        <w:jc w:val="both"/>
      </w:pPr>
      <w:r>
        <w:rPr>
          <w:b/>
          <w:bCs/>
          <w:sz w:val="22"/>
          <w:szCs w:val="22"/>
        </w:rPr>
        <w:t xml:space="preserve">A.  </w:t>
      </w:r>
      <w:r>
        <w:rPr>
          <w:sz w:val="22"/>
          <w:szCs w:val="22"/>
        </w:rPr>
        <w:t xml:space="preserve">The Exporter and Importer are affiliated entities within the Acme Digital group.</w:t>
      </w:r>
    </w:p>
    <w:p>
      <w:pPr>
        <w:spacing w:after="140" w:line="276"/>
        <w:jc w:val="both"/>
      </w:pPr>
      <w:r>
        <w:rPr>
          <w:b/>
          <w:bCs/>
          <w:sz w:val="22"/>
          <w:szCs w:val="22"/>
        </w:rPr>
        <w:t xml:space="preserve">B.  </w:t>
      </w:r>
      <w:r>
        <w:rPr>
          <w:sz w:val="22"/>
          <w:szCs w:val="22"/>
        </w:rPr>
        <w:t xml:space="preserve">The Exporter proposes to transfer personal data of Data Principals in India to the Importer for group financial reporting, shared human resources administration and regional management oversight.</w:t>
      </w:r>
    </w:p>
    <w:p>
      <w:pPr>
        <w:spacing w:after="140" w:line="276"/>
        <w:jc w:val="both"/>
      </w:pPr>
      <w:r>
        <w:rPr>
          <w:b/>
          <w:bCs/>
          <w:sz w:val="22"/>
          <w:szCs w:val="22"/>
        </w:rPr>
        <w:t xml:space="preserve">C.  </w:t>
      </w:r>
      <w:r>
        <w:rPr>
          <w:sz w:val="22"/>
          <w:szCs w:val="22"/>
        </w:rPr>
        <w:t xml:space="preserve">The parties intend to ensure such transfers comply with Section 16 of the Digital Personal Data Protection Act, 2023 and maintain safeguards equivalent to the Digital Personal Data Protection Rules, 2025.</w:t>
      </w:r>
    </w:p>
    <w:p>
      <w:pPr>
        <w:spacing w:after="160" w:line="276"/>
        <w:jc w:val="both"/>
      </w:pPr>
      <w:r>
        <w:rPr>
          <w:sz w:val="22"/>
          <w:szCs w:val="22"/>
        </w:rPr>
        <w:t xml:space="preserve">NOW, THEREFORE, the parties agree as follows:</w:t>
      </w:r>
    </w:p>
    <w:p>
      <w:pPr>
        <w:pBdr>
          <w:bottom w:val="single" w:color="2E5090" w:sz="1" w:space="4"/>
        </w:pBdr>
        <w:spacing w:after="160" w:before="320"/>
      </w:pPr>
      <w:r>
        <w:rPr>
          <w:b/>
          <w:bCs/>
          <w:color w:val="1B2A4A"/>
          <w:sz w:val="26"/>
          <w:szCs w:val="26"/>
        </w:rPr>
        <w:t xml:space="preserve">1. Background and scope</w:t>
      </w:r>
    </w:p>
    <w:p>
      <w:pPr>
        <w:spacing w:after="160" w:line="276"/>
        <w:jc w:val="both"/>
      </w:pPr>
      <w:r>
        <w:rPr>
          <w:sz w:val="22"/>
          <w:szCs w:val="22"/>
        </w:rPr>
        <w:t xml:space="preserve">Exporter and Importer are affiliates. Exporter transfers employee and consolidated customer metadata to Importer for group financial reporting, shared HR systems and regional management oversight.</w:t>
      </w:r>
    </w:p>
    <w:p>
      <w:pPr>
        <w:pBdr>
          <w:bottom w:val="single" w:color="2E5090" w:sz="1" w:space="4"/>
        </w:pBdr>
        <w:spacing w:after="160" w:before="320"/>
      </w:pPr>
      <w:r>
        <w:rPr>
          <w:b/>
          <w:bCs/>
          <w:color w:val="1B2A4A"/>
          <w:sz w:val="26"/>
          <w:szCs w:val="26"/>
        </w:rPr>
        <w:t xml:space="preserve">2. Section 16 compliance</w:t>
      </w:r>
    </w:p>
    <w:p>
      <w:pPr>
        <w:spacing w:after="140" w:line="276"/>
        <w:jc w:val="both"/>
      </w:pPr>
      <w:r>
        <w:rPr>
          <w:b/>
          <w:bCs/>
          <w:sz w:val="22"/>
          <w:szCs w:val="22"/>
        </w:rPr>
        <w:t xml:space="preserve">2.1  </w:t>
      </w:r>
      <w:r>
        <w:rPr>
          <w:sz w:val="22"/>
          <w:szCs w:val="22"/>
        </w:rPr>
        <w:t xml:space="preserve">Exporter confirms Singapore is not on any Central Government notification restricting transfers under Section 16(1) as at the Effective Date.</w:t>
      </w:r>
    </w:p>
    <w:p>
      <w:pPr>
        <w:spacing w:after="140" w:line="276"/>
        <w:jc w:val="both"/>
      </w:pPr>
      <w:r>
        <w:rPr>
          <w:b/>
          <w:bCs/>
          <w:sz w:val="22"/>
          <w:szCs w:val="22"/>
        </w:rPr>
        <w:t xml:space="preserve">2.2  </w:t>
      </w:r>
      <w:r>
        <w:rPr>
          <w:sz w:val="22"/>
          <w:szCs w:val="22"/>
        </w:rPr>
        <w:t xml:space="preserve">Parties shall monitor regulatory updates and suspend transfers if Singapore becomes restricted.</w:t>
      </w:r>
    </w:p>
    <w:p>
      <w:pPr>
        <w:pBdr>
          <w:bottom w:val="single" w:color="2E5090" w:sz="1" w:space="4"/>
        </w:pBdr>
        <w:spacing w:after="160" w:before="320"/>
      </w:pPr>
      <w:r>
        <w:rPr>
          <w:b/>
          <w:bCs/>
          <w:color w:val="1B2A4A"/>
          <w:sz w:val="26"/>
          <w:szCs w:val="26"/>
        </w:rPr>
        <w:t xml:space="preserve">3. Data transferred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Category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Principals</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Mechanism</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Frequency</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Employee HR records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 India employees (~180)</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Encrypted SFTP</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Monthly</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Anonymised revenue metrics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Customers (aggregated)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Secure API</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Daily</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Support escalation metadata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Customers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CRM replication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Real-time</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4. Importer obligations</w:t>
      </w:r>
    </w:p>
    <w:p>
      <w:pPr>
        <w:spacing w:after="140" w:line="276"/>
        <w:jc w:val="both"/>
      </w:pPr>
      <w:r>
        <w:rPr>
          <w:b/>
          <w:bCs/>
          <w:sz w:val="22"/>
          <w:szCs w:val="22"/>
        </w:rPr>
        <w:t xml:space="preserve">4.1  </w:t>
      </w:r>
      <w:r>
        <w:rPr>
          <w:sz w:val="22"/>
          <w:szCs w:val="22"/>
        </w:rPr>
        <w:t xml:space="preserve">Process only for purposes in Clause 3 and on Exporter's instructions.</w:t>
      </w:r>
    </w:p>
    <w:p>
      <w:pPr>
        <w:spacing w:after="140" w:line="276"/>
        <w:jc w:val="both"/>
      </w:pPr>
      <w:r>
        <w:rPr>
          <w:b/>
          <w:bCs/>
          <w:sz w:val="22"/>
          <w:szCs w:val="22"/>
        </w:rPr>
        <w:t xml:space="preserve">4.2  </w:t>
      </w:r>
      <w:r>
        <w:rPr>
          <w:sz w:val="22"/>
          <w:szCs w:val="22"/>
        </w:rPr>
        <w:t xml:space="preserve">Apply safeguards equivalent to the DPDP Rules, including encryption, access control and breach notification.</w:t>
      </w:r>
    </w:p>
    <w:p>
      <w:pPr>
        <w:spacing w:after="140" w:line="276"/>
        <w:jc w:val="both"/>
      </w:pPr>
      <w:r>
        <w:rPr>
          <w:b/>
          <w:bCs/>
          <w:sz w:val="22"/>
          <w:szCs w:val="22"/>
        </w:rPr>
        <w:t xml:space="preserve">4.3  </w:t>
      </w:r>
      <w:r>
        <w:rPr>
          <w:sz w:val="22"/>
          <w:szCs w:val="22"/>
        </w:rPr>
        <w:t xml:space="preserve">Not disclose to third parties without Exporter's written consent except as required by Singapore law (with prior notice).</w:t>
      </w:r>
    </w:p>
    <w:p>
      <w:pPr>
        <w:spacing w:after="140" w:line="276"/>
        <w:jc w:val="both"/>
      </w:pPr>
      <w:r>
        <w:rPr>
          <w:b/>
          <w:bCs/>
          <w:sz w:val="22"/>
          <w:szCs w:val="22"/>
        </w:rPr>
        <w:t xml:space="preserve">4.4  </w:t>
      </w:r>
      <w:r>
        <w:rPr>
          <w:sz w:val="22"/>
          <w:szCs w:val="22"/>
        </w:rPr>
        <w:t xml:space="preserve">Notify Exporter within twenty-four (24) hours of any Personal Data Breach.</w:t>
      </w:r>
    </w:p>
    <w:p>
      <w:pPr>
        <w:spacing w:after="140" w:line="276"/>
        <w:jc w:val="both"/>
      </w:pPr>
      <w:r>
        <w:rPr>
          <w:b/>
          <w:bCs/>
          <w:sz w:val="22"/>
          <w:szCs w:val="22"/>
        </w:rPr>
        <w:t xml:space="preserve">4.5  </w:t>
      </w:r>
      <w:r>
        <w:rPr>
          <w:sz w:val="22"/>
          <w:szCs w:val="22"/>
        </w:rPr>
        <w:t xml:space="preserve">Assist with Data Principal rights requests within fifteen (15) business days.</w:t>
      </w:r>
    </w:p>
    <w:p>
      <w:pPr>
        <w:spacing w:after="140" w:line="276"/>
        <w:jc w:val="both"/>
      </w:pPr>
      <w:r>
        <w:rPr>
          <w:b/>
          <w:bCs/>
          <w:sz w:val="22"/>
          <w:szCs w:val="22"/>
        </w:rPr>
        <w:t xml:space="preserve">4.6  </w:t>
      </w:r>
      <w:r>
        <w:rPr>
          <w:sz w:val="22"/>
          <w:szCs w:val="22"/>
        </w:rPr>
        <w:t xml:space="preserve">Permit Exporter or its auditor to inspect compliance annually.</w:t>
      </w:r>
    </w:p>
    <w:p>
      <w:pPr>
        <w:pBdr>
          <w:bottom w:val="single" w:color="2E5090" w:sz="1" w:space="4"/>
        </w:pBdr>
        <w:spacing w:after="160" w:before="320"/>
      </w:pPr>
      <w:r>
        <w:rPr>
          <w:b/>
          <w:bCs/>
          <w:color w:val="1B2A4A"/>
          <w:sz w:val="26"/>
          <w:szCs w:val="26"/>
        </w:rPr>
        <w:t xml:space="preserve">5. Technical measures</w:t>
      </w:r>
    </w:p>
    <w:p>
      <w:pPr>
        <w:pStyle w:val="ListParagraph"/>
        <w:numPr>
          <w:ilvl w:val="0"/>
          <w:numId w:val="1"/>
        </w:numPr>
        <w:spacing w:after="80"/>
        <w:jc w:val="both"/>
      </w:pPr>
      <w:r>
        <w:rPr>
          <w:sz w:val="22"/>
          <w:szCs w:val="22"/>
        </w:rPr>
        <w:t xml:space="preserve">TLS 1.3 for data in transit; AES-256 at rest</w:t>
      </w:r>
    </w:p>
    <w:p>
      <w:pPr>
        <w:pStyle w:val="ListParagraph"/>
        <w:numPr>
          <w:ilvl w:val="0"/>
          <w:numId w:val="1"/>
        </w:numPr>
        <w:spacing w:after="80"/>
        <w:jc w:val="both"/>
      </w:pPr>
      <w:r>
        <w:rPr>
          <w:sz w:val="22"/>
          <w:szCs w:val="22"/>
        </w:rPr>
        <w:t xml:space="preserve">Singapore data centre with ISO 27001 certification</w:t>
      </w:r>
    </w:p>
    <w:p>
      <w:pPr>
        <w:pStyle w:val="ListParagraph"/>
        <w:numPr>
          <w:ilvl w:val="0"/>
          <w:numId w:val="1"/>
        </w:numPr>
        <w:spacing w:after="80"/>
        <w:jc w:val="both"/>
      </w:pPr>
      <w:r>
        <w:rPr>
          <w:sz w:val="22"/>
          <w:szCs w:val="22"/>
        </w:rPr>
        <w:t xml:space="preserve">Named personnel access list reviewed quarterly</w:t>
      </w:r>
    </w:p>
    <w:p>
      <w:pPr>
        <w:pStyle w:val="ListParagraph"/>
        <w:numPr>
          <w:ilvl w:val="0"/>
          <w:numId w:val="1"/>
        </w:numPr>
        <w:spacing w:after="80"/>
        <w:jc w:val="both"/>
      </w:pPr>
      <w:r>
        <w:rPr>
          <w:sz w:val="22"/>
          <w:szCs w:val="22"/>
        </w:rPr>
        <w:t xml:space="preserve">Logs retained 12 months</w:t>
      </w:r>
    </w:p>
    <w:p>
      <w:pPr>
        <w:pBdr>
          <w:bottom w:val="single" w:color="2E5090" w:sz="1" w:space="4"/>
        </w:pBdr>
        <w:spacing w:after="160" w:before="320"/>
      </w:pPr>
      <w:r>
        <w:rPr>
          <w:b/>
          <w:bCs/>
          <w:color w:val="1B2A4A"/>
          <w:sz w:val="26"/>
          <w:szCs w:val="26"/>
        </w:rPr>
        <w:t xml:space="preserve">6. Termination</w:t>
      </w:r>
    </w:p>
    <w:p>
      <w:pPr>
        <w:spacing w:after="140" w:line="276"/>
        <w:jc w:val="both"/>
      </w:pPr>
      <w:r>
        <w:rPr>
          <w:b/>
          <w:bCs/>
          <w:sz w:val="22"/>
          <w:szCs w:val="22"/>
        </w:rPr>
        <w:t xml:space="preserve">6.1  </w:t>
      </w:r>
      <w:r>
        <w:rPr>
          <w:sz w:val="22"/>
          <w:szCs w:val="22"/>
        </w:rPr>
        <w:t xml:space="preserve">On termination, Importer deletes or returns all Personal Data within thirty (30) days and provides written certification.</w:t>
      </w:r>
    </w:p>
    <w:p>
      <w:pPr>
        <w:pBdr>
          <w:bottom w:val="single" w:color="2E5090" w:sz="1" w:space="4"/>
        </w:pBdr>
        <w:spacing w:after="160" w:before="320"/>
      </w:pPr>
      <w:r>
        <w:rPr>
          <w:b/>
          <w:bCs/>
          <w:color w:val="1B2A4A"/>
          <w:sz w:val="26"/>
          <w:szCs w:val="26"/>
        </w:rPr>
        <w:t xml:space="preserve">7. Governing law</w:t>
      </w:r>
    </w:p>
    <w:p>
      <w:pPr>
        <w:spacing w:after="160" w:line="276"/>
        <w:jc w:val="both"/>
      </w:pPr>
      <w:r>
        <w:rPr>
          <w:sz w:val="22"/>
          <w:szCs w:val="22"/>
        </w:rPr>
        <w:t xml:space="preserve">Laws of India. Courts at Mumbai have jurisdiction.</w:t>
      </w:r>
    </w:p>
    <w:p>
      <w:pPr>
        <w:spacing w:after="160" w:line="276"/>
        <w:jc w:val="both"/>
      </w:pPr>
      <w:r>
        <w:rPr>
          <w:sz w:val="22"/>
          <w:szCs w:val="22"/>
        </w:rPr>
        <w:t xml:space="preserve">Exporter: _________________________  Importer: _________________________</w:t>
      </w:r>
    </w:p>
    <w:p>
      <w:pPr>
        <w:pBdr>
          <w:bottom w:val="single" w:color="CCCCCC" w:sz="1"/>
        </w:pBdr>
        <w:spacing w:after="200" w:before="200"/>
      </w:pPr>
    </w:p>
    <w:p>
      <w:pPr>
        <w:pBdr>
          <w:bottom w:val="single" w:color="2E5090" w:sz="1" w:space="4"/>
        </w:pBdr>
        <w:spacing w:after="160" w:before="320"/>
      </w:pPr>
      <w:r>
        <w:rPr>
          <w:b/>
          <w:bCs/>
          <w:color w:val="1B2A4A"/>
          <w:sz w:val="26"/>
          <w:szCs w:val="26"/>
        </w:rPr>
        <w:t xml:space="preserve">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Party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Authorised signatory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Designation</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Signature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Fiduciary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Director / Authorised Representative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Processor / Counterparty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Director / Authorised Representative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2026-07-05T20:39:55.268Z</dcterms:created>
  <dcterms:modified xsi:type="dcterms:W3CDTF">2026-07-05T20:39:55.268Z</dcterms:modified>
</cp:coreProperties>
</file>

<file path=docProps/custom.xml><?xml version="1.0" encoding="utf-8"?>
<Properties xmlns="http://schemas.openxmlformats.org/officeDocument/2006/custom-properties" xmlns:vt="http://schemas.openxmlformats.org/officeDocument/2006/docPropsVTypes"/>
</file>