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Data Processing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ACME-AGR-001</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Processing Agreement</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Confidential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DATA PROCESSING AGREEMENT ("Agreement") is executed on 01 April 2026 and forms an integral part of the Master Cloud Services Agreement dated 15 January 2024 between Acme Digital Solutions Private Limited, a company incorporated under the Companies Act, 2013, having its registered office at Unit 402, Peninsula Business Park, Senapati Bapat Marg, Lower Parel, Mumbai 400013, Maharashtra, India ("Data Fiduciary") and CloudHost Technologies India Private Limited, having its registered office at Embassy Tech Village, Bengaluru 560103 ("Data Processor").</w:t>
      </w:r>
    </w:p>
    <w:p>
      <w:pPr>
        <w:pBdr>
          <w:bottom w:val="single" w:color="2E5090" w:sz="1" w:space="4"/>
        </w:pBdr>
        <w:spacing w:after="160" w:before="320"/>
      </w:pPr>
      <w:r>
        <w:rPr>
          <w:b/>
          <w:bCs/>
          <w:color w:val="1B2A4A"/>
          <w:sz w:val="26"/>
          <w:szCs w:val="26"/>
        </w:rPr>
        <w:t xml:space="preserve">Recitals</w:t>
      </w:r>
    </w:p>
    <w:p>
      <w:pPr>
        <w:spacing w:after="140" w:line="276"/>
        <w:jc w:val="both"/>
      </w:pPr>
      <w:r>
        <w:rPr>
          <w:b/>
          <w:bCs/>
          <w:sz w:val="22"/>
          <w:szCs w:val="22"/>
        </w:rPr>
        <w:t xml:space="preserve">A.  </w:t>
      </w:r>
      <w:r>
        <w:rPr>
          <w:sz w:val="22"/>
          <w:szCs w:val="22"/>
        </w:rPr>
        <w:t xml:space="preserve">The Data Fiduciary acts as a Data Fiduciary under the Digital Personal Data Protection Act, 2023 and engages the Data Processor to provide managed cloud hosting services for the Acme Platform.</w:t>
      </w:r>
    </w:p>
    <w:p>
      <w:pPr>
        <w:spacing w:after="140" w:line="276"/>
        <w:jc w:val="both"/>
      </w:pPr>
      <w:r>
        <w:rPr>
          <w:b/>
          <w:bCs/>
          <w:sz w:val="22"/>
          <w:szCs w:val="22"/>
        </w:rPr>
        <w:t xml:space="preserve">B.  </w:t>
      </w:r>
      <w:r>
        <w:rPr>
          <w:sz w:val="22"/>
          <w:szCs w:val="22"/>
        </w:rPr>
        <w:t xml:space="preserve">The parties wish to set out their respective rights and obligations regarding the processing of Personal Data in compliance with the Act and the Digital Personal Data Protection Rules, 2025.</w:t>
      </w:r>
    </w:p>
    <w:p>
      <w:pPr>
        <w:spacing w:after="140" w:line="276"/>
        <w:jc w:val="both"/>
      </w:pPr>
      <w:r>
        <w:rPr>
          <w:b/>
          <w:bCs/>
          <w:sz w:val="22"/>
          <w:szCs w:val="22"/>
        </w:rPr>
        <w:t xml:space="preserve">C.  </w:t>
      </w:r>
      <w:r>
        <w:rPr>
          <w:sz w:val="22"/>
          <w:szCs w:val="22"/>
        </w:rPr>
        <w:t xml:space="preserve">In the event of any inconsistency between this Agreement and the Master Cloud Services Agreement on matters of data protection, this Agreement shall prevail.</w:t>
      </w:r>
    </w:p>
    <w:p>
      <w:pPr>
        <w:spacing w:after="160" w:line="276"/>
        <w:jc w:val="both"/>
      </w:pPr>
      <w:r>
        <w:rPr>
          <w:sz w:val="22"/>
          <w:szCs w:val="22"/>
        </w:rPr>
        <w:t xml:space="preserve">NOW, THEREFORE, the parties agree as follows:</w:t>
      </w:r>
    </w:p>
    <w:p>
      <w:pPr>
        <w:pBdr>
          <w:bottom w:val="single" w:color="2E5090" w:sz="1" w:space="4"/>
        </w:pBdr>
        <w:spacing w:after="160" w:before="320"/>
      </w:pPr>
      <w:r>
        <w:rPr>
          <w:b/>
          <w:bCs/>
          <w:color w:val="1B2A4A"/>
          <w:sz w:val="26"/>
          <w:szCs w:val="26"/>
        </w:rPr>
        <w:t xml:space="preserve">1. Definitions and interpretation</w:t>
      </w:r>
    </w:p>
    <w:p>
      <w:pPr>
        <w:spacing w:after="140" w:line="276"/>
        <w:jc w:val="both"/>
      </w:pPr>
      <w:r>
        <w:rPr>
          <w:b/>
          <w:bCs/>
          <w:sz w:val="22"/>
          <w:szCs w:val="22"/>
        </w:rPr>
        <w:t xml:space="preserve">1.1  </w:t>
      </w:r>
      <w:r>
        <w:rPr>
          <w:sz w:val="22"/>
          <w:szCs w:val="22"/>
        </w:rPr>
        <w:t xml:space="preserve">"Act" means the Digital Personal Data Protection Act, 2023.</w:t>
      </w:r>
    </w:p>
    <w:p>
      <w:pPr>
        <w:spacing w:after="140" w:line="276"/>
        <w:jc w:val="both"/>
      </w:pPr>
      <w:r>
        <w:rPr>
          <w:b/>
          <w:bCs/>
          <w:sz w:val="22"/>
          <w:szCs w:val="22"/>
        </w:rPr>
        <w:t xml:space="preserve">1.2  </w:t>
      </w:r>
      <w:r>
        <w:rPr>
          <w:sz w:val="22"/>
          <w:szCs w:val="22"/>
        </w:rPr>
        <w:t xml:space="preserve">"Rules" means the Digital Personal Data Protection Rules, 2025.</w:t>
      </w:r>
    </w:p>
    <w:p>
      <w:pPr>
        <w:spacing w:after="140" w:line="276"/>
        <w:jc w:val="both"/>
      </w:pPr>
      <w:r>
        <w:rPr>
          <w:b/>
          <w:bCs/>
          <w:sz w:val="22"/>
          <w:szCs w:val="22"/>
        </w:rPr>
        <w:t xml:space="preserve">1.3  </w:t>
      </w:r>
      <w:r>
        <w:rPr>
          <w:sz w:val="22"/>
          <w:szCs w:val="22"/>
        </w:rPr>
        <w:t xml:space="preserve">"Personal Data" has the meaning in Section 2(t) of the Act.</w:t>
      </w:r>
    </w:p>
    <w:p>
      <w:pPr>
        <w:spacing w:after="140" w:line="276"/>
        <w:jc w:val="both"/>
      </w:pPr>
      <w:r>
        <w:rPr>
          <w:b/>
          <w:bCs/>
          <w:sz w:val="22"/>
          <w:szCs w:val="22"/>
        </w:rPr>
        <w:t xml:space="preserve">1.4  </w:t>
      </w:r>
      <w:r>
        <w:rPr>
          <w:sz w:val="22"/>
          <w:szCs w:val="22"/>
        </w:rPr>
        <w:t xml:space="preserve">"Processing", "Data Principal", "Data Fiduciary" and "Data Processor" have the meanings in the Act.</w:t>
      </w:r>
    </w:p>
    <w:p>
      <w:pPr>
        <w:spacing w:after="140" w:line="276"/>
        <w:jc w:val="both"/>
      </w:pPr>
      <w:r>
        <w:rPr>
          <w:b/>
          <w:bCs/>
          <w:sz w:val="22"/>
          <w:szCs w:val="22"/>
        </w:rPr>
        <w:t xml:space="preserve">1.5  </w:t>
      </w:r>
      <w:r>
        <w:rPr>
          <w:sz w:val="22"/>
          <w:szCs w:val="22"/>
        </w:rPr>
        <w:t xml:space="preserve">"Sub-processor" means any processor engaged by the Data Processor.</w:t>
      </w:r>
    </w:p>
    <w:p>
      <w:pPr>
        <w:spacing w:after="140" w:line="276"/>
        <w:jc w:val="both"/>
      </w:pPr>
      <w:r>
        <w:rPr>
          <w:b/>
          <w:bCs/>
          <w:sz w:val="22"/>
          <w:szCs w:val="22"/>
        </w:rPr>
        <w:t xml:space="preserve">1.6  </w:t>
      </w:r>
      <w:r>
        <w:rPr>
          <w:sz w:val="22"/>
          <w:szCs w:val="22"/>
        </w:rPr>
        <w:t xml:space="preserve">"Personal Data Breach" means unauthorised processing or disclosure of personal data.</w:t>
      </w:r>
    </w:p>
    <w:p>
      <w:pPr>
        <w:pBdr>
          <w:bottom w:val="single" w:color="2E5090" w:sz="1" w:space="4"/>
        </w:pBdr>
        <w:spacing w:after="160" w:before="320"/>
      </w:pPr>
      <w:r>
        <w:rPr>
          <w:b/>
          <w:bCs/>
          <w:color w:val="1B2A4A"/>
          <w:sz w:val="26"/>
          <w:szCs w:val="26"/>
        </w:rPr>
        <w:t xml:space="preserve">2. Scope and duration</w:t>
      </w:r>
    </w:p>
    <w:p>
      <w:pPr>
        <w:spacing w:after="140" w:line="276"/>
        <w:jc w:val="both"/>
      </w:pPr>
      <w:r>
        <w:rPr>
          <w:b/>
          <w:bCs/>
          <w:sz w:val="22"/>
          <w:szCs w:val="22"/>
        </w:rPr>
        <w:t xml:space="preserve">2.1  </w:t>
      </w:r>
      <w:r>
        <w:rPr>
          <w:sz w:val="22"/>
          <w:szCs w:val="22"/>
        </w:rPr>
        <w:t xml:space="preserve">Processor shall process Personal Data solely to provide managed cloud hosting services for the Acme Platform as described in Annex A.</w:t>
      </w:r>
    </w:p>
    <w:p>
      <w:pPr>
        <w:spacing w:after="140" w:line="276"/>
        <w:jc w:val="both"/>
      </w:pPr>
      <w:r>
        <w:rPr>
          <w:b/>
          <w:bCs/>
          <w:sz w:val="22"/>
          <w:szCs w:val="22"/>
        </w:rPr>
        <w:t xml:space="preserve">2.2  </w:t>
      </w:r>
      <w:r>
        <w:rPr>
          <w:sz w:val="22"/>
          <w:szCs w:val="22"/>
        </w:rPr>
        <w:t xml:space="preserve">Processing continues for the term of the Master Agreement and any wind-down period not exceeding ninety (90) days.</w:t>
      </w:r>
    </w:p>
    <w:p>
      <w:pPr>
        <w:pBdr>
          <w:bottom w:val="single" w:color="2E5090" w:sz="1" w:space="4"/>
        </w:pBdr>
        <w:spacing w:after="160" w:before="320"/>
      </w:pPr>
      <w:r>
        <w:rPr>
          <w:b/>
          <w:bCs/>
          <w:color w:val="1B2A4A"/>
          <w:sz w:val="26"/>
          <w:szCs w:val="26"/>
        </w:rPr>
        <w:t xml:space="preserve">3. Processor obligations</w:t>
      </w:r>
    </w:p>
    <w:p>
      <w:pPr>
        <w:spacing w:after="140" w:line="276"/>
        <w:jc w:val="both"/>
      </w:pPr>
      <w:r>
        <w:rPr>
          <w:b/>
          <w:bCs/>
          <w:sz w:val="22"/>
          <w:szCs w:val="22"/>
        </w:rPr>
        <w:t xml:space="preserve">3.1  </w:t>
      </w:r>
      <w:r>
        <w:rPr>
          <w:sz w:val="22"/>
          <w:szCs w:val="22"/>
        </w:rPr>
        <w:t xml:space="preserve">Process Personal Data only on documented instructions from Fiduciary, including with regard to cross-border transfers.</w:t>
      </w:r>
    </w:p>
    <w:p>
      <w:pPr>
        <w:spacing w:after="140" w:line="276"/>
        <w:jc w:val="both"/>
      </w:pPr>
      <w:r>
        <w:rPr>
          <w:b/>
          <w:bCs/>
          <w:sz w:val="22"/>
          <w:szCs w:val="22"/>
        </w:rPr>
        <w:t xml:space="preserve">3.2  </w:t>
      </w:r>
      <w:r>
        <w:rPr>
          <w:sz w:val="22"/>
          <w:szCs w:val="22"/>
        </w:rPr>
        <w:t xml:space="preserve">Ensure persons authorised to process are bound by written confidentiality obligations.</w:t>
      </w:r>
    </w:p>
    <w:p>
      <w:pPr>
        <w:spacing w:after="140" w:line="276"/>
        <w:jc w:val="both"/>
      </w:pPr>
      <w:r>
        <w:rPr>
          <w:b/>
          <w:bCs/>
          <w:sz w:val="22"/>
          <w:szCs w:val="22"/>
        </w:rPr>
        <w:t xml:space="preserve">3.3  </w:t>
      </w:r>
      <w:r>
        <w:rPr>
          <w:sz w:val="22"/>
          <w:szCs w:val="22"/>
        </w:rPr>
        <w:t xml:space="preserve">Implement technical and organisational measures in Annex B, consistent with Rule 6.</w:t>
      </w:r>
    </w:p>
    <w:p>
      <w:pPr>
        <w:spacing w:after="140" w:line="276"/>
        <w:jc w:val="both"/>
      </w:pPr>
      <w:r>
        <w:rPr>
          <w:b/>
          <w:bCs/>
          <w:sz w:val="22"/>
          <w:szCs w:val="22"/>
        </w:rPr>
        <w:t xml:space="preserve">3.4  </w:t>
      </w:r>
      <w:r>
        <w:rPr>
          <w:sz w:val="22"/>
          <w:szCs w:val="22"/>
        </w:rPr>
        <w:t xml:space="preserve">Not engage Sub-processors without Fiduciary's prior written authorisation per Annex C.</w:t>
      </w:r>
    </w:p>
    <w:p>
      <w:pPr>
        <w:spacing w:after="140" w:line="276"/>
        <w:jc w:val="both"/>
      </w:pPr>
      <w:r>
        <w:rPr>
          <w:b/>
          <w:bCs/>
          <w:sz w:val="22"/>
          <w:szCs w:val="22"/>
        </w:rPr>
        <w:t xml:space="preserve">3.5  </w:t>
      </w:r>
      <w:r>
        <w:rPr>
          <w:sz w:val="22"/>
          <w:szCs w:val="22"/>
        </w:rPr>
        <w:t xml:space="preserve">Assist Fiduciary in responding to Data Principal rights requests within fifteen (15) business days.</w:t>
      </w:r>
    </w:p>
    <w:p>
      <w:pPr>
        <w:spacing w:after="140" w:line="276"/>
        <w:jc w:val="both"/>
      </w:pPr>
      <w:r>
        <w:rPr>
          <w:b/>
          <w:bCs/>
          <w:sz w:val="22"/>
          <w:szCs w:val="22"/>
        </w:rPr>
        <w:t xml:space="preserve">3.6  </w:t>
      </w:r>
      <w:r>
        <w:rPr>
          <w:sz w:val="22"/>
          <w:szCs w:val="22"/>
        </w:rPr>
        <w:t xml:space="preserve">Delete or return all Personal Data within thirty (30) days of termination and certify deletion.</w:t>
      </w:r>
    </w:p>
    <w:p>
      <w:pPr>
        <w:spacing w:after="140" w:line="276"/>
        <w:jc w:val="both"/>
      </w:pPr>
      <w:r>
        <w:rPr>
          <w:b/>
          <w:bCs/>
          <w:sz w:val="22"/>
          <w:szCs w:val="22"/>
        </w:rPr>
        <w:t xml:space="preserve">3.7  </w:t>
      </w:r>
      <w:r>
        <w:rPr>
          <w:sz w:val="22"/>
          <w:szCs w:val="22"/>
        </w:rPr>
        <w:t xml:space="preserve">Make available information necessary to demonstrate compliance and permit audits per Clause 8.</w:t>
      </w:r>
    </w:p>
    <w:p>
      <w:pPr>
        <w:spacing w:after="140" w:line="276"/>
        <w:jc w:val="both"/>
      </w:pPr>
      <w:r>
        <w:rPr>
          <w:b/>
          <w:bCs/>
          <w:sz w:val="22"/>
          <w:szCs w:val="22"/>
        </w:rPr>
        <w:t xml:space="preserve">3.8  </w:t>
      </w:r>
      <w:r>
        <w:rPr>
          <w:sz w:val="22"/>
          <w:szCs w:val="22"/>
        </w:rPr>
        <w:t xml:space="preserve">Notify Fiduciary within twenty-four (24) hours of becoming aware of a Personal Data Breach.</w:t>
      </w:r>
    </w:p>
    <w:p>
      <w:pPr>
        <w:pBdr>
          <w:bottom w:val="single" w:color="2E5090" w:sz="1" w:space="4"/>
        </w:pBdr>
        <w:spacing w:after="160" w:before="320"/>
      </w:pPr>
      <w:r>
        <w:rPr>
          <w:b/>
          <w:bCs/>
          <w:color w:val="1B2A4A"/>
          <w:sz w:val="26"/>
          <w:szCs w:val="26"/>
        </w:rPr>
        <w:t xml:space="preserve">4. Fiduciary obligations</w:t>
      </w:r>
    </w:p>
    <w:p>
      <w:pPr>
        <w:spacing w:after="140" w:line="276"/>
        <w:jc w:val="both"/>
      </w:pPr>
      <w:r>
        <w:rPr>
          <w:b/>
          <w:bCs/>
          <w:sz w:val="22"/>
          <w:szCs w:val="22"/>
        </w:rPr>
        <w:t xml:space="preserve">4.1  </w:t>
      </w:r>
      <w:r>
        <w:rPr>
          <w:sz w:val="22"/>
          <w:szCs w:val="22"/>
        </w:rPr>
        <w:t xml:space="preserve">Fiduciary warrants it has a lawful basis for processing and has provided compliant notices to Data Principals.</w:t>
      </w:r>
    </w:p>
    <w:p>
      <w:pPr>
        <w:spacing w:after="140" w:line="276"/>
        <w:jc w:val="both"/>
      </w:pPr>
      <w:r>
        <w:rPr>
          <w:b/>
          <w:bCs/>
          <w:sz w:val="22"/>
          <w:szCs w:val="22"/>
        </w:rPr>
        <w:t xml:space="preserve">4.2  </w:t>
      </w:r>
      <w:r>
        <w:rPr>
          <w:sz w:val="22"/>
          <w:szCs w:val="22"/>
        </w:rPr>
        <w:t xml:space="preserve">Fiduciary shall not instruct Processor to process in violation of the Act.</w:t>
      </w:r>
    </w:p>
    <w:p>
      <w:pPr>
        <w:pBdr>
          <w:bottom w:val="single" w:color="2E5090" w:sz="1" w:space="4"/>
        </w:pBdr>
        <w:spacing w:after="160" w:before="320"/>
      </w:pPr>
      <w:r>
        <w:rPr>
          <w:b/>
          <w:bCs/>
          <w:color w:val="1B2A4A"/>
          <w:sz w:val="26"/>
          <w:szCs w:val="26"/>
        </w:rPr>
        <w:t xml:space="preserve">5. Cross-border transfers</w:t>
      </w:r>
    </w:p>
    <w:p>
      <w:pPr>
        <w:spacing w:after="140" w:line="276"/>
        <w:jc w:val="both"/>
      </w:pPr>
      <w:r>
        <w:rPr>
          <w:b/>
          <w:bCs/>
          <w:sz w:val="22"/>
          <w:szCs w:val="22"/>
        </w:rPr>
        <w:t xml:space="preserve">5.1  </w:t>
      </w:r>
      <w:r>
        <w:rPr>
          <w:sz w:val="22"/>
          <w:szCs w:val="22"/>
        </w:rPr>
        <w:t xml:space="preserve">Processor shall not transfer Personal Data outside India except to destinations not restricted under Section 16 and with Fiduciary's written approval.</w:t>
      </w:r>
    </w:p>
    <w:p>
      <w:pPr>
        <w:pBdr>
          <w:bottom w:val="single" w:color="2E5090" w:sz="1" w:space="4"/>
        </w:pBdr>
        <w:spacing w:after="160" w:before="320"/>
      </w:pPr>
      <w:r>
        <w:rPr>
          <w:b/>
          <w:bCs/>
          <w:color w:val="1B2A4A"/>
          <w:sz w:val="26"/>
          <w:szCs w:val="26"/>
        </w:rPr>
        <w:t xml:space="preserve">6. Liability</w:t>
      </w:r>
    </w:p>
    <w:p>
      <w:pPr>
        <w:spacing w:after="140" w:line="276"/>
        <w:jc w:val="both"/>
      </w:pPr>
      <w:r>
        <w:rPr>
          <w:b/>
          <w:bCs/>
          <w:sz w:val="22"/>
          <w:szCs w:val="22"/>
        </w:rPr>
        <w:t xml:space="preserve">6.1  </w:t>
      </w:r>
      <w:r>
        <w:rPr>
          <w:sz w:val="22"/>
          <w:szCs w:val="22"/>
        </w:rPr>
        <w:t xml:space="preserve">Processor indemnifies Fiduciary for losses arising from Processor's breach of this DPA, subject to liability caps in the Master Agreement except where prohibited by the Act.</w:t>
      </w:r>
    </w:p>
    <w:p>
      <w:pPr>
        <w:pBdr>
          <w:bottom w:val="single" w:color="2E5090" w:sz="1" w:space="4"/>
        </w:pBdr>
        <w:spacing w:after="160" w:before="320"/>
      </w:pPr>
      <w:r>
        <w:rPr>
          <w:b/>
          <w:bCs/>
          <w:color w:val="1B2A4A"/>
          <w:sz w:val="26"/>
          <w:szCs w:val="26"/>
        </w:rPr>
        <w:t xml:space="preserve">7. Governing law</w:t>
      </w:r>
    </w:p>
    <w:p>
      <w:pPr>
        <w:spacing w:after="140" w:line="276"/>
        <w:jc w:val="both"/>
      </w:pPr>
      <w:r>
        <w:rPr>
          <w:b/>
          <w:bCs/>
          <w:sz w:val="22"/>
          <w:szCs w:val="22"/>
        </w:rPr>
        <w:t xml:space="preserve">7.1  </w:t>
      </w:r>
      <w:r>
        <w:rPr>
          <w:sz w:val="22"/>
          <w:szCs w:val="22"/>
        </w:rPr>
        <w:t xml:space="preserve">Governed by laws of India. Courts at Mumbai, Maharashtra have exclusive jurisdiction.</w:t>
      </w:r>
    </w:p>
    <w:p>
      <w:pPr>
        <w:pBdr>
          <w:bottom w:val="single" w:color="2E5090" w:sz="1" w:space="4"/>
        </w:pBdr>
        <w:spacing w:after="160" w:before="320"/>
      </w:pPr>
      <w:r>
        <w:rPr>
          <w:b/>
          <w:bCs/>
          <w:color w:val="1B2A4A"/>
          <w:sz w:val="26"/>
          <w:szCs w:val="26"/>
        </w:rPr>
        <w:t xml:space="preserve">8. Audit rights</w:t>
      </w:r>
    </w:p>
    <w:p>
      <w:pPr>
        <w:spacing w:after="140" w:line="276"/>
        <w:jc w:val="both"/>
      </w:pPr>
      <w:r>
        <w:rPr>
          <w:b/>
          <w:bCs/>
          <w:sz w:val="22"/>
          <w:szCs w:val="22"/>
        </w:rPr>
        <w:t xml:space="preserve">8.1  </w:t>
      </w:r>
      <w:r>
        <w:rPr>
          <w:sz w:val="22"/>
          <w:szCs w:val="22"/>
        </w:rPr>
        <w:t xml:space="preserve">Fiduciary may audit once per year on thirty (30) days' notice, or accept Processor's annual SOC 2 Type II report.</w:t>
      </w:r>
    </w:p>
    <w:p>
      <w:pPr>
        <w:pBdr>
          <w:bottom w:val="single" w:color="2E5090" w:sz="1" w:space="4"/>
        </w:pBdr>
        <w:spacing w:after="160" w:before="320"/>
      </w:pPr>
      <w:r>
        <w:rPr>
          <w:b/>
          <w:bCs/>
          <w:color w:val="1B2A4A"/>
          <w:sz w:val="26"/>
          <w:szCs w:val="26"/>
        </w:rPr>
        <w:t xml:space="preserve">9. Signatures</w:t>
      </w:r>
    </w:p>
    <w:p>
      <w:pPr>
        <w:spacing w:after="160" w:line="276"/>
        <w:jc w:val="both"/>
      </w:pPr>
      <w:r>
        <w:rPr>
          <w:sz w:val="22"/>
          <w:szCs w:val="22"/>
        </w:rPr>
        <w:t xml:space="preserve">For Acme Digital Solutions Private Limited: _________________________  Title: _________________  Date: ____/____/____</w:t>
      </w:r>
    </w:p>
    <w:p>
      <w:pPr>
        <w:spacing w:after="160" w:line="276"/>
        <w:jc w:val="both"/>
      </w:pPr>
      <w:r>
        <w:rPr>
          <w:sz w:val="22"/>
          <w:szCs w:val="22"/>
        </w:rPr>
        <w:t xml:space="preserve">For CloudHost Technologies India Pvt. Ltd.: _________________________  Date: ____/____/____</w:t>
      </w:r>
    </w:p>
    <w:p>
      <w:pPr>
        <w:pBdr>
          <w:bottom w:val="single" w:color="2E5090" w:sz="1" w:space="4"/>
        </w:pBdr>
        <w:spacing w:after="160" w:before="320"/>
      </w:pPr>
      <w:r>
        <w:rPr>
          <w:b/>
          <w:bCs/>
          <w:color w:val="1B2A4A"/>
          <w:sz w:val="26"/>
          <w:szCs w:val="26"/>
        </w:rPr>
        <w:t xml:space="preserve">Annex A — Processing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Element</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Description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Subjects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 Platform customers and authorised users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Categories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Identity, contact, account, usage logs, support content</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Operations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Storage, retrieval, backup, transmission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Purpose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Cloud hosting of Acme SaaS application</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Annex B — Technical and organisational measures</w:t>
      </w:r>
    </w:p>
    <w:p>
      <w:pPr>
        <w:pStyle w:val="ListParagraph"/>
        <w:numPr>
          <w:ilvl w:val="0"/>
          <w:numId w:val="1"/>
        </w:numPr>
        <w:spacing w:after="80"/>
        <w:jc w:val="both"/>
      </w:pPr>
      <w:r>
        <w:rPr>
          <w:sz w:val="22"/>
          <w:szCs w:val="22"/>
        </w:rPr>
        <w:t xml:space="preserve">ISO 27001 certified data centres in Mumbai and Hyderabad</w:t>
      </w:r>
    </w:p>
    <w:p>
      <w:pPr>
        <w:pStyle w:val="ListParagraph"/>
        <w:numPr>
          <w:ilvl w:val="0"/>
          <w:numId w:val="1"/>
        </w:numPr>
        <w:spacing w:after="80"/>
        <w:jc w:val="both"/>
      </w:pPr>
      <w:r>
        <w:rPr>
          <w:sz w:val="22"/>
          <w:szCs w:val="22"/>
        </w:rPr>
        <w:t xml:space="preserve">AES-256 encryption at rest; TLS 1.3 in transit</w:t>
      </w:r>
    </w:p>
    <w:p>
      <w:pPr>
        <w:pStyle w:val="ListParagraph"/>
        <w:numPr>
          <w:ilvl w:val="0"/>
          <w:numId w:val="1"/>
        </w:numPr>
        <w:spacing w:after="80"/>
        <w:jc w:val="both"/>
      </w:pPr>
      <w:r>
        <w:rPr>
          <w:sz w:val="22"/>
          <w:szCs w:val="22"/>
        </w:rPr>
        <w:t xml:space="preserve">Logical segregation of Acme tenant data</w:t>
      </w:r>
    </w:p>
    <w:p>
      <w:pPr>
        <w:pStyle w:val="ListParagraph"/>
        <w:numPr>
          <w:ilvl w:val="0"/>
          <w:numId w:val="1"/>
        </w:numPr>
        <w:spacing w:after="80"/>
        <w:jc w:val="both"/>
      </w:pPr>
      <w:r>
        <w:rPr>
          <w:sz w:val="22"/>
          <w:szCs w:val="22"/>
        </w:rPr>
        <w:t xml:space="preserve">MFA, RBAC, privileged access management</w:t>
      </w:r>
    </w:p>
    <w:p>
      <w:pPr>
        <w:pStyle w:val="ListParagraph"/>
        <w:numPr>
          <w:ilvl w:val="0"/>
          <w:numId w:val="1"/>
        </w:numPr>
        <w:spacing w:after="80"/>
        <w:jc w:val="both"/>
      </w:pPr>
      <w:r>
        <w:rPr>
          <w:sz w:val="22"/>
          <w:szCs w:val="22"/>
        </w:rPr>
        <w:t xml:space="preserve">24×7 SOC monitoring and annual penetration testing</w:t>
      </w:r>
    </w:p>
    <w:p>
      <w:pPr>
        <w:pStyle w:val="ListParagraph"/>
        <w:numPr>
          <w:ilvl w:val="0"/>
          <w:numId w:val="1"/>
        </w:numPr>
        <w:spacing w:after="80"/>
        <w:jc w:val="both"/>
      </w:pPr>
      <w:r>
        <w:rPr>
          <w:sz w:val="22"/>
          <w:szCs w:val="22"/>
        </w:rPr>
        <w:t xml:space="preserve">Business continuity — RPO 1 hour, RTO 4 hours</w:t>
      </w:r>
    </w:p>
    <w:p>
      <w:pPr>
        <w:pBdr>
          <w:bottom w:val="single" w:color="2E5090" w:sz="1" w:space="4"/>
        </w:pBdr>
        <w:spacing w:after="160" w:before="320"/>
      </w:pPr>
      <w:r>
        <w:rPr>
          <w:b/>
          <w:bCs/>
          <w:color w:val="1B2A4A"/>
          <w:sz w:val="26"/>
          <w:szCs w:val="26"/>
        </w:rPr>
        <w:t xml:space="preserve">Annex C — Approved Sub-processors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Sub-processor</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Function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Location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Amazon Data Services India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Infrastructure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Veeam Software India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Backup</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bl>
    <w:p>
      <w:pPr>
        <w:spacing w:after="220" w:line="276"/>
        <w:jc w:val="both"/>
      </w:pPr>
      <w:r>
        <w:rPr>
          <w:sz w:val="22"/>
          <w:szCs w:val="22"/>
        </w:rPr>
        <w:t xml:space="preserve"/>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Party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Authorised signatory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Designation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Fiduciary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Processor / Counterparty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2026-07-05T20:39:55.206Z</dcterms:created>
  <dcterms:modified xsi:type="dcterms:W3CDTF">2026-07-05T20:39:55.206Z</dcterms:modified>
</cp:coreProperties>
</file>

<file path=docProps/custom.xml><?xml version="1.0" encoding="utf-8"?>
<Properties xmlns="http://schemas.openxmlformats.org/officeDocument/2006/custom-properties" xmlns:vt="http://schemas.openxmlformats.org/officeDocument/2006/docPropsVTypes"/>
</file>