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B2A4A"/>
          <w:sz w:val="36"/>
          <w:szCs w:val="36"/>
        </w:rPr>
        <w:t xml:space="preserve">Vendor Data Processing Agreement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5090" w:sz="1"/>
              <w:left w:val="single" w:color="BFBFBF" w:sz="1"/>
              <w:bottom w:val="single" w:color="BFBFBF" w:sz="1"/>
              <w:right w:val="single" w:color="BFBFBF" w:sz="1"/>
            </w:tcBorders>
            <w:shd w:fill="F5F5F5" w:val="clear"/>
            <w:tcMar>
              <w:top w:type="dxa" w:w="120"/>
              <w:left w:type="dxa" w:w="160"/>
              <w:bottom w:type="dxa" w:w="120"/>
              <w:right w:type="dxa" w:w="160"/>
            </w:tcMar>
          </w:tcPr>
          <w:p>
            <w:pPr>
              <w:jc w:val="both"/>
            </w:pPr>
            <w:r>
              <w:rPr>
                <w:b/>
                <w:bCs/>
                <w:sz w:val="18"/>
                <w:szCs w:val="18"/>
              </w:rPr>
              <w:t xml:space="preserve">Notice.  </w:t>
            </w:r>
            <w:r>
              <w:rPr>
                <w:i/>
                <w:iCs/>
                <w:color w:val="444444"/>
                <w:sz w:val="18"/>
                <w:szCs w:val="18"/>
              </w:rPr>
              <w:t xml:space="preserve">CONFIDENTIAL TEMPLATE — This document contains sample organisational details for illustration only. Replace all references to Acme Digital Solutions Private Limited with your entity's particulars and obtain qualified legal review before execution or publication.</w:t>
            </w:r>
          </w:p>
        </w:tc>
      </w:tr>
    </w:tbl>
    <w:p>
      <w:pPr>
        <w:spacing w:after="280" w:line="276"/>
        <w:jc w:val="both"/>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reference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ACME-AGR-003</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title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Vendor Data Processing Agreement</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Version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2.0</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Classification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Confidential</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owner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Legal</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Effective date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2026</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Next scheduled review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2027</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Applicable law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DPDP Act, 2023 · DPDP Rules, 2025</w:t>
            </w:r>
          </w:p>
        </w:tc>
      </w:tr>
    </w:tbl>
    <w:p>
      <w:pPr>
        <w:spacing w:after="240" w:line="276"/>
        <w:jc w:val="both"/>
      </w:pPr>
      <w:r>
        <w:rPr>
          <w:sz w:val="22"/>
          <w:szCs w:val="22"/>
        </w:rPr>
        <w:t xml:space="preserve"/>
      </w:r>
    </w:p>
    <w:p>
      <w:pPr>
        <w:spacing w:after="160" w:line="276"/>
        <w:jc w:val="both"/>
      </w:pPr>
      <w:r>
        <w:rPr>
          <w:sz w:val="22"/>
          <w:szCs w:val="22"/>
        </w:rPr>
        <w:t xml:space="preserve">THIS VENDOR DATA PROCESSING AGREEMENT is entered into on 01 April 2026 between Acme Digital Solutions Private Limited ("Customer" / "Data Fiduciary") and PeopleStrong HR Services Private Limited, having its registered office at Plot 51, Sector 44, Gurugram 122003 ("Vendor" / "Data Processor"), pursuant to the Master Services Agreement dated 01 April 2025.</w:t>
      </w:r>
    </w:p>
    <w:p>
      <w:pPr>
        <w:pBdr>
          <w:bottom w:val="single" w:color="2E5090" w:sz="1" w:space="4"/>
        </w:pBdr>
        <w:spacing w:after="160" w:before="320"/>
      </w:pPr>
      <w:r>
        <w:rPr>
          <w:b/>
          <w:bCs/>
          <w:color w:val="1B2A4A"/>
          <w:sz w:val="26"/>
          <w:szCs w:val="26"/>
        </w:rPr>
        <w:t xml:space="preserve">Recitals</w:t>
      </w:r>
    </w:p>
    <w:p>
      <w:pPr>
        <w:spacing w:after="140" w:line="276"/>
        <w:jc w:val="both"/>
      </w:pPr>
      <w:r>
        <w:rPr>
          <w:b/>
          <w:bCs/>
          <w:sz w:val="22"/>
          <w:szCs w:val="22"/>
        </w:rPr>
        <w:t xml:space="preserve">A.  </w:t>
      </w:r>
      <w:r>
        <w:rPr>
          <w:sz w:val="22"/>
          <w:szCs w:val="22"/>
        </w:rPr>
        <w:t xml:space="preserve">The Customer engages the Vendor to provide payroll, TDS, provident fund and employee state insurance processing services.</w:t>
      </w:r>
    </w:p>
    <w:p>
      <w:pPr>
        <w:spacing w:after="140" w:line="276"/>
        <w:jc w:val="both"/>
      </w:pPr>
      <w:r>
        <w:rPr>
          <w:b/>
          <w:bCs/>
          <w:sz w:val="22"/>
          <w:szCs w:val="22"/>
        </w:rPr>
        <w:t xml:space="preserve">B.  </w:t>
      </w:r>
      <w:r>
        <w:rPr>
          <w:sz w:val="22"/>
          <w:szCs w:val="22"/>
        </w:rPr>
        <w:t xml:space="preserve">In providing such services, the Vendor processes personal data of the Customer's employees on the Customer's behalf.</w:t>
      </w:r>
    </w:p>
    <w:p>
      <w:pPr>
        <w:spacing w:after="140" w:line="276"/>
        <w:jc w:val="both"/>
      </w:pPr>
      <w:r>
        <w:rPr>
          <w:b/>
          <w:bCs/>
          <w:sz w:val="22"/>
          <w:szCs w:val="22"/>
        </w:rPr>
        <w:t xml:space="preserve">C.  </w:t>
      </w:r>
      <w:r>
        <w:rPr>
          <w:sz w:val="22"/>
          <w:szCs w:val="22"/>
        </w:rPr>
        <w:t xml:space="preserve">The parties wish to document the Vendor's obligations as a Data Processor under the Digital Personal Data Protection Act, 2023.</w:t>
      </w:r>
    </w:p>
    <w:p>
      <w:pPr>
        <w:spacing w:after="160" w:line="276"/>
        <w:jc w:val="both"/>
      </w:pPr>
      <w:r>
        <w:rPr>
          <w:sz w:val="22"/>
          <w:szCs w:val="22"/>
        </w:rPr>
        <w:t xml:space="preserve">NOW, THEREFORE, the parties agree as follows:</w:t>
      </w:r>
    </w:p>
    <w:p>
      <w:pPr>
        <w:pBdr>
          <w:bottom w:val="single" w:color="2E5090" w:sz="1" w:space="4"/>
        </w:pBdr>
        <w:spacing w:after="160" w:before="320"/>
      </w:pPr>
      <w:r>
        <w:rPr>
          <w:b/>
          <w:bCs/>
          <w:color w:val="1B2A4A"/>
          <w:sz w:val="26"/>
          <w:szCs w:val="26"/>
        </w:rPr>
        <w:t xml:space="preserve">1. Appointment and scope</w:t>
      </w:r>
    </w:p>
    <w:p>
      <w:pPr>
        <w:spacing w:after="160" w:line="276"/>
        <w:jc w:val="both"/>
      </w:pPr>
      <w:r>
        <w:rPr>
          <w:sz w:val="22"/>
          <w:szCs w:val="22"/>
        </w:rPr>
        <w:t xml:space="preserve">Customer appoints Vendor as Data Processor to process employee personal data solely to deliver payroll, TDS, PF and ESI services under the Master Services Agreement dated 01 April 2025.</w:t>
      </w:r>
    </w:p>
    <w:p>
      <w:pPr>
        <w:pBdr>
          <w:bottom w:val="single" w:color="2E5090" w:sz="1" w:space="4"/>
        </w:pBdr>
        <w:spacing w:after="160" w:before="320"/>
      </w:pPr>
      <w:r>
        <w:rPr>
          <w:b/>
          <w:bCs/>
          <w:color w:val="1B2A4A"/>
          <w:sz w:val="26"/>
          <w:szCs w:val="26"/>
        </w:rPr>
        <w:t xml:space="preserve">2. Processing instructions</w:t>
      </w:r>
    </w:p>
    <w:p>
      <w:pPr>
        <w:spacing w:after="140" w:line="276"/>
        <w:jc w:val="both"/>
      </w:pPr>
      <w:r>
        <w:rPr>
          <w:b/>
          <w:bCs/>
          <w:sz w:val="22"/>
          <w:szCs w:val="22"/>
        </w:rPr>
        <w:t xml:space="preserve">2.1  </w:t>
      </w:r>
      <w:r>
        <w:rPr>
          <w:sz w:val="22"/>
          <w:szCs w:val="22"/>
        </w:rPr>
        <w:t xml:space="preserve">Vendor shall process only per Customer's documented instructions, this DPA and applicable law.</w:t>
      </w:r>
    </w:p>
    <w:p>
      <w:pPr>
        <w:spacing w:after="140" w:line="276"/>
        <w:jc w:val="both"/>
      </w:pPr>
      <w:r>
        <w:rPr>
          <w:b/>
          <w:bCs/>
          <w:sz w:val="22"/>
          <w:szCs w:val="22"/>
        </w:rPr>
        <w:t xml:space="preserve">2.2  </w:t>
      </w:r>
      <w:r>
        <w:rPr>
          <w:sz w:val="22"/>
          <w:szCs w:val="22"/>
        </w:rPr>
        <w:t xml:space="preserve">If Vendor believes an instruction violates the Act, it shall promptly notify Customer.</w:t>
      </w:r>
    </w:p>
    <w:p>
      <w:pPr>
        <w:pBdr>
          <w:bottom w:val="single" w:color="2E5090" w:sz="1" w:space="4"/>
        </w:pBdr>
        <w:spacing w:after="160" w:before="320"/>
      </w:pPr>
      <w:r>
        <w:rPr>
          <w:b/>
          <w:bCs/>
          <w:color w:val="1B2A4A"/>
          <w:sz w:val="26"/>
          <w:szCs w:val="26"/>
        </w:rPr>
        <w:t xml:space="preserve">3. Confidentiality</w:t>
      </w:r>
    </w:p>
    <w:p>
      <w:pPr>
        <w:spacing w:after="140" w:line="276"/>
        <w:jc w:val="both"/>
      </w:pPr>
      <w:r>
        <w:rPr>
          <w:b/>
          <w:bCs/>
          <w:sz w:val="22"/>
          <w:szCs w:val="22"/>
        </w:rPr>
        <w:t xml:space="preserve">3.1  </w:t>
      </w:r>
      <w:r>
        <w:rPr>
          <w:sz w:val="22"/>
          <w:szCs w:val="22"/>
        </w:rPr>
        <w:t xml:space="preserve">All personnel with access bound by confidentiality surviving termination by five (5) years.</w:t>
      </w:r>
    </w:p>
    <w:p>
      <w:pPr>
        <w:pBdr>
          <w:bottom w:val="single" w:color="2E5090" w:sz="1" w:space="4"/>
        </w:pBdr>
        <w:spacing w:after="160" w:before="320"/>
      </w:pPr>
      <w:r>
        <w:rPr>
          <w:b/>
          <w:bCs/>
          <w:color w:val="1B2A4A"/>
          <w:sz w:val="26"/>
          <w:szCs w:val="26"/>
        </w:rPr>
        <w:t xml:space="preserve">4. Security schedule (Rule 6)</w:t>
      </w:r>
    </w:p>
    <w:p>
      <w:pPr>
        <w:pStyle w:val="ListParagraph"/>
        <w:numPr>
          <w:ilvl w:val="0"/>
          <w:numId w:val="1"/>
        </w:numPr>
        <w:spacing w:after="80"/>
        <w:jc w:val="both"/>
      </w:pPr>
      <w:r>
        <w:rPr>
          <w:sz w:val="22"/>
          <w:szCs w:val="22"/>
        </w:rPr>
        <w:t xml:space="preserve">SOC 2 Type II certified payroll platform</w:t>
      </w:r>
    </w:p>
    <w:p>
      <w:pPr>
        <w:pStyle w:val="ListParagraph"/>
        <w:numPr>
          <w:ilvl w:val="0"/>
          <w:numId w:val="1"/>
        </w:numPr>
        <w:spacing w:after="80"/>
        <w:jc w:val="both"/>
      </w:pPr>
      <w:r>
        <w:rPr>
          <w:sz w:val="22"/>
          <w:szCs w:val="22"/>
        </w:rPr>
        <w:t xml:space="preserve">Encryption of PAN and bank account data</w:t>
      </w:r>
    </w:p>
    <w:p>
      <w:pPr>
        <w:pStyle w:val="ListParagraph"/>
        <w:numPr>
          <w:ilvl w:val="0"/>
          <w:numId w:val="1"/>
        </w:numPr>
        <w:spacing w:after="80"/>
        <w:jc w:val="both"/>
      </w:pPr>
      <w:r>
        <w:rPr>
          <w:sz w:val="22"/>
          <w:szCs w:val="22"/>
        </w:rPr>
        <w:t xml:space="preserve">Two-factor authentication for Customer administrators</w:t>
      </w:r>
    </w:p>
    <w:p>
      <w:pPr>
        <w:pStyle w:val="ListParagraph"/>
        <w:numPr>
          <w:ilvl w:val="0"/>
          <w:numId w:val="1"/>
        </w:numPr>
        <w:spacing w:after="80"/>
        <w:jc w:val="both"/>
      </w:pPr>
      <w:r>
        <w:rPr>
          <w:sz w:val="22"/>
          <w:szCs w:val="22"/>
        </w:rPr>
        <w:t xml:space="preserve">Annual penetration test — summary shared on request</w:t>
      </w:r>
    </w:p>
    <w:p>
      <w:pPr>
        <w:pStyle w:val="ListParagraph"/>
        <w:numPr>
          <w:ilvl w:val="0"/>
          <w:numId w:val="1"/>
        </w:numPr>
        <w:spacing w:after="80"/>
        <w:jc w:val="both"/>
      </w:pPr>
      <w:r>
        <w:rPr>
          <w:sz w:val="22"/>
          <w:szCs w:val="22"/>
        </w:rPr>
        <w:t xml:space="preserve">Disaster recovery tested semi-annually</w:t>
      </w:r>
    </w:p>
    <w:p>
      <w:pPr>
        <w:pBdr>
          <w:bottom w:val="single" w:color="2E5090" w:sz="1" w:space="4"/>
        </w:pBdr>
        <w:spacing w:after="160" w:before="320"/>
      </w:pPr>
      <w:r>
        <w:rPr>
          <w:b/>
          <w:bCs/>
          <w:color w:val="1B2A4A"/>
          <w:sz w:val="26"/>
          <w:szCs w:val="26"/>
        </w:rPr>
        <w:t xml:space="preserve">5. Sub-processors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Sub-processor</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Function</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Location</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NSDL Database Management Ltd.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PAN verification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India</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AWS India</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Hosting</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India</w:t>
            </w:r>
          </w:p>
        </w:tc>
      </w:tr>
    </w:tbl>
    <w:p>
      <w:pPr>
        <w:spacing w:after="220" w:line="276"/>
        <w:jc w:val="both"/>
      </w:pPr>
      <w:r>
        <w:rPr>
          <w:sz w:val="22"/>
          <w:szCs w:val="22"/>
        </w:rPr>
        <w:t xml:space="preserve"/>
      </w:r>
    </w:p>
    <w:p>
      <w:pPr>
        <w:spacing w:after="140" w:line="276"/>
        <w:jc w:val="both"/>
      </w:pPr>
      <w:r>
        <w:rPr>
          <w:b/>
          <w:bCs/>
          <w:sz w:val="22"/>
          <w:szCs w:val="22"/>
        </w:rPr>
        <w:t xml:space="preserve">5.1  </w:t>
      </w:r>
      <w:r>
        <w:rPr>
          <w:sz w:val="22"/>
          <w:szCs w:val="22"/>
        </w:rPr>
        <w:t xml:space="preserve">Vendor provides thirty (30) days' notice of Sub-processor changes. Customer may object on reasonable grounds.</w:t>
      </w:r>
    </w:p>
    <w:p>
      <w:pPr>
        <w:pBdr>
          <w:bottom w:val="single" w:color="2E5090" w:sz="1" w:space="4"/>
        </w:pBdr>
        <w:spacing w:after="160" w:before="320"/>
      </w:pPr>
      <w:r>
        <w:rPr>
          <w:b/>
          <w:bCs/>
          <w:color w:val="1B2A4A"/>
          <w:sz w:val="26"/>
          <w:szCs w:val="26"/>
        </w:rPr>
        <w:t xml:space="preserve">6. Audit</w:t>
      </w:r>
    </w:p>
    <w:p>
      <w:pPr>
        <w:spacing w:after="140" w:line="276"/>
        <w:jc w:val="both"/>
      </w:pPr>
      <w:r>
        <w:rPr>
          <w:b/>
          <w:bCs/>
          <w:sz w:val="22"/>
          <w:szCs w:val="22"/>
        </w:rPr>
        <w:t xml:space="preserve">6.1  </w:t>
      </w:r>
      <w:r>
        <w:rPr>
          <w:sz w:val="22"/>
          <w:szCs w:val="22"/>
        </w:rPr>
        <w:t xml:space="preserve">Customer may audit annually on thirty (30) days' notice or accept Vendor's SOC 2 report.</w:t>
      </w:r>
    </w:p>
    <w:p>
      <w:pPr>
        <w:pBdr>
          <w:bottom w:val="single" w:color="2E5090" w:sz="1" w:space="4"/>
        </w:pBdr>
        <w:spacing w:after="160" w:before="320"/>
      </w:pPr>
      <w:r>
        <w:rPr>
          <w:b/>
          <w:bCs/>
          <w:color w:val="1B2A4A"/>
          <w:sz w:val="26"/>
          <w:szCs w:val="26"/>
        </w:rPr>
        <w:t xml:space="preserve">7. Breach notification</w:t>
      </w:r>
    </w:p>
    <w:p>
      <w:pPr>
        <w:spacing w:after="140" w:line="276"/>
        <w:jc w:val="both"/>
      </w:pPr>
      <w:r>
        <w:rPr>
          <w:b/>
          <w:bCs/>
          <w:sz w:val="22"/>
          <w:szCs w:val="22"/>
        </w:rPr>
        <w:t xml:space="preserve">7.1  </w:t>
      </w:r>
      <w:r>
        <w:rPr>
          <w:sz w:val="22"/>
          <w:szCs w:val="22"/>
        </w:rPr>
        <w:t xml:space="preserve">Vendor notifies Customer within twenty-four (24) hours of any personal data breach with details sufficient for Rule 7 compliance.</w:t>
      </w:r>
    </w:p>
    <w:p>
      <w:pPr>
        <w:pBdr>
          <w:bottom w:val="single" w:color="2E5090" w:sz="1" w:space="4"/>
        </w:pBdr>
        <w:spacing w:after="160" w:before="320"/>
      </w:pPr>
      <w:r>
        <w:rPr>
          <w:b/>
          <w:bCs/>
          <w:color w:val="1B2A4A"/>
          <w:sz w:val="26"/>
          <w:szCs w:val="26"/>
        </w:rPr>
        <w:t xml:space="preserve">8. Deletion</w:t>
      </w:r>
    </w:p>
    <w:p>
      <w:pPr>
        <w:spacing w:after="140" w:line="276"/>
        <w:jc w:val="both"/>
      </w:pPr>
      <w:r>
        <w:rPr>
          <w:b/>
          <w:bCs/>
          <w:sz w:val="22"/>
          <w:szCs w:val="22"/>
        </w:rPr>
        <w:t xml:space="preserve">8.1  </w:t>
      </w:r>
      <w:r>
        <w:rPr>
          <w:sz w:val="22"/>
          <w:szCs w:val="22"/>
        </w:rPr>
        <w:t xml:space="preserve">Within thirty (30) days of MSA termination, Vendor deletes all personal data and certifies deletion. Backups roll off within ninety (90) days.</w:t>
      </w:r>
    </w:p>
    <w:p>
      <w:pPr>
        <w:pBdr>
          <w:bottom w:val="single" w:color="2E5090" w:sz="1" w:space="4"/>
        </w:pBdr>
        <w:spacing w:after="160" w:before="320"/>
      </w:pPr>
      <w:r>
        <w:rPr>
          <w:b/>
          <w:bCs/>
          <w:color w:val="1B2A4A"/>
          <w:sz w:val="26"/>
          <w:szCs w:val="26"/>
        </w:rPr>
        <w:t xml:space="preserve">9. Indemnity</w:t>
      </w:r>
    </w:p>
    <w:p>
      <w:pPr>
        <w:spacing w:after="140" w:line="276"/>
        <w:jc w:val="both"/>
      </w:pPr>
      <w:r>
        <w:rPr>
          <w:b/>
          <w:bCs/>
          <w:sz w:val="22"/>
          <w:szCs w:val="22"/>
        </w:rPr>
        <w:t xml:space="preserve">9.1  </w:t>
      </w:r>
      <w:r>
        <w:rPr>
          <w:sz w:val="22"/>
          <w:szCs w:val="22"/>
        </w:rPr>
        <w:t xml:space="preserve">Vendor indemnifies Customer for regulatory fines and direct damages arising from Vendor's breach of this DPA.</w:t>
      </w:r>
    </w:p>
    <w:p>
      <w:pPr>
        <w:spacing w:after="160" w:line="276"/>
        <w:jc w:val="both"/>
      </w:pPr>
      <w:r>
        <w:rPr>
          <w:sz w:val="22"/>
          <w:szCs w:val="22"/>
        </w:rPr>
        <w:t xml:space="preserve">Customer: _________________________  Vendor: _________________________</w:t>
      </w:r>
    </w:p>
    <w:p>
      <w:pPr>
        <w:pBdr>
          <w:bottom w:val="single" w:color="CCCCCC" w:sz="1"/>
        </w:pBdr>
        <w:spacing w:after="200" w:before="200"/>
      </w:pPr>
    </w:p>
    <w:p>
      <w:pPr>
        <w:pBdr>
          <w:bottom w:val="single" w:color="2E5090" w:sz="1" w:space="4"/>
        </w:pBdr>
        <w:spacing w:after="160" w:before="320"/>
      </w:pPr>
      <w:r>
        <w:rPr>
          <w:b/>
          <w:bCs/>
          <w:color w:val="1B2A4A"/>
          <w:sz w:val="26"/>
          <w:szCs w:val="26"/>
        </w:rPr>
        <w:t xml:space="preserve">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Party</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Authorised signatory</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Designation</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Signature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Date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Data Fiduciary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Director / Authorised Representative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Data Processor / Counterparty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Director / Authorised Representative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bl>
    <w:p>
      <w:pPr>
        <w:spacing w:after="220" w:line="276"/>
        <w:jc w:val="both"/>
      </w:pPr>
      <w:r>
        <w:rPr>
          <w:sz w:val="22"/>
          <w:szCs w:val="22"/>
        </w:rPr>
        <w:t xml:space="preserve"/>
      </w:r>
    </w:p>
    <w:p>
      <w:pPr>
        <w:pBdr>
          <w:bottom w:val="single" w:color="CCCCCC" w:sz="1"/>
        </w:pBdr>
        <w:spacing w:after="200" w:before="200"/>
      </w:pPr>
    </w:p>
    <w:p>
      <w:pPr>
        <w:spacing w:before="200"/>
        <w:jc w:val="center"/>
      </w:pPr>
      <w:r>
        <w:rPr>
          <w:i/>
          <w:iCs/>
          <w:color w:val="666666"/>
          <w:sz w:val="18"/>
          <w:szCs w:val="18"/>
        </w:rPr>
        <w:t xml:space="preserve">End of document. This template is provided for educational purposes and does not constitute legal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Acme Digital Solutions Private Limited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2" w:space="1"/>
      </w:pBdr>
      <w:spacing w:after="120"/>
    </w:pPr>
    <w:r>
      <w:rPr>
        <w:b/>
        <w:bCs/>
        <w:color w:val="1B2A4A"/>
        <w:sz w:val="18"/>
        <w:szCs w:val="18"/>
      </w:rPr>
      <w:t xml:space="preserve">Acme Digital Solutions Private Limited</w:t>
    </w:r>
    <w:r>
      <w:rPr>
        <w:color w:val="888888"/>
        <w:sz w:val="16"/>
        <w:szCs w:val="16"/>
      </w:rPr>
      <w:t xml:space="preserve">   |   U72900MH2019PTC328417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2026-07-05T20:39:55.324Z</dcterms:created>
  <dcterms:modified xsi:type="dcterms:W3CDTF">2026-07-05T20:39:55.324Z</dcterms:modified>
</cp:coreProperties>
</file>

<file path=docProps/custom.xml><?xml version="1.0" encoding="utf-8"?>
<Properties xmlns="http://schemas.openxmlformats.org/officeDocument/2006/custom-properties" xmlns:vt="http://schemas.openxmlformats.org/officeDocument/2006/docPropsVTypes"/>
</file>