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b/>
          <w:bCs/>
          <w:color w:val="1B2A4A"/>
          <w:sz w:val="36"/>
          <w:szCs w:val="36"/>
        </w:rPr>
        <w:t xml:space="preserve">Enterprise Data Protection Policy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2E5090" w:sz="1"/>
              <w:left w:val="single" w:color="BFBFBF" w:sz="1"/>
              <w:bottom w:val="single" w:color="BFBFBF" w:sz="1"/>
              <w:right w:val="single" w:color="BFBFBF" w:sz="1"/>
            </w:tcBorders>
            <w:shd w:fill="F5F5F5" w:val="clear"/>
            <w:tcMar>
              <w:top w:type="dxa" w:w="120"/>
              <w:left w:type="dxa" w:w="160"/>
              <w:bottom w:type="dxa" w:w="120"/>
              <w:right w:type="dxa" w:w="160"/>
            </w:tcMar>
          </w:tcPr>
          <w:p>
            <w:pPr>
              <w:jc w:val="both"/>
            </w:pPr>
            <w:r>
              <w:rPr>
                <w:b/>
                <w:bCs/>
                <w:sz w:val="18"/>
                <w:szCs w:val="18"/>
              </w:rPr>
              <w:t xml:space="preserve">Notice.  </w:t>
            </w:r>
            <w:r>
              <w:rPr>
                <w:i/>
                <w:iCs/>
                <w:color w:val="444444"/>
                <w:sz w:val="18"/>
                <w:szCs w:val="18"/>
              </w:rPr>
              <w:t xml:space="preserve">CONFIDENTIAL TEMPLATE — This document contains sample organisational details for illustration only. Replace all references to Acme Digital Solutions Private Limited with your entity's particulars and obtain qualified legal review before execution or publication.</w:t>
            </w:r>
          </w:p>
        </w:tc>
      </w:tr>
    </w:tbl>
    <w:p>
      <w:pPr>
        <w:spacing w:after="280" w:line="276"/>
        <w:jc w:val="both"/>
      </w:pPr>
      <w:r>
        <w:rPr>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Document reference</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ACME-POL-003</w:t>
            </w:r>
          </w:p>
        </w:tc>
      </w:tr>
      <w:tr>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Document title</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Enterprise Data Protection Policy</w:t>
            </w:r>
          </w:p>
        </w:tc>
      </w:tr>
      <w:tr>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Version</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2.0</w:t>
            </w:r>
          </w:p>
        </w:tc>
      </w:tr>
      <w:tr>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Classification</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Internal</w:t>
            </w:r>
          </w:p>
        </w:tc>
      </w:tr>
      <w:tr>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Document owner</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Board / Compliance</w:t>
            </w:r>
          </w:p>
        </w:tc>
      </w:tr>
      <w:tr>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Effective date</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01 April 2026</w:t>
            </w:r>
          </w:p>
        </w:tc>
      </w:tr>
      <w:tr>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Next scheduled review</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01 April 2027</w:t>
            </w:r>
          </w:p>
        </w:tc>
      </w:tr>
      <w:tr>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Applicable law</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DPDP Act, 2023 · DPDP Rules, 2025</w:t>
            </w:r>
          </w:p>
        </w:tc>
      </w:tr>
    </w:tbl>
    <w:p>
      <w:pPr>
        <w:spacing w:after="240" w:line="276"/>
        <w:jc w:val="both"/>
      </w:pPr>
      <w:r>
        <w:rPr>
          <w:sz w:val="22"/>
          <w:szCs w:val="22"/>
        </w:rPr>
        <w:t xml:space="preserve"/>
      </w:r>
    </w:p>
    <w:p>
      <w:pPr>
        <w:pBdr>
          <w:bottom w:val="single" w:color="2E5090" w:sz="1" w:space="4"/>
        </w:pBdr>
        <w:spacing w:after="160" w:before="320"/>
      </w:pPr>
      <w:r>
        <w:rPr>
          <w:b/>
          <w:bCs/>
          <w:color w:val="1B2A4A"/>
          <w:sz w:val="26"/>
          <w:szCs w:val="26"/>
        </w:rPr>
        <w:t xml:space="preserve">1. Policy statement</w:t>
      </w:r>
    </w:p>
    <w:p>
      <w:pPr>
        <w:spacing w:after="160" w:line="276"/>
        <w:jc w:val="both"/>
      </w:pPr>
      <w:r>
        <w:rPr>
          <w:sz w:val="22"/>
          <w:szCs w:val="22"/>
        </w:rPr>
        <w:t xml:space="preserve">Acme Digital Solutions Private Limited is committed to protecting personal data in accordance with the DPDP Act, 2023 and DPDP Rules, 2025. This policy binds all employees, contractors, interns and third-party processors handling personal data on Acme's behalf.</w:t>
      </w:r>
    </w:p>
    <w:p>
      <w:pPr>
        <w:pBdr>
          <w:bottom w:val="single" w:color="2E5090" w:sz="1" w:space="4"/>
        </w:pBdr>
        <w:spacing w:after="160" w:before="320"/>
      </w:pPr>
      <w:r>
        <w:rPr>
          <w:b/>
          <w:bCs/>
          <w:color w:val="1B2A4A"/>
          <w:sz w:val="26"/>
          <w:szCs w:val="26"/>
        </w:rPr>
        <w:t xml:space="preserve">2. Governance structure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Role</w:t>
            </w:r>
          </w:p>
        </w:tc>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Accountability</w:t>
            </w:r>
          </w:p>
        </w:tc>
      </w:tr>
      <w:tr>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Board of Directors</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Ultimate accountability for data protection compliance</w:t>
            </w:r>
          </w:p>
        </w:tc>
      </w:tr>
      <w:tr>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CEO</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Resources and tone from the top</w:t>
            </w:r>
          </w:p>
        </w:tc>
      </w:tr>
      <w:tr>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Rahul Mehta</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Day-to-day compliance, RoPA, DPIA, Board liaison</w:t>
            </w:r>
          </w:p>
        </w:tc>
      </w:tr>
      <w:tr>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Priya Sharma</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Grievance Officer — Section 13 redressal</w:t>
            </w:r>
          </w:p>
        </w:tc>
      </w:tr>
      <w:tr>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Department heads</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Lawful processing within their functions</w:t>
            </w:r>
          </w:p>
        </w:tc>
      </w:tr>
      <w:tr>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CISO</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Technical security safeguards (Rule 6)</w:t>
            </w:r>
          </w:p>
        </w:tc>
      </w:tr>
    </w:tbl>
    <w:p>
      <w:pPr>
        <w:spacing w:after="220" w:line="276"/>
        <w:jc w:val="both"/>
      </w:pPr>
      <w:r>
        <w:rPr>
          <w:sz w:val="22"/>
          <w:szCs w:val="22"/>
        </w:rPr>
        <w:t xml:space="preserve"/>
      </w:r>
    </w:p>
    <w:p>
      <w:pPr>
        <w:pBdr>
          <w:bottom w:val="single" w:color="2E5090" w:sz="1" w:space="4"/>
        </w:pBdr>
        <w:spacing w:after="160" w:before="320"/>
      </w:pPr>
      <w:r>
        <w:rPr>
          <w:b/>
          <w:bCs/>
          <w:color w:val="1B2A4A"/>
          <w:sz w:val="26"/>
          <w:szCs w:val="26"/>
        </w:rPr>
        <w:t xml:space="preserve">3. Data protection principles</w:t>
      </w:r>
    </w:p>
    <w:p>
      <w:pPr>
        <w:pStyle w:val="ListParagraph"/>
        <w:numPr>
          <w:ilvl w:val="0"/>
          <w:numId w:val="1"/>
        </w:numPr>
        <w:spacing w:after="80"/>
        <w:jc w:val="both"/>
      </w:pPr>
      <w:r>
        <w:rPr>
          <w:sz w:val="22"/>
          <w:szCs w:val="22"/>
        </w:rPr>
        <w:t xml:space="preserve">Lawfulness, fairness and transparency in all processing</w:t>
      </w:r>
    </w:p>
    <w:p>
      <w:pPr>
        <w:pStyle w:val="ListParagraph"/>
        <w:numPr>
          <w:ilvl w:val="0"/>
          <w:numId w:val="1"/>
        </w:numPr>
        <w:spacing w:after="80"/>
        <w:jc w:val="both"/>
      </w:pPr>
      <w:r>
        <w:rPr>
          <w:sz w:val="22"/>
          <w:szCs w:val="22"/>
        </w:rPr>
        <w:t xml:space="preserve">Purpose limitation — collect for specified, explicit and legitimate purposes</w:t>
      </w:r>
    </w:p>
    <w:p>
      <w:pPr>
        <w:pStyle w:val="ListParagraph"/>
        <w:numPr>
          <w:ilvl w:val="0"/>
          <w:numId w:val="1"/>
        </w:numPr>
        <w:spacing w:after="80"/>
        <w:jc w:val="both"/>
      </w:pPr>
      <w:r>
        <w:rPr>
          <w:sz w:val="22"/>
          <w:szCs w:val="22"/>
        </w:rPr>
        <w:t xml:space="preserve">Data minimisation — adequate, relevant and limited to what is necessary</w:t>
      </w:r>
    </w:p>
    <w:p>
      <w:pPr>
        <w:pStyle w:val="ListParagraph"/>
        <w:numPr>
          <w:ilvl w:val="0"/>
          <w:numId w:val="1"/>
        </w:numPr>
        <w:spacing w:after="80"/>
        <w:jc w:val="both"/>
      </w:pPr>
      <w:r>
        <w:rPr>
          <w:sz w:val="22"/>
          <w:szCs w:val="22"/>
        </w:rPr>
        <w:t xml:space="preserve">Accuracy — keep personal data correct and up to date</w:t>
      </w:r>
    </w:p>
    <w:p>
      <w:pPr>
        <w:pStyle w:val="ListParagraph"/>
        <w:numPr>
          <w:ilvl w:val="0"/>
          <w:numId w:val="1"/>
        </w:numPr>
        <w:spacing w:after="80"/>
        <w:jc w:val="both"/>
      </w:pPr>
      <w:r>
        <w:rPr>
          <w:sz w:val="22"/>
          <w:szCs w:val="22"/>
        </w:rPr>
        <w:t xml:space="preserve">Storage limitation — retain only as long as necessary</w:t>
      </w:r>
    </w:p>
    <w:p>
      <w:pPr>
        <w:pStyle w:val="ListParagraph"/>
        <w:numPr>
          <w:ilvl w:val="0"/>
          <w:numId w:val="1"/>
        </w:numPr>
        <w:spacing w:after="80"/>
        <w:jc w:val="both"/>
      </w:pPr>
      <w:r>
        <w:rPr>
          <w:sz w:val="22"/>
          <w:szCs w:val="22"/>
        </w:rPr>
        <w:t xml:space="preserve">Integrity and confidentiality — appropriate security against unauthorised processing</w:t>
      </w:r>
    </w:p>
    <w:p>
      <w:pPr>
        <w:pStyle w:val="ListParagraph"/>
        <w:numPr>
          <w:ilvl w:val="0"/>
          <w:numId w:val="1"/>
        </w:numPr>
        <w:spacing w:after="80"/>
        <w:jc w:val="both"/>
      </w:pPr>
      <w:r>
        <w:rPr>
          <w:sz w:val="22"/>
          <w:szCs w:val="22"/>
        </w:rPr>
        <w:t xml:space="preserve">Accountability — demonstrate compliance through documentation and audit</w:t>
      </w:r>
    </w:p>
    <w:p>
      <w:pPr>
        <w:pBdr>
          <w:bottom w:val="single" w:color="2E5090" w:sz="1" w:space="4"/>
        </w:pBdr>
        <w:spacing w:after="160" w:before="320"/>
      </w:pPr>
      <w:r>
        <w:rPr>
          <w:b/>
          <w:bCs/>
          <w:color w:val="1B2A4A"/>
          <w:sz w:val="26"/>
          <w:szCs w:val="26"/>
        </w:rPr>
        <w:t xml:space="preserve">4. Lawful processing framework</w:t>
      </w:r>
    </w:p>
    <w:p>
      <w:pPr>
        <w:spacing w:after="140" w:line="276"/>
        <w:jc w:val="both"/>
      </w:pPr>
      <w:r>
        <w:rPr>
          <w:b/>
          <w:bCs/>
          <w:sz w:val="22"/>
          <w:szCs w:val="22"/>
        </w:rPr>
        <w:t xml:space="preserve">4.1 Consent (Section 6):  </w:t>
      </w:r>
      <w:r>
        <w:rPr>
          <w:sz w:val="22"/>
          <w:szCs w:val="22"/>
        </w:rPr>
        <w:t xml:space="preserve">Must be free, specific, informed, unconditional and unambiguous with clear affirmative action. Consent requests presented in plain language in English and Hindi.</w:t>
      </w:r>
    </w:p>
    <w:p>
      <w:pPr>
        <w:spacing w:after="140" w:line="276"/>
        <w:jc w:val="both"/>
      </w:pPr>
      <w:r>
        <w:rPr>
          <w:b/>
          <w:bCs/>
          <w:sz w:val="22"/>
          <w:szCs w:val="22"/>
        </w:rPr>
        <w:t xml:space="preserve">4.2 Legitimate uses (Section 7):  </w:t>
      </w:r>
      <w:r>
        <w:rPr>
          <w:sz w:val="22"/>
          <w:szCs w:val="22"/>
        </w:rPr>
        <w:t xml:space="preserve">Documented in RoPA before reliance — includes voluntary provision, state functions, employment, medical emergency and public interest as applicable.</w:t>
      </w:r>
    </w:p>
    <w:p>
      <w:pPr>
        <w:spacing w:after="140" w:line="276"/>
        <w:jc w:val="both"/>
      </w:pPr>
      <w:r>
        <w:rPr>
          <w:b/>
          <w:bCs/>
          <w:sz w:val="22"/>
          <w:szCs w:val="22"/>
        </w:rPr>
        <w:t xml:space="preserve">4.3 Prohibited processing:  </w:t>
      </w:r>
      <w:r>
        <w:rPr>
          <w:sz w:val="22"/>
          <w:szCs w:val="22"/>
        </w:rPr>
        <w:t xml:space="preserve">No processing of children's data for tracking/behavioural advertising; no processing contrary to law; no denial of legal rights.</w:t>
      </w:r>
    </w:p>
    <w:p>
      <w:pPr>
        <w:pBdr>
          <w:bottom w:val="single" w:color="2E5090" w:sz="1" w:space="4"/>
        </w:pBdr>
        <w:spacing w:after="160" w:before="320"/>
      </w:pPr>
      <w:r>
        <w:rPr>
          <w:b/>
          <w:bCs/>
          <w:color w:val="1B2A4A"/>
          <w:sz w:val="26"/>
          <w:szCs w:val="26"/>
        </w:rPr>
        <w:t xml:space="preserve">5. Notice requirements (Section 5)</w:t>
      </w:r>
    </w:p>
    <w:p>
      <w:pPr>
        <w:spacing w:after="160" w:line="276"/>
        <w:jc w:val="both"/>
      </w:pPr>
      <w:r>
        <w:rPr>
          <w:sz w:val="22"/>
          <w:szCs w:val="22"/>
        </w:rPr>
        <w:t xml:space="preserve">Every collection point displays or links to a compliant privacy notice covering: fiduciary identity, personal data collected, purpose, grievance mechanism, and manner of exercising rights. Material changes communicated 15 days in advance.</w:t>
      </w:r>
    </w:p>
    <w:p>
      <w:pPr>
        <w:pBdr>
          <w:bottom w:val="single" w:color="2E5090" w:sz="1" w:space="4"/>
        </w:pBdr>
        <w:spacing w:after="160" w:before="320"/>
      </w:pPr>
      <w:r>
        <w:rPr>
          <w:b/>
          <w:bCs/>
          <w:color w:val="1B2A4A"/>
          <w:sz w:val="26"/>
          <w:szCs w:val="26"/>
        </w:rPr>
        <w:t xml:space="preserve">6. Security safeguards (Rule 6)</w:t>
      </w:r>
    </w:p>
    <w:p>
      <w:pPr>
        <w:pStyle w:val="ListParagraph"/>
        <w:numPr>
          <w:ilvl w:val="0"/>
          <w:numId w:val="1"/>
        </w:numPr>
        <w:spacing w:after="80"/>
        <w:jc w:val="both"/>
      </w:pPr>
      <w:r>
        <w:rPr>
          <w:sz w:val="22"/>
          <w:szCs w:val="22"/>
        </w:rPr>
        <w:t xml:space="preserve">Information Security Policy aligned to ISO 27001 controls</w:t>
      </w:r>
    </w:p>
    <w:p>
      <w:pPr>
        <w:pStyle w:val="ListParagraph"/>
        <w:numPr>
          <w:ilvl w:val="0"/>
          <w:numId w:val="1"/>
        </w:numPr>
        <w:spacing w:after="80"/>
        <w:jc w:val="both"/>
      </w:pPr>
      <w:r>
        <w:rPr>
          <w:sz w:val="22"/>
          <w:szCs w:val="22"/>
        </w:rPr>
        <w:t xml:space="preserve">Encryption, access management, network security, endpoint protection</w:t>
      </w:r>
    </w:p>
    <w:p>
      <w:pPr>
        <w:pStyle w:val="ListParagraph"/>
        <w:numPr>
          <w:ilvl w:val="0"/>
          <w:numId w:val="1"/>
        </w:numPr>
        <w:spacing w:after="80"/>
        <w:jc w:val="both"/>
      </w:pPr>
      <w:r>
        <w:rPr>
          <w:sz w:val="22"/>
          <w:szCs w:val="22"/>
        </w:rPr>
        <w:t xml:space="preserve">Secure SDLC with privacy review for new features processing personal data</w:t>
      </w:r>
    </w:p>
    <w:p>
      <w:pPr>
        <w:pStyle w:val="ListParagraph"/>
        <w:numPr>
          <w:ilvl w:val="0"/>
          <w:numId w:val="1"/>
        </w:numPr>
        <w:spacing w:after="80"/>
        <w:jc w:val="both"/>
      </w:pPr>
      <w:r>
        <w:rPr>
          <w:sz w:val="22"/>
          <w:szCs w:val="22"/>
        </w:rPr>
        <w:t xml:space="preserve">Annual penetration test and continuous vulnerability scanning</w:t>
      </w:r>
    </w:p>
    <w:p>
      <w:pPr>
        <w:pStyle w:val="ListParagraph"/>
        <w:numPr>
          <w:ilvl w:val="0"/>
          <w:numId w:val="1"/>
        </w:numPr>
        <w:spacing w:after="80"/>
        <w:jc w:val="both"/>
      </w:pPr>
      <w:r>
        <w:rPr>
          <w:sz w:val="22"/>
          <w:szCs w:val="22"/>
        </w:rPr>
        <w:t xml:space="preserve">Physical security at Mumbai office and data centre colocation</w:t>
      </w:r>
    </w:p>
    <w:p>
      <w:pPr>
        <w:pBdr>
          <w:bottom w:val="single" w:color="2E5090" w:sz="1" w:space="4"/>
        </w:pBdr>
        <w:spacing w:after="160" w:before="320"/>
      </w:pPr>
      <w:r>
        <w:rPr>
          <w:b/>
          <w:bCs/>
          <w:color w:val="1B2A4A"/>
          <w:sz w:val="26"/>
          <w:szCs w:val="26"/>
        </w:rPr>
        <w:t xml:space="preserve">7. Processor management</w:t>
      </w:r>
    </w:p>
    <w:p>
      <w:pPr>
        <w:spacing w:after="160" w:line="276"/>
        <w:jc w:val="both"/>
      </w:pPr>
      <w:r>
        <w:rPr>
          <w:sz w:val="22"/>
          <w:szCs w:val="22"/>
        </w:rPr>
        <w:t xml:space="preserve">No processor engaged without signed DPA, security assessment and RoPA entry. Sub-processors require prior approval. High-risk vendors subject to on-site or SOC 2 audit review annually.</w:t>
      </w:r>
    </w:p>
    <w:p>
      <w:pPr>
        <w:pBdr>
          <w:bottom w:val="single" w:color="2E5090" w:sz="1" w:space="4"/>
        </w:pBdr>
        <w:spacing w:after="160" w:before="320"/>
      </w:pPr>
      <w:r>
        <w:rPr>
          <w:b/>
          <w:bCs/>
          <w:color w:val="1B2A4A"/>
          <w:sz w:val="26"/>
          <w:szCs w:val="26"/>
        </w:rPr>
        <w:t xml:space="preserve">8. Data Principal rights</w:t>
      </w:r>
    </w:p>
    <w:p>
      <w:pPr>
        <w:spacing w:after="160" w:line="276"/>
        <w:jc w:val="both"/>
      </w:pPr>
      <w:r>
        <w:rPr>
          <w:sz w:val="22"/>
          <w:szCs w:val="22"/>
        </w:rPr>
        <w:t xml:space="preserve">All rights requests routed to grievance@acmedigital.in. Identity verification mandatory. Response within DPDP Rules timelines. Register maintained for 3 years.</w:t>
      </w:r>
    </w:p>
    <w:p>
      <w:pPr>
        <w:pBdr>
          <w:bottom w:val="single" w:color="2E5090" w:sz="1" w:space="4"/>
        </w:pBdr>
        <w:spacing w:after="160" w:before="320"/>
      </w:pPr>
      <w:r>
        <w:rPr>
          <w:b/>
          <w:bCs/>
          <w:color w:val="1B2A4A"/>
          <w:sz w:val="26"/>
          <w:szCs w:val="26"/>
        </w:rPr>
        <w:t xml:space="preserve">9. Breach management (Rule 7)</w:t>
      </w:r>
    </w:p>
    <w:p>
      <w:pPr>
        <w:spacing w:after="160" w:line="276"/>
        <w:jc w:val="both"/>
      </w:pPr>
      <w:r>
        <w:rPr>
          <w:sz w:val="22"/>
          <w:szCs w:val="22"/>
        </w:rPr>
        <w:t xml:space="preserve">All staff must report suspected breaches within 1 hour to security@acmedigital.in. Breach Response Playbook activated. Board notification within 72 hours where required. Post-incident review mandatory.</w:t>
      </w:r>
    </w:p>
    <w:p>
      <w:pPr>
        <w:pBdr>
          <w:bottom w:val="single" w:color="2E5090" w:sz="1" w:space="4"/>
        </w:pBdr>
        <w:spacing w:after="160" w:before="320"/>
      </w:pPr>
      <w:r>
        <w:rPr>
          <w:b/>
          <w:bCs/>
          <w:color w:val="1B2A4A"/>
          <w:sz w:val="26"/>
          <w:szCs w:val="26"/>
        </w:rPr>
        <w:t xml:space="preserve">10. Training</w:t>
      </w:r>
    </w:p>
    <w:p>
      <w:pPr>
        <w:spacing w:after="160" w:line="276"/>
        <w:jc w:val="both"/>
      </w:pPr>
      <w:r>
        <w:rPr>
          <w:sz w:val="22"/>
          <w:szCs w:val="22"/>
        </w:rPr>
        <w:t xml:space="preserve">Mandatory induction training within 14 days of joining; annual refresher; specialised training for Engineering, HR, Marketing and Customer Support. Completion tracked in LMS.</w:t>
      </w:r>
    </w:p>
    <w:p>
      <w:pPr>
        <w:pBdr>
          <w:bottom w:val="single" w:color="2E5090" w:sz="1" w:space="4"/>
        </w:pBdr>
        <w:spacing w:after="160" w:before="320"/>
      </w:pPr>
      <w:r>
        <w:rPr>
          <w:b/>
          <w:bCs/>
          <w:color w:val="1B2A4A"/>
          <w:sz w:val="26"/>
          <w:szCs w:val="26"/>
        </w:rPr>
        <w:t xml:space="preserve">11. Significant Data Fiduciary obligations</w:t>
      </w:r>
    </w:p>
    <w:p>
      <w:pPr>
        <w:spacing w:after="160" w:line="276"/>
        <w:jc w:val="both"/>
      </w:pPr>
      <w:r>
        <w:rPr>
          <w:sz w:val="22"/>
          <w:szCs w:val="22"/>
        </w:rPr>
        <w:t xml:space="preserve">If Acme is notified as a Significant Data Fiduciary under Section 10: appoint independent Data Protection Officer, conduct periodic DPIA, appoint India-based consent manager if applicable, and comply with additional audit requirements.</w:t>
      </w:r>
    </w:p>
    <w:p>
      <w:pPr>
        <w:pBdr>
          <w:bottom w:val="single" w:color="2E5090" w:sz="1" w:space="4"/>
        </w:pBdr>
        <w:spacing w:after="160" w:before="320"/>
      </w:pPr>
      <w:r>
        <w:rPr>
          <w:b/>
          <w:bCs/>
          <w:color w:val="1B2A4A"/>
          <w:sz w:val="26"/>
          <w:szCs w:val="26"/>
        </w:rPr>
        <w:t xml:space="preserve">12. Disciplinary action</w:t>
      </w:r>
    </w:p>
    <w:p>
      <w:pPr>
        <w:spacing w:after="160" w:line="276"/>
        <w:jc w:val="both"/>
      </w:pPr>
      <w:r>
        <w:rPr>
          <w:sz w:val="22"/>
          <w:szCs w:val="22"/>
        </w:rPr>
        <w:t xml:space="preserve">Violation of this policy may result in disciplinary action up to and including termination, without prejudice to penalties under the DPDP Act Schedule and civil or criminal liability.</w:t>
      </w:r>
    </w:p>
    <w:p>
      <w:pPr>
        <w:pBdr>
          <w:bottom w:val="single" w:color="CCCCCC" w:sz="1"/>
        </w:pBdr>
        <w:spacing w:after="200" w:before="200"/>
      </w:pPr>
    </w:p>
    <w:p>
      <w:pPr>
        <w:pBdr>
          <w:bottom w:val="single" w:color="2E5090" w:sz="1" w:space="4"/>
        </w:pBdr>
        <w:spacing w:after="160" w:before="320"/>
      </w:pPr>
      <w:r>
        <w:rPr>
          <w:b/>
          <w:bCs/>
          <w:color w:val="1B2A4A"/>
          <w:sz w:val="26"/>
          <w:szCs w:val="26"/>
        </w:rPr>
        <w:t xml:space="preserve">Document approval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Role</w:t>
            </w:r>
          </w:p>
        </w:tc>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Name</w:t>
            </w:r>
          </w:p>
        </w:tc>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Signature</w:t>
            </w:r>
          </w:p>
        </w:tc>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Date</w:t>
            </w:r>
          </w:p>
        </w:tc>
      </w:tr>
      <w:tr>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Prepared by</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Compliance Team</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
            </w:r>
          </w:p>
        </w:tc>
      </w:tr>
      <w:tr>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Reviewed by</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Priya Sharma, Grievance Officer</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
            </w:r>
          </w:p>
        </w:tc>
      </w:tr>
      <w:tr>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Approved by</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Rahul Mehta, Chief Compliance Officer</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
            </w:r>
          </w:p>
        </w:tc>
      </w:tr>
    </w:tbl>
    <w:p>
      <w:pPr>
        <w:spacing w:after="220" w:line="276"/>
        <w:jc w:val="both"/>
      </w:pPr>
      <w:r>
        <w:rPr>
          <w:sz w:val="22"/>
          <w:szCs w:val="22"/>
        </w:rPr>
        <w:t xml:space="preserve"/>
      </w:r>
    </w:p>
    <w:p>
      <w:pPr>
        <w:pBdr>
          <w:bottom w:val="single" w:color="CCCCCC" w:sz="1"/>
        </w:pBdr>
        <w:spacing w:after="200" w:before="200"/>
      </w:pPr>
    </w:p>
    <w:p>
      <w:pPr>
        <w:spacing w:before="200"/>
        <w:jc w:val="center"/>
      </w:pPr>
      <w:r>
        <w:rPr>
          <w:i/>
          <w:iCs/>
          <w:color w:val="666666"/>
          <w:sz w:val="18"/>
          <w:szCs w:val="18"/>
        </w:rPr>
        <w:t xml:space="preserve">End of document. This template is provided for educational purposes and does not constitute legal advice.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Acme Digital Solutions Private Limited  —  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090" w:sz="2" w:space="1"/>
      </w:pBdr>
      <w:spacing w:after="120"/>
    </w:pPr>
    <w:r>
      <w:rPr>
        <w:b/>
        <w:bCs/>
        <w:color w:val="1B2A4A"/>
        <w:sz w:val="18"/>
        <w:szCs w:val="18"/>
      </w:rPr>
      <w:t xml:space="preserve">Acme Digital Solutions Private Limited</w:t>
    </w:r>
    <w:r>
      <w:rPr>
        <w:color w:val="888888"/>
        <w:sz w:val="16"/>
        <w:szCs w:val="16"/>
      </w:rPr>
      <w:t xml:space="preserve">   |   U72900MH2019PTC328417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2026-07-05T20:39:54.907Z</dcterms:created>
  <dcterms:modified xsi:type="dcterms:W3CDTF">2026-07-05T20:39:54.907Z</dcterms:modified>
</cp:coreProperties>
</file>

<file path=docProps/custom.xml><?xml version="1.0" encoding="utf-8"?>
<Properties xmlns="http://schemas.openxmlformats.org/officeDocument/2006/custom-properties" xmlns:vt="http://schemas.openxmlformats.org/officeDocument/2006/docPropsVTypes"/>
</file>