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color w:val="1B2A4A"/>
          <w:sz w:val="36"/>
          <w:szCs w:val="36"/>
        </w:rPr>
        <w:t xml:space="preserve">Employee Personal Data Protection Policy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5090" w:sz="1"/>
              <w:left w:val="single" w:color="BFBFBF" w:sz="1"/>
              <w:bottom w:val="single" w:color="BFBFBF" w:sz="1"/>
              <w:right w:val="single" w:color="BFBFBF" w:sz="1"/>
            </w:tcBorders>
            <w:shd w:fill="F5F5F5" w:val="clear"/>
            <w:tcMar>
              <w:top w:type="dxa" w:w="120"/>
              <w:left w:type="dxa" w:w="160"/>
              <w:bottom w:type="dxa" w:w="120"/>
              <w:right w:type="dxa" w:w="160"/>
            </w:tcMar>
          </w:tcPr>
          <w:p>
            <w:pPr>
              <w:jc w:val="both"/>
            </w:pPr>
            <w:r>
              <w:rPr>
                <w:b/>
                <w:bCs/>
                <w:sz w:val="18"/>
                <w:szCs w:val="18"/>
              </w:rPr>
              <w:t xml:space="preserve">Notice.  </w:t>
            </w:r>
            <w:r>
              <w:rPr>
                <w:i/>
                <w:iCs/>
                <w:color w:val="444444"/>
                <w:sz w:val="18"/>
                <w:szCs w:val="18"/>
              </w:rPr>
              <w:t xml:space="preserve">CONFIDENTIAL TEMPLATE — This document contains sample organisational details for illustration only. Replace all references to Acme Digital Solutions Private Limited with your entity's particulars and obtain qualified legal review before execution or publication.</w:t>
            </w:r>
          </w:p>
        </w:tc>
      </w:tr>
    </w:tbl>
    <w:p>
      <w:pPr>
        <w:spacing w:after="280" w:line="276"/>
        <w:jc w:val="both"/>
      </w:pPr>
      <w:r>
        <w:rPr>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Document reference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ACME-POL-005</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Document title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Employee Personal Data Protection Policy</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Version</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2.0</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Classification</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Internal</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Document owner</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Human Resources</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Effective date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01 April 2026</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Next scheduled review</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01 April 2027</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Applicable law</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DPDP Act, 2023 · DPDP Rules, 2025</w:t>
            </w:r>
          </w:p>
        </w:tc>
      </w:tr>
    </w:tbl>
    <w:p>
      <w:pPr>
        <w:spacing w:after="240" w:line="276"/>
        <w:jc w:val="both"/>
      </w:pPr>
      <w:r>
        <w:rPr>
          <w:sz w:val="22"/>
          <w:szCs w:val="22"/>
        </w:rPr>
        <w:t xml:space="preserve"/>
      </w:r>
    </w:p>
    <w:p>
      <w:pPr>
        <w:pBdr>
          <w:bottom w:val="single" w:color="2E5090" w:sz="1" w:space="4"/>
        </w:pBdr>
        <w:spacing w:after="160" w:before="320"/>
      </w:pPr>
      <w:r>
        <w:rPr>
          <w:b/>
          <w:bCs/>
          <w:color w:val="1B2A4A"/>
          <w:sz w:val="26"/>
          <w:szCs w:val="26"/>
        </w:rPr>
        <w:t xml:space="preserve">1. Purpose and scope</w:t>
      </w:r>
    </w:p>
    <w:p>
      <w:pPr>
        <w:spacing w:after="160" w:line="276"/>
        <w:jc w:val="both"/>
      </w:pPr>
      <w:r>
        <w:rPr>
          <w:sz w:val="22"/>
          <w:szCs w:val="22"/>
        </w:rPr>
        <w:t xml:space="preserve">Covers personal data of employees, interns, contractors and job applicants processed by Acme's HR, IT, Facilities and Security functions.</w:t>
      </w:r>
    </w:p>
    <w:p>
      <w:pPr>
        <w:pBdr>
          <w:bottom w:val="single" w:color="2E5090" w:sz="1" w:space="4"/>
        </w:pBdr>
        <w:spacing w:after="160" w:before="320"/>
      </w:pPr>
      <w:r>
        <w:rPr>
          <w:b/>
          <w:bCs/>
          <w:color w:val="1B2A4A"/>
          <w:sz w:val="26"/>
          <w:szCs w:val="26"/>
        </w:rPr>
        <w:t xml:space="preserve">2. Categories processed</w:t>
      </w:r>
    </w:p>
    <w:p>
      <w:pPr>
        <w:pStyle w:val="ListParagraph"/>
        <w:numPr>
          <w:ilvl w:val="0"/>
          <w:numId w:val="1"/>
        </w:numPr>
        <w:spacing w:after="80"/>
        <w:jc w:val="both"/>
      </w:pPr>
      <w:r>
        <w:rPr>
          <w:sz w:val="22"/>
          <w:szCs w:val="22"/>
        </w:rPr>
        <w:t xml:space="preserve">Identity: name, photograph, date of birth, gender, father's name</w:t>
      </w:r>
    </w:p>
    <w:p>
      <w:pPr>
        <w:pStyle w:val="ListParagraph"/>
        <w:numPr>
          <w:ilvl w:val="0"/>
          <w:numId w:val="1"/>
        </w:numPr>
        <w:spacing w:after="80"/>
        <w:jc w:val="both"/>
      </w:pPr>
      <w:r>
        <w:rPr>
          <w:sz w:val="22"/>
          <w:szCs w:val="22"/>
        </w:rPr>
        <w:t xml:space="preserve">Government IDs: PAN, Aadhaar (only as permitted for EPFO/TDS), passport</w:t>
      </w:r>
    </w:p>
    <w:p>
      <w:pPr>
        <w:pStyle w:val="ListParagraph"/>
        <w:numPr>
          <w:ilvl w:val="0"/>
          <w:numId w:val="1"/>
        </w:numPr>
        <w:spacing w:after="80"/>
        <w:jc w:val="both"/>
      </w:pPr>
      <w:r>
        <w:rPr>
          <w:sz w:val="22"/>
          <w:szCs w:val="22"/>
        </w:rPr>
        <w:t xml:space="preserve">Contact: address, personal phone, emergency contacts</w:t>
      </w:r>
    </w:p>
    <w:p>
      <w:pPr>
        <w:pStyle w:val="ListParagraph"/>
        <w:numPr>
          <w:ilvl w:val="0"/>
          <w:numId w:val="1"/>
        </w:numPr>
        <w:spacing w:after="80"/>
        <w:jc w:val="both"/>
      </w:pPr>
      <w:r>
        <w:rPr>
          <w:sz w:val="22"/>
          <w:szCs w:val="22"/>
        </w:rPr>
        <w:t xml:space="preserve">Employment: offer letter, compensation, performance reviews, disciplinary records</w:t>
      </w:r>
    </w:p>
    <w:p>
      <w:pPr>
        <w:pStyle w:val="ListParagraph"/>
        <w:numPr>
          <w:ilvl w:val="0"/>
          <w:numId w:val="1"/>
        </w:numPr>
        <w:spacing w:after="80"/>
        <w:jc w:val="both"/>
      </w:pPr>
      <w:r>
        <w:rPr>
          <w:sz w:val="22"/>
          <w:szCs w:val="22"/>
        </w:rPr>
        <w:t xml:space="preserve">Technical: laptop asset ID, badge access logs, email metadata</w:t>
      </w:r>
    </w:p>
    <w:p>
      <w:pPr>
        <w:pStyle w:val="ListParagraph"/>
        <w:numPr>
          <w:ilvl w:val="0"/>
          <w:numId w:val="1"/>
        </w:numPr>
        <w:spacing w:after="80"/>
        <w:jc w:val="both"/>
      </w:pPr>
      <w:r>
        <w:rPr>
          <w:sz w:val="22"/>
          <w:szCs w:val="22"/>
        </w:rPr>
        <w:t xml:space="preserve">Special: medical fitness (pre-employment only), background verification results</w:t>
      </w:r>
    </w:p>
    <w:p>
      <w:pPr>
        <w:pBdr>
          <w:bottom w:val="single" w:color="2E5090" w:sz="1" w:space="4"/>
        </w:pBdr>
        <w:spacing w:after="160" w:before="320"/>
      </w:pPr>
      <w:r>
        <w:rPr>
          <w:b/>
          <w:bCs/>
          <w:color w:val="1B2A4A"/>
          <w:sz w:val="26"/>
          <w:szCs w:val="26"/>
        </w:rPr>
        <w:t xml:space="preserve">3. Lawful basis</w:t>
      </w:r>
    </w:p>
    <w:p>
      <w:pPr>
        <w:spacing w:after="160" w:line="276"/>
        <w:jc w:val="both"/>
      </w:pPr>
      <w:r>
        <w:rPr>
          <w:sz w:val="22"/>
          <w:szCs w:val="22"/>
        </w:rPr>
        <w:t xml:space="preserve">Primary basis: Section 7 legitimate use for employment. Separate consent for: wellness programme health data, use of photograph on company website, and reference checks beyond standard verification.</w:t>
      </w:r>
    </w:p>
    <w:p>
      <w:pPr>
        <w:pBdr>
          <w:bottom w:val="single" w:color="2E5090" w:sz="1" w:space="4"/>
        </w:pBdr>
        <w:spacing w:after="160" w:before="320"/>
      </w:pPr>
      <w:r>
        <w:rPr>
          <w:b/>
          <w:bCs/>
          <w:color w:val="1B2A4A"/>
          <w:sz w:val="26"/>
          <w:szCs w:val="26"/>
        </w:rPr>
        <w:t xml:space="preserve">4. Workplace monitoring</w:t>
      </w:r>
    </w:p>
    <w:p>
      <w:pPr>
        <w:pStyle w:val="ListParagraph"/>
        <w:numPr>
          <w:ilvl w:val="0"/>
          <w:numId w:val="1"/>
        </w:numPr>
        <w:spacing w:after="80"/>
        <w:jc w:val="both"/>
      </w:pPr>
      <w:r>
        <w:rPr>
          <w:sz w:val="22"/>
          <w:szCs w:val="22"/>
        </w:rPr>
        <w:t xml:space="preserve">CCTV in entry, exit and common areas — not in restrooms or prayer rooms; signage displayed</w:t>
      </w:r>
    </w:p>
    <w:p>
      <w:pPr>
        <w:pStyle w:val="ListParagraph"/>
        <w:numPr>
          <w:ilvl w:val="0"/>
          <w:numId w:val="1"/>
        </w:numPr>
        <w:spacing w:after="80"/>
        <w:jc w:val="both"/>
      </w:pPr>
      <w:r>
        <w:rPr>
          <w:sz w:val="22"/>
          <w:szCs w:val="22"/>
        </w:rPr>
        <w:t xml:space="preserve">Company laptop usage monitored for security (websites, DLP) — notified in employment contract</w:t>
      </w:r>
    </w:p>
    <w:p>
      <w:pPr>
        <w:pStyle w:val="ListParagraph"/>
        <w:numPr>
          <w:ilvl w:val="0"/>
          <w:numId w:val="1"/>
        </w:numPr>
        <w:spacing w:after="80"/>
        <w:jc w:val="both"/>
      </w:pPr>
      <w:r>
        <w:rPr>
          <w:sz w:val="22"/>
          <w:szCs w:val="22"/>
        </w:rPr>
        <w:t xml:space="preserve">BYOD not permitted for accessing production customer data</w:t>
      </w:r>
    </w:p>
    <w:p>
      <w:pPr>
        <w:pStyle w:val="ListParagraph"/>
        <w:numPr>
          <w:ilvl w:val="0"/>
          <w:numId w:val="1"/>
        </w:numPr>
        <w:spacing w:after="80"/>
        <w:jc w:val="both"/>
      </w:pPr>
      <w:r>
        <w:rPr>
          <w:sz w:val="22"/>
          <w:szCs w:val="22"/>
        </w:rPr>
        <w:t xml:space="preserve">Biometric attendance at Mumbai office — alternative manual sign-in available</w:t>
      </w:r>
    </w:p>
    <w:p>
      <w:pPr>
        <w:pBdr>
          <w:bottom w:val="single" w:color="2E5090" w:sz="1" w:space="4"/>
        </w:pBdr>
        <w:spacing w:after="160" w:before="320"/>
      </w:pPr>
      <w:r>
        <w:rPr>
          <w:b/>
          <w:bCs/>
          <w:color w:val="1B2A4A"/>
          <w:sz w:val="26"/>
          <w:szCs w:val="26"/>
        </w:rPr>
        <w:t xml:space="preserve">5. Sharing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Recipient</w:t>
            </w:r>
          </w:p>
        </w:tc>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Purpose</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PeopleStrong HR Services Pvt. Ltd.</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Payroll processing</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EPFO / ESIC / Income Tax Department</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Statutory filings</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Group health insurer</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Medical claims</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Background verification agency</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Pre-employment checks</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Acme Digital Pte. Ltd. (Singapore)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Group HR reporting — S.16 safeguards</w:t>
            </w:r>
          </w:p>
        </w:tc>
      </w:tr>
    </w:tbl>
    <w:p>
      <w:pPr>
        <w:spacing w:after="220" w:line="276"/>
        <w:jc w:val="both"/>
      </w:pPr>
      <w:r>
        <w:rPr>
          <w:sz w:val="22"/>
          <w:szCs w:val="22"/>
        </w:rPr>
        <w:t xml:space="preserve"/>
      </w:r>
    </w:p>
    <w:p>
      <w:pPr>
        <w:pBdr>
          <w:bottom w:val="single" w:color="2E5090" w:sz="1" w:space="4"/>
        </w:pBdr>
        <w:spacing w:after="160" w:before="320"/>
      </w:pPr>
      <w:r>
        <w:rPr>
          <w:b/>
          <w:bCs/>
          <w:color w:val="1B2A4A"/>
          <w:sz w:val="26"/>
          <w:szCs w:val="26"/>
        </w:rPr>
        <w:t xml:space="preserve">6. Retention</w:t>
      </w:r>
    </w:p>
    <w:p>
      <w:pPr>
        <w:spacing w:after="160" w:line="276"/>
        <w:jc w:val="both"/>
      </w:pPr>
      <w:r>
        <w:rPr>
          <w:sz w:val="22"/>
          <w:szCs w:val="22"/>
        </w:rPr>
        <w:t xml:space="preserve">Active employment: duration of relationship. Post-exit: personnel file 3 years; payroll/statutory 6–8 years; exit interview notes 2 years; unsuccessful applicant data 12 months.</w:t>
      </w:r>
    </w:p>
    <w:p>
      <w:pPr>
        <w:pBdr>
          <w:bottom w:val="single" w:color="2E5090" w:sz="1" w:space="4"/>
        </w:pBdr>
        <w:spacing w:after="160" w:before="320"/>
      </w:pPr>
      <w:r>
        <w:rPr>
          <w:b/>
          <w:bCs/>
          <w:color w:val="1B2A4A"/>
          <w:sz w:val="26"/>
          <w:szCs w:val="26"/>
        </w:rPr>
        <w:t xml:space="preserve">7. Employee rights</w:t>
      </w:r>
    </w:p>
    <w:p>
      <w:pPr>
        <w:spacing w:after="160" w:line="276"/>
        <w:jc w:val="both"/>
      </w:pPr>
      <w:r>
        <w:rPr>
          <w:sz w:val="22"/>
          <w:szCs w:val="22"/>
        </w:rPr>
        <w:t xml:space="preserve">Access and correction requests to hr@acmedigital.in. Grievances to grievance@acmedigital.in. Same rights as Data Principals under the DPDP Act.</w:t>
      </w:r>
    </w:p>
    <w:p>
      <w:pPr>
        <w:pBdr>
          <w:bottom w:val="single" w:color="2E5090" w:sz="1" w:space="4"/>
        </w:pBdr>
        <w:spacing w:after="160" w:before="320"/>
      </w:pPr>
      <w:r>
        <w:rPr>
          <w:b/>
          <w:bCs/>
          <w:color w:val="1B2A4A"/>
          <w:sz w:val="26"/>
          <w:szCs w:val="26"/>
        </w:rPr>
        <w:t xml:space="preserve">8. Exit procedure</w:t>
      </w:r>
    </w:p>
    <w:p>
      <w:pPr>
        <w:pStyle w:val="ListParagraph"/>
        <w:numPr>
          <w:ilvl w:val="0"/>
          <w:numId w:val="1"/>
        </w:numPr>
        <w:spacing w:after="80"/>
        <w:jc w:val="both"/>
      </w:pPr>
      <w:r>
        <w:rPr>
          <w:sz w:val="22"/>
          <w:szCs w:val="22"/>
        </w:rPr>
        <w:t xml:space="preserve">IT access revoked on last working day by 6 PM IST</w:t>
      </w:r>
    </w:p>
    <w:p>
      <w:pPr>
        <w:pStyle w:val="ListParagraph"/>
        <w:numPr>
          <w:ilvl w:val="0"/>
          <w:numId w:val="1"/>
        </w:numPr>
        <w:spacing w:after="80"/>
        <w:jc w:val="both"/>
      </w:pPr>
      <w:r>
        <w:rPr>
          <w:sz w:val="22"/>
          <w:szCs w:val="22"/>
        </w:rPr>
        <w:t xml:space="preserve">Laptop and badge returned; mobile device wiped if enrolled in MDM</w:t>
      </w:r>
    </w:p>
    <w:p>
      <w:pPr>
        <w:pStyle w:val="ListParagraph"/>
        <w:numPr>
          <w:ilvl w:val="0"/>
          <w:numId w:val="1"/>
        </w:numPr>
        <w:spacing w:after="80"/>
        <w:jc w:val="both"/>
      </w:pPr>
      <w:r>
        <w:rPr>
          <w:sz w:val="22"/>
          <w:szCs w:val="22"/>
        </w:rPr>
        <w:t xml:space="preserve">HRIS marked inactive; data retention per schedule above</w:t>
      </w:r>
    </w:p>
    <w:p>
      <w:pPr>
        <w:pBdr>
          <w:bottom w:val="single" w:color="CCCCCC" w:sz="1"/>
        </w:pBdr>
        <w:spacing w:after="200" w:before="200"/>
      </w:pPr>
    </w:p>
    <w:p>
      <w:pPr>
        <w:pBdr>
          <w:bottom w:val="single" w:color="2E5090" w:sz="1" w:space="4"/>
        </w:pBdr>
        <w:spacing w:after="160" w:before="320"/>
      </w:pPr>
      <w:r>
        <w:rPr>
          <w:b/>
          <w:bCs/>
          <w:color w:val="1B2A4A"/>
          <w:sz w:val="26"/>
          <w:szCs w:val="26"/>
        </w:rPr>
        <w:t xml:space="preserve">Document approval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Role</w:t>
            </w:r>
          </w:p>
        </w:tc>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Name</w:t>
            </w:r>
          </w:p>
        </w:tc>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Signature</w:t>
            </w:r>
          </w:p>
        </w:tc>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Date</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Prepared by</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Compliance Team</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Reviewed by</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Priya Sharma, Grievance Officer</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Approved by</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Rahul Mehta, Chief Compliance Officer</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
            </w:r>
          </w:p>
        </w:tc>
      </w:tr>
    </w:tbl>
    <w:p>
      <w:pPr>
        <w:spacing w:after="220" w:line="276"/>
        <w:jc w:val="both"/>
      </w:pPr>
      <w:r>
        <w:rPr>
          <w:sz w:val="22"/>
          <w:szCs w:val="22"/>
        </w:rPr>
        <w:t xml:space="preserve"/>
      </w:r>
    </w:p>
    <w:p>
      <w:pPr>
        <w:pBdr>
          <w:bottom w:val="single" w:color="CCCCCC" w:sz="1"/>
        </w:pBdr>
        <w:spacing w:after="200" w:before="200"/>
      </w:pPr>
    </w:p>
    <w:p>
      <w:pPr>
        <w:spacing w:before="200"/>
        <w:jc w:val="center"/>
      </w:pPr>
      <w:r>
        <w:rPr>
          <w:i/>
          <w:iCs/>
          <w:color w:val="666666"/>
          <w:sz w:val="18"/>
          <w:szCs w:val="18"/>
        </w:rPr>
        <w:t xml:space="preserve">End of document. This template is provided for educational purposes and does not constitute legal advice.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Acme Digital Solutions Private Limited  —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2" w:space="1"/>
      </w:pBdr>
      <w:spacing w:after="120"/>
    </w:pPr>
    <w:r>
      <w:rPr>
        <w:b/>
        <w:bCs/>
        <w:color w:val="1B2A4A"/>
        <w:sz w:val="18"/>
        <w:szCs w:val="18"/>
      </w:rPr>
      <w:t xml:space="preserve">Acme Digital Solutions Private Limited</w:t>
    </w:r>
    <w:r>
      <w:rPr>
        <w:color w:val="888888"/>
        <w:sz w:val="16"/>
        <w:szCs w:val="16"/>
      </w:rPr>
      <w:t xml:space="preserve">   |   U72900MH2019PTC328417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2026-07-05T20:39:55.029Z</dcterms:created>
  <dcterms:modified xsi:type="dcterms:W3CDTF">2026-07-05T20:39:55.029Z</dcterms:modified>
</cp:coreProperties>
</file>

<file path=docProps/custom.xml><?xml version="1.0" encoding="utf-8"?>
<Properties xmlns="http://schemas.openxmlformats.org/officeDocument/2006/custom-properties" xmlns:vt="http://schemas.openxmlformats.org/officeDocument/2006/docPropsVTypes"/>
</file>