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Privacy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ACME-POL-001</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Privacy Policy</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Public</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 &amp; 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Acme Digital Solutions Private Limited ("Acme Digital", "Company", "we", "us", "our"), CIN U72900MH2019PTC328417, is the Data Fiduciary for personal data processed through https://www.acmedigital.in, the Acme mobile application and associated business channels.</w:t>
      </w:r>
    </w:p>
    <w:p>
      <w:pPr>
        <w:spacing w:after="160" w:line="276"/>
        <w:jc w:val="both"/>
      </w:pPr>
      <w:r>
        <w:rPr>
          <w:sz w:val="22"/>
          <w:szCs w:val="22"/>
        </w:rPr>
        <w:t xml:space="preserve">This Privacy Policy constitutes the itemised notice required under Section 5 of the Act. It describes the categories of personal data collected, the purposes of processing, the rights available to Data Principals and the mechanism for grievance redressal.</w:t>
      </w:r>
    </w:p>
    <w:p>
      <w:pPr>
        <w:pBdr>
          <w:bottom w:val="single" w:color="2E5090" w:sz="1" w:space="4"/>
        </w:pBdr>
        <w:spacing w:after="160" w:before="320"/>
      </w:pPr>
      <w:r>
        <w:rPr>
          <w:b/>
          <w:bCs/>
          <w:color w:val="1B2A4A"/>
          <w:sz w:val="26"/>
          <w:szCs w:val="26"/>
        </w:rPr>
        <w:t xml:space="preserve">1. Introduction and scope</w:t>
      </w:r>
    </w:p>
    <w:p>
      <w:pPr>
        <w:spacing w:after="160" w:line="276"/>
        <w:jc w:val="both"/>
      </w:pPr>
      <w:r>
        <w:rPr>
          <w:sz w:val="22"/>
          <w:szCs w:val="22"/>
        </w:rPr>
        <w:t xml:space="preserve">This Policy applies to personal data collected through the Platform, at industry events, through sales and support channels, and from business partners. It does not apply to anonymised data or third-party websites governed by separate privacy notices.</w:t>
      </w:r>
    </w:p>
    <w:p>
      <w:pPr>
        <w:pBdr>
          <w:bottom w:val="single" w:color="2E5090" w:sz="1" w:space="4"/>
        </w:pBdr>
        <w:spacing w:after="160" w:before="320"/>
      </w:pPr>
      <w:r>
        <w:rPr>
          <w:b/>
          <w:bCs/>
          <w:color w:val="1B2A4A"/>
          <w:sz w:val="26"/>
          <w:szCs w:val="26"/>
        </w:rPr>
        <w:t xml:space="preserve">2. Definitions and interpretation</w:t>
      </w:r>
    </w:p>
    <w:p>
      <w:pPr>
        <w:pStyle w:val="ListParagraph"/>
        <w:numPr>
          <w:ilvl w:val="0"/>
          <w:numId w:val="1"/>
        </w:numPr>
        <w:spacing w:after="80"/>
        <w:jc w:val="both"/>
      </w:pPr>
      <w:r>
        <w:rPr>
          <w:sz w:val="22"/>
          <w:szCs w:val="22"/>
        </w:rPr>
        <w:t xml:space="preserve">"Personal data" means any data about an individual who is identifiable by or in relation to such data (Section 2(t), DPDP Act).</w:t>
      </w:r>
    </w:p>
    <w:p>
      <w:pPr>
        <w:pStyle w:val="ListParagraph"/>
        <w:numPr>
          <w:ilvl w:val="0"/>
          <w:numId w:val="1"/>
        </w:numPr>
        <w:spacing w:after="80"/>
        <w:jc w:val="both"/>
      </w:pPr>
      <w:r>
        <w:rPr>
          <w:sz w:val="22"/>
          <w:szCs w:val="22"/>
        </w:rPr>
        <w:t xml:space="preserve">"Processing" means an automated operation or series of operations performed on digital personal data (Section 2(v)).</w:t>
      </w:r>
    </w:p>
    <w:p>
      <w:pPr>
        <w:pStyle w:val="ListParagraph"/>
        <w:numPr>
          <w:ilvl w:val="0"/>
          <w:numId w:val="1"/>
        </w:numPr>
        <w:spacing w:after="80"/>
        <w:jc w:val="both"/>
      </w:pPr>
      <w:r>
        <w:rPr>
          <w:sz w:val="22"/>
          <w:szCs w:val="22"/>
        </w:rPr>
        <w:t xml:space="preserve">"Data Principal" means the individual to whom the personal data relates (Section 2(j)).</w:t>
      </w:r>
    </w:p>
    <w:p>
      <w:pPr>
        <w:pStyle w:val="ListParagraph"/>
        <w:numPr>
          <w:ilvl w:val="0"/>
          <w:numId w:val="1"/>
        </w:numPr>
        <w:spacing w:after="80"/>
        <w:jc w:val="both"/>
      </w:pPr>
      <w:r>
        <w:rPr>
          <w:sz w:val="22"/>
          <w:szCs w:val="22"/>
        </w:rPr>
        <w:t xml:space="preserve">"Data Fiduciary" means any person who alone or in conjunction with others determines the purpose and means of processing (Section 2(i)).</w:t>
      </w:r>
    </w:p>
    <w:p>
      <w:pPr>
        <w:pStyle w:val="ListParagraph"/>
        <w:numPr>
          <w:ilvl w:val="0"/>
          <w:numId w:val="1"/>
        </w:numPr>
        <w:spacing w:after="80"/>
        <w:jc w:val="both"/>
      </w:pPr>
      <w:r>
        <w:rPr>
          <w:sz w:val="22"/>
          <w:szCs w:val="22"/>
        </w:rPr>
        <w:t xml:space="preserve">"Data Processor" means any person who processes personal data on behalf of a Data Fiduciary (Section 2(k)).</w:t>
      </w:r>
    </w:p>
    <w:p>
      <w:pPr>
        <w:pBdr>
          <w:bottom w:val="single" w:color="2E5090" w:sz="1" w:space="4"/>
        </w:pBdr>
        <w:spacing w:after="160" w:before="320"/>
      </w:pPr>
      <w:r>
        <w:rPr>
          <w:b/>
          <w:bCs/>
          <w:color w:val="1B2A4A"/>
          <w:sz w:val="26"/>
          <w:szCs w:val="26"/>
        </w:rPr>
        <w:t xml:space="preserve">3. Contact details and Grievance Officer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Details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Fiduciary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 Digital Solutions Private Limited, Unit 402, Peninsula Business Park, Senapati Bapat Marg, Lower Parel, Mumbai 400013, Maharashtra, India</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Privacy enquiries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privacy@acmedigital.in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Grievance Officer (Section 13)</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Priya Sharma — grievance@acmedigital.in — +91 22 4890 2100</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Protection Lead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4. Scope</w:t>
      </w:r>
    </w:p>
    <w:p>
      <w:pPr>
        <w:spacing w:after="160" w:line="276"/>
        <w:jc w:val="both"/>
      </w:pPr>
      <w:r>
        <w:rPr>
          <w:sz w:val="22"/>
          <w:szCs w:val="22"/>
        </w:rPr>
        <w:t xml:space="preserve">This policy applies to personal data we collect through the Platform, at industry events, through our sales and support channels, and from business partners. It does not apply to anonymised or non-personal data, or to third-party websites linked from our Platform (those have their own policies).</w:t>
      </w:r>
    </w:p>
    <w:p>
      <w:pPr>
        <w:pBdr>
          <w:bottom w:val="single" w:color="2E5090" w:sz="1" w:space="4"/>
        </w:pBdr>
        <w:spacing w:after="160" w:before="320"/>
      </w:pPr>
      <w:r>
        <w:rPr>
          <w:b/>
          <w:bCs/>
          <w:color w:val="1B2A4A"/>
          <w:sz w:val="26"/>
          <w:szCs w:val="26"/>
        </w:rPr>
        <w:t xml:space="preserve">5. Personal data we collect</w:t>
      </w:r>
    </w:p>
    <w:p>
      <w:pPr>
        <w:spacing w:after="120" w:before="220"/>
      </w:pPr>
      <w:r>
        <w:rPr>
          <w:b/>
          <w:bCs/>
          <w:color w:val="333333"/>
          <w:sz w:val="24"/>
          <w:szCs w:val="24"/>
        </w:rPr>
        <w:t xml:space="preserve">5.1 Data you provide directly</w:t>
      </w:r>
    </w:p>
    <w:p>
      <w:pPr>
        <w:pStyle w:val="ListParagraph"/>
        <w:numPr>
          <w:ilvl w:val="0"/>
          <w:numId w:val="1"/>
        </w:numPr>
        <w:spacing w:after="80"/>
        <w:jc w:val="both"/>
      </w:pPr>
      <w:r>
        <w:rPr>
          <w:sz w:val="22"/>
          <w:szCs w:val="22"/>
        </w:rPr>
        <w:t xml:space="preserve">Registration data: name, work email, phone, company name, designation, password (hashed)</w:t>
      </w:r>
    </w:p>
    <w:p>
      <w:pPr>
        <w:pStyle w:val="ListParagraph"/>
        <w:numPr>
          <w:ilvl w:val="0"/>
          <w:numId w:val="1"/>
        </w:numPr>
        <w:spacing w:after="80"/>
        <w:jc w:val="both"/>
      </w:pPr>
      <w:r>
        <w:rPr>
          <w:sz w:val="22"/>
          <w:szCs w:val="22"/>
        </w:rPr>
        <w:t xml:space="preserve">KYC / business verification: PAN, GSTIN, certificate of incorporation, authorised signatory ID</w:t>
      </w:r>
    </w:p>
    <w:p>
      <w:pPr>
        <w:pStyle w:val="ListParagraph"/>
        <w:numPr>
          <w:ilvl w:val="0"/>
          <w:numId w:val="1"/>
        </w:numPr>
        <w:spacing w:after="80"/>
        <w:jc w:val="both"/>
      </w:pPr>
      <w:r>
        <w:rPr>
          <w:sz w:val="22"/>
          <w:szCs w:val="22"/>
        </w:rPr>
        <w:t xml:space="preserve">Billing: billing address, bank account or UPI details for settlements</w:t>
      </w:r>
    </w:p>
    <w:p>
      <w:pPr>
        <w:pStyle w:val="ListParagraph"/>
        <w:numPr>
          <w:ilvl w:val="0"/>
          <w:numId w:val="1"/>
        </w:numPr>
        <w:spacing w:after="80"/>
        <w:jc w:val="both"/>
      </w:pPr>
      <w:r>
        <w:rPr>
          <w:sz w:val="22"/>
          <w:szCs w:val="22"/>
        </w:rPr>
        <w:t xml:space="preserve">Support: content of tickets, chat transcripts, call recordings (with prior notice)</w:t>
      </w:r>
    </w:p>
    <w:p>
      <w:pPr>
        <w:pStyle w:val="ListParagraph"/>
        <w:numPr>
          <w:ilvl w:val="0"/>
          <w:numId w:val="1"/>
        </w:numPr>
        <w:spacing w:after="80"/>
        <w:jc w:val="both"/>
      </w:pPr>
      <w:r>
        <w:rPr>
          <w:sz w:val="22"/>
          <w:szCs w:val="22"/>
        </w:rPr>
        <w:t xml:space="preserve">Surveys and events: feedback, dietary preferences, badge information</w:t>
      </w:r>
    </w:p>
    <w:p>
      <w:pPr>
        <w:spacing w:after="120" w:before="220"/>
      </w:pPr>
      <w:r>
        <w:rPr>
          <w:b/>
          <w:bCs/>
          <w:color w:val="333333"/>
          <w:sz w:val="24"/>
          <w:szCs w:val="24"/>
        </w:rPr>
        <w:t xml:space="preserve">5.2 Data collected automatically</w:t>
      </w:r>
    </w:p>
    <w:p>
      <w:pPr>
        <w:pStyle w:val="ListParagraph"/>
        <w:numPr>
          <w:ilvl w:val="0"/>
          <w:numId w:val="1"/>
        </w:numPr>
        <w:spacing w:after="80"/>
        <w:jc w:val="both"/>
      </w:pPr>
      <w:r>
        <w:rPr>
          <w:sz w:val="22"/>
          <w:szCs w:val="22"/>
        </w:rPr>
        <w:t xml:space="preserve">Device and browser: IP address, operating system, browser type, device identifiers</w:t>
      </w:r>
    </w:p>
    <w:p>
      <w:pPr>
        <w:pStyle w:val="ListParagraph"/>
        <w:numPr>
          <w:ilvl w:val="0"/>
          <w:numId w:val="1"/>
        </w:numPr>
        <w:spacing w:after="80"/>
        <w:jc w:val="both"/>
      </w:pPr>
      <w:r>
        <w:rPr>
          <w:sz w:val="22"/>
          <w:szCs w:val="22"/>
        </w:rPr>
        <w:t xml:space="preserve">Usage logs: pages viewed, features used, clickstream, crash reports, session duration</w:t>
      </w:r>
    </w:p>
    <w:p>
      <w:pPr>
        <w:pStyle w:val="ListParagraph"/>
        <w:numPr>
          <w:ilvl w:val="0"/>
          <w:numId w:val="1"/>
        </w:numPr>
        <w:spacing w:after="80"/>
        <w:jc w:val="both"/>
      </w:pPr>
      <w:r>
        <w:rPr>
          <w:sz w:val="22"/>
          <w:szCs w:val="22"/>
        </w:rPr>
        <w:t xml:space="preserve">Location: approximate location derived from IP (precise GPS only with permission)</w:t>
      </w:r>
    </w:p>
    <w:p>
      <w:pPr>
        <w:pStyle w:val="ListParagraph"/>
        <w:numPr>
          <w:ilvl w:val="0"/>
          <w:numId w:val="1"/>
        </w:numPr>
        <w:spacing w:after="80"/>
        <w:jc w:val="both"/>
      </w:pPr>
      <w:r>
        <w:rPr>
          <w:sz w:val="22"/>
          <w:szCs w:val="22"/>
        </w:rPr>
        <w:t xml:space="preserve">Cookies and similar technologies — see our Cookie Policy</w:t>
      </w:r>
    </w:p>
    <w:p>
      <w:pPr>
        <w:spacing w:after="120" w:before="220"/>
      </w:pPr>
      <w:r>
        <w:rPr>
          <w:b/>
          <w:bCs/>
          <w:color w:val="333333"/>
          <w:sz w:val="24"/>
          <w:szCs w:val="24"/>
        </w:rPr>
        <w:t xml:space="preserve">5.3 Data from third parties</w:t>
      </w:r>
    </w:p>
    <w:p>
      <w:pPr>
        <w:pStyle w:val="ListParagraph"/>
        <w:numPr>
          <w:ilvl w:val="0"/>
          <w:numId w:val="1"/>
        </w:numPr>
        <w:spacing w:after="80"/>
        <w:jc w:val="both"/>
      </w:pPr>
      <w:r>
        <w:rPr>
          <w:sz w:val="22"/>
          <w:szCs w:val="22"/>
        </w:rPr>
        <w:t xml:space="preserve">Payment gateways confirming transaction status</w:t>
      </w:r>
    </w:p>
    <w:p>
      <w:pPr>
        <w:pStyle w:val="ListParagraph"/>
        <w:numPr>
          <w:ilvl w:val="0"/>
          <w:numId w:val="1"/>
        </w:numPr>
        <w:spacing w:after="80"/>
        <w:jc w:val="both"/>
      </w:pPr>
      <w:r>
        <w:rPr>
          <w:sz w:val="22"/>
          <w:szCs w:val="22"/>
        </w:rPr>
        <w:t xml:space="preserve">Identity verification vendors (e.g. document OCR, liveness checks)</w:t>
      </w:r>
    </w:p>
    <w:p>
      <w:pPr>
        <w:pStyle w:val="ListParagraph"/>
        <w:numPr>
          <w:ilvl w:val="0"/>
          <w:numId w:val="1"/>
        </w:numPr>
        <w:spacing w:after="80"/>
        <w:jc w:val="both"/>
      </w:pPr>
      <w:r>
        <w:rPr>
          <w:sz w:val="22"/>
          <w:szCs w:val="22"/>
        </w:rPr>
        <w:t xml:space="preserve">Credit bureaus or fraud-prevention databases where permitted by law</w:t>
      </w:r>
    </w:p>
    <w:p>
      <w:pPr>
        <w:pStyle w:val="ListParagraph"/>
        <w:numPr>
          <w:ilvl w:val="0"/>
          <w:numId w:val="1"/>
        </w:numPr>
        <w:spacing w:after="80"/>
        <w:jc w:val="both"/>
      </w:pPr>
      <w:r>
        <w:rPr>
          <w:sz w:val="22"/>
          <w:szCs w:val="22"/>
        </w:rPr>
        <w:t xml:space="preserve">Publicly available business registries for KYB checks</w:t>
      </w:r>
    </w:p>
    <w:p>
      <w:pPr>
        <w:pBdr>
          <w:bottom w:val="single" w:color="2E5090" w:sz="1" w:space="4"/>
        </w:pBdr>
        <w:spacing w:after="160" w:before="320"/>
      </w:pPr>
      <w:r>
        <w:rPr>
          <w:b/>
          <w:bCs/>
          <w:color w:val="1B2A4A"/>
          <w:sz w:val="26"/>
          <w:szCs w:val="26"/>
        </w:rPr>
        <w:t xml:space="preserve">6. Purposes and lawful bases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Purpose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Data categories</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Lawful basis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Account creation and Platform access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Identity, contact, credentials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Consent (S.6) / Legitimate use (S.7)</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KYB/KYC and fraud prevention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Government IDs, business docs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 obligation / Legitimate use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Payment processing and settlements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Financial, transaction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Performance of contract / Legal obligation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Product improvement and debugging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Usage logs, crash 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Legitimate use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Customer support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Contact, communications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Consent / Legitimate use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Marketing and newsletters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Email, preferences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Consent only (S.6)</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Analytics cookies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Device, browsing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Consent only (S.6)</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Regulatory reporting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As required by authority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 obligation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Employment (for job applicants)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CV, interview notes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Consent / Legitimate use</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7. Consent management</w:t>
      </w:r>
    </w:p>
    <w:p>
      <w:pPr>
        <w:spacing w:after="160" w:line="276"/>
        <w:jc w:val="both"/>
      </w:pPr>
      <w:r>
        <w:rPr>
          <w:sz w:val="22"/>
          <w:szCs w:val="22"/>
        </w:rPr>
        <w:t xml:space="preserve">Where we rely on consent, it is obtained through unticked checkboxes, granular cookie banners, or signed consent forms — never through pre-ticked boxes or dark patterns. You may withdraw consent at any time via account settings or privacy@acmedigital.in. Withdrawal is as easy as giving consent.</w:t>
      </w:r>
    </w:p>
    <w:p>
      <w:pPr>
        <w:pBdr>
          <w:bottom w:val="single" w:color="2E5090" w:sz="1" w:space="4"/>
        </w:pBdr>
        <w:spacing w:after="160" w:before="320"/>
      </w:pPr>
      <w:r>
        <w:rPr>
          <w:b/>
          <w:bCs/>
          <w:color w:val="1B2A4A"/>
          <w:sz w:val="26"/>
          <w:szCs w:val="26"/>
        </w:rPr>
        <w:t xml:space="preserve">8. Sharing and Data Processors</w:t>
      </w:r>
    </w:p>
    <w:p>
      <w:pPr>
        <w:spacing w:after="160" w:line="276"/>
        <w:jc w:val="both"/>
      </w:pPr>
      <w:r>
        <w:rPr>
          <w:sz w:val="22"/>
          <w:szCs w:val="22"/>
        </w:rPr>
        <w:t xml:space="preserve">We share personal data only with processors who provide services on our documented instructions, including: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Processor</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Service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Location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Amazon Web Services India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Cloud hosting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 (Mumbai region)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Razorpay Software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Payment processing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Google India Pvt. Ltd. (Workspace)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Email, collaboration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 / global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Freshworks Technologies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Customer support CRM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 / US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Karza Technologies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KYC verification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Netcore Cloud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Email delivery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w:t>
            </w:r>
          </w:p>
        </w:tc>
      </w:tr>
    </w:tbl>
    <w:p>
      <w:pPr>
        <w:spacing w:after="220" w:line="276"/>
        <w:jc w:val="both"/>
      </w:pPr>
      <w:r>
        <w:rPr>
          <w:sz w:val="22"/>
          <w:szCs w:val="22"/>
        </w:rPr>
        <w:t xml:space="preserve"/>
      </w:r>
    </w:p>
    <w:p>
      <w:pPr>
        <w:spacing w:after="160" w:line="276"/>
        <w:jc w:val="both"/>
      </w:pPr>
      <w:r>
        <w:rPr>
          <w:sz w:val="22"/>
          <w:szCs w:val="22"/>
        </w:rPr>
        <w:t xml:space="preserve">Each processor is bound by a Data Processing Agreement requiring Rule 6 security safeguards. We may also disclose data to courts, regulators, or law enforcement when required by applicable law.</w:t>
      </w:r>
    </w:p>
    <w:p>
      <w:pPr>
        <w:pBdr>
          <w:bottom w:val="single" w:color="2E5090" w:sz="1" w:space="4"/>
        </w:pBdr>
        <w:spacing w:after="160" w:before="320"/>
      </w:pPr>
      <w:r>
        <w:rPr>
          <w:b/>
          <w:bCs/>
          <w:color w:val="1B2A4A"/>
          <w:sz w:val="26"/>
          <w:szCs w:val="26"/>
        </w:rPr>
        <w:t xml:space="preserve">9. Cross-border transfers (Section 16)</w:t>
      </w:r>
    </w:p>
    <w:p>
      <w:pPr>
        <w:spacing w:after="160" w:line="276"/>
        <w:jc w:val="both"/>
      </w:pPr>
      <w:r>
        <w:rPr>
          <w:sz w:val="22"/>
          <w:szCs w:val="22"/>
        </w:rPr>
        <w:t xml:space="preserve">Where personal data is transferred outside India (e.g. to Acme Digital Pte. Ltd., our Singapore affiliate, for group financial consolidation), we ensure the destination country is not on any restricted list notified under Section 16(1) and implement contractual safeguards requiring protection equivalent to the DPDP Rules. Details are available on request.</w:t>
      </w:r>
    </w:p>
    <w:p>
      <w:pPr>
        <w:pBdr>
          <w:bottom w:val="single" w:color="2E5090" w:sz="1" w:space="4"/>
        </w:pBdr>
        <w:spacing w:after="160" w:before="320"/>
      </w:pPr>
      <w:r>
        <w:rPr>
          <w:b/>
          <w:bCs/>
          <w:color w:val="1B2A4A"/>
          <w:sz w:val="26"/>
          <w:szCs w:val="26"/>
        </w:rPr>
        <w:t xml:space="preserve">10. Retention</w:t>
      </w:r>
    </w:p>
    <w:p>
      <w:pPr>
        <w:spacing w:after="160" w:line="276"/>
        <w:jc w:val="both"/>
      </w:pPr>
      <w:r>
        <w:rPr>
          <w:sz w:val="22"/>
          <w:szCs w:val="22"/>
        </w:rPr>
        <w:t xml:space="preserve">We retain personal data only as long as necessary for the purposes in Section 6. Indicative periods: active account data — duration of relationship; post-closure account data — 3 years; GST and tax records — 8 years; support tickets — 24 months; marketing consent logs — 3 years after withdrawal; security logs — minimum 12 months (Rule 8(3)). See our Data Retention Policy for the full schedule.</w:t>
      </w:r>
    </w:p>
    <w:p>
      <w:pPr>
        <w:pBdr>
          <w:bottom w:val="single" w:color="2E5090" w:sz="1" w:space="4"/>
        </w:pBdr>
        <w:spacing w:after="160" w:before="320"/>
      </w:pPr>
      <w:r>
        <w:rPr>
          <w:b/>
          <w:bCs/>
          <w:color w:val="1B2A4A"/>
          <w:sz w:val="26"/>
          <w:szCs w:val="26"/>
        </w:rPr>
        <w:t xml:space="preserve">11. Security safeguards (Rule 6)</w:t>
      </w:r>
    </w:p>
    <w:p>
      <w:pPr>
        <w:pStyle w:val="ListParagraph"/>
        <w:numPr>
          <w:ilvl w:val="0"/>
          <w:numId w:val="1"/>
        </w:numPr>
        <w:spacing w:after="80"/>
        <w:jc w:val="both"/>
      </w:pPr>
      <w:r>
        <w:rPr>
          <w:sz w:val="22"/>
          <w:szCs w:val="22"/>
        </w:rPr>
        <w:t xml:space="preserve">AES-256 encryption at rest and TLS 1.3 in transit for sensitive data</w:t>
      </w:r>
    </w:p>
    <w:p>
      <w:pPr>
        <w:pStyle w:val="ListParagraph"/>
        <w:numPr>
          <w:ilvl w:val="0"/>
          <w:numId w:val="1"/>
        </w:numPr>
        <w:spacing w:after="80"/>
        <w:jc w:val="both"/>
      </w:pPr>
      <w:r>
        <w:rPr>
          <w:sz w:val="22"/>
          <w:szCs w:val="22"/>
        </w:rPr>
        <w:t xml:space="preserve">Role-based access control, MFA for administrative access, quarterly access reviews</w:t>
      </w:r>
    </w:p>
    <w:p>
      <w:pPr>
        <w:pStyle w:val="ListParagraph"/>
        <w:numPr>
          <w:ilvl w:val="0"/>
          <w:numId w:val="1"/>
        </w:numPr>
        <w:spacing w:after="80"/>
        <w:jc w:val="both"/>
      </w:pPr>
      <w:r>
        <w:rPr>
          <w:sz w:val="22"/>
          <w:szCs w:val="22"/>
        </w:rPr>
        <w:t xml:space="preserve">ISO 27001-aligned information security management system (certification in progress)</w:t>
      </w:r>
    </w:p>
    <w:p>
      <w:pPr>
        <w:pStyle w:val="ListParagraph"/>
        <w:numPr>
          <w:ilvl w:val="0"/>
          <w:numId w:val="1"/>
        </w:numPr>
        <w:spacing w:after="80"/>
        <w:jc w:val="both"/>
      </w:pPr>
      <w:r>
        <w:rPr>
          <w:sz w:val="22"/>
          <w:szCs w:val="22"/>
        </w:rPr>
        <w:t xml:space="preserve">Annual penetration testing and vulnerability remediation SLAs</w:t>
      </w:r>
    </w:p>
    <w:p>
      <w:pPr>
        <w:pStyle w:val="ListParagraph"/>
        <w:numPr>
          <w:ilvl w:val="0"/>
          <w:numId w:val="1"/>
        </w:numPr>
        <w:spacing w:after="80"/>
        <w:jc w:val="both"/>
      </w:pPr>
      <w:r>
        <w:rPr>
          <w:sz w:val="22"/>
          <w:szCs w:val="22"/>
        </w:rPr>
        <w:t xml:space="preserve">Employee background checks and mandatory data protection training</w:t>
      </w:r>
    </w:p>
    <w:p>
      <w:pPr>
        <w:pStyle w:val="ListParagraph"/>
        <w:numPr>
          <w:ilvl w:val="0"/>
          <w:numId w:val="1"/>
        </w:numPr>
        <w:spacing w:after="80"/>
        <w:jc w:val="both"/>
      </w:pPr>
      <w:r>
        <w:rPr>
          <w:sz w:val="22"/>
          <w:szCs w:val="22"/>
        </w:rPr>
        <w:t xml:space="preserve">Incident response plan with 24×7 security operations monitoring</w:t>
      </w:r>
    </w:p>
    <w:p>
      <w:pPr>
        <w:pBdr>
          <w:bottom w:val="single" w:color="2E5090" w:sz="1" w:space="4"/>
        </w:pBdr>
        <w:spacing w:after="160" w:before="320"/>
      </w:pPr>
      <w:r>
        <w:rPr>
          <w:b/>
          <w:bCs/>
          <w:color w:val="1B2A4A"/>
          <w:sz w:val="26"/>
          <w:szCs w:val="26"/>
        </w:rPr>
        <w:t xml:space="preserve">12. Your rights</w:t>
      </w:r>
    </w:p>
    <w:p>
      <w:pPr>
        <w:spacing w:after="140" w:line="276"/>
        <w:jc w:val="both"/>
      </w:pPr>
      <w:r>
        <w:rPr>
          <w:b/>
          <w:bCs/>
          <w:sz w:val="22"/>
          <w:szCs w:val="22"/>
        </w:rPr>
        <w:t xml:space="preserve">12.1 Right of access (Section 11):  </w:t>
      </w:r>
      <w:r>
        <w:rPr>
          <w:sz w:val="22"/>
          <w:szCs w:val="22"/>
        </w:rPr>
        <w:t xml:space="preserve">Request a summary of your personal data, processing purposes, and sharing with other fiduciaries/processors.</w:t>
      </w:r>
    </w:p>
    <w:p>
      <w:pPr>
        <w:spacing w:after="140" w:line="276"/>
        <w:jc w:val="both"/>
      </w:pPr>
      <w:r>
        <w:rPr>
          <w:b/>
          <w:bCs/>
          <w:sz w:val="22"/>
          <w:szCs w:val="22"/>
        </w:rPr>
        <w:t xml:space="preserve">12.2 Right of correction and erasure (Section 12):  </w:t>
      </w:r>
      <w:r>
        <w:rPr>
          <w:sz w:val="22"/>
          <w:szCs w:val="22"/>
        </w:rPr>
        <w:t xml:space="preserve">Request correction of inaccurate data or erasure when no longer necessary or upon consent withdrawal.</w:t>
      </w:r>
    </w:p>
    <w:p>
      <w:pPr>
        <w:spacing w:after="140" w:line="276"/>
        <w:jc w:val="both"/>
      </w:pPr>
      <w:r>
        <w:rPr>
          <w:b/>
          <w:bCs/>
          <w:sz w:val="22"/>
          <w:szCs w:val="22"/>
        </w:rPr>
        <w:t xml:space="preserve">12.3 Right of grievance redressal (Section 13):  </w:t>
      </w:r>
      <w:r>
        <w:rPr>
          <w:sz w:val="22"/>
          <w:szCs w:val="22"/>
        </w:rPr>
        <w:t xml:space="preserve">Lodge a complaint with our Grievance Officer. If unsatisfied, you may approach the Data Protection Board of India.</w:t>
      </w:r>
    </w:p>
    <w:p>
      <w:pPr>
        <w:spacing w:after="140" w:line="276"/>
        <w:jc w:val="both"/>
      </w:pPr>
      <w:r>
        <w:rPr>
          <w:b/>
          <w:bCs/>
          <w:sz w:val="22"/>
          <w:szCs w:val="22"/>
        </w:rPr>
        <w:t xml:space="preserve">12.4 Right of nomination (Section 14):  </w:t>
      </w:r>
      <w:r>
        <w:rPr>
          <w:sz w:val="22"/>
          <w:szCs w:val="22"/>
        </w:rPr>
        <w:t xml:space="preserve">Nominate another individual to exercise your rights in the event of death or incapacity.</w:t>
      </w:r>
    </w:p>
    <w:p>
      <w:pPr>
        <w:spacing w:after="140" w:line="276"/>
        <w:jc w:val="both"/>
      </w:pPr>
      <w:r>
        <w:rPr>
          <w:b/>
          <w:bCs/>
          <w:sz w:val="22"/>
          <w:szCs w:val="22"/>
        </w:rPr>
        <w:t xml:space="preserve">12.5 Withdrawal of consent:  </w:t>
      </w:r>
      <w:r>
        <w:rPr>
          <w:sz w:val="22"/>
          <w:szCs w:val="22"/>
        </w:rPr>
        <w:t xml:space="preserve">Withdraw consent for consent-based processing at any time without affecting prior lawful processing.</w:t>
      </w:r>
    </w:p>
    <w:p>
      <w:pPr>
        <w:spacing w:after="160" w:line="276"/>
        <w:jc w:val="both"/>
      </w:pPr>
      <w:r>
        <w:rPr>
          <w:sz w:val="22"/>
          <w:szCs w:val="22"/>
        </w:rPr>
        <w:t xml:space="preserve">Submit requests via https://www.acmedigital.in/privacy/rights-request or email grievance@acmedigital.in. We respond within statutory timelines after identity verification.</w:t>
      </w:r>
    </w:p>
    <w:p>
      <w:pPr>
        <w:pBdr>
          <w:bottom w:val="single" w:color="2E5090" w:sz="1" w:space="4"/>
        </w:pBdr>
        <w:spacing w:after="160" w:before="320"/>
      </w:pPr>
      <w:r>
        <w:rPr>
          <w:b/>
          <w:bCs/>
          <w:color w:val="1B2A4A"/>
          <w:sz w:val="26"/>
          <w:szCs w:val="26"/>
        </w:rPr>
        <w:t xml:space="preserve">13. Children's personal data (Section 9)</w:t>
      </w:r>
    </w:p>
    <w:p>
      <w:pPr>
        <w:spacing w:after="160" w:line="276"/>
        <w:jc w:val="both"/>
      </w:pPr>
      <w:r>
        <w:rPr>
          <w:sz w:val="22"/>
          <w:szCs w:val="22"/>
        </w:rPr>
        <w:t xml:space="preserve">The Platform is intended for business users aged 18 and above. We do not knowingly process children's personal data. We do not track, monitor behaviourally advertise to, or target children. Where verifiable parental consent is required, we obtain it before processing.</w:t>
      </w:r>
    </w:p>
    <w:p>
      <w:pPr>
        <w:pBdr>
          <w:bottom w:val="single" w:color="2E5090" w:sz="1" w:space="4"/>
        </w:pBdr>
        <w:spacing w:after="160" w:before="320"/>
      </w:pPr>
      <w:r>
        <w:rPr>
          <w:b/>
          <w:bCs/>
          <w:color w:val="1B2A4A"/>
          <w:sz w:val="26"/>
          <w:szCs w:val="26"/>
        </w:rPr>
        <w:t xml:space="preserve">14. Automated decision-making</w:t>
      </w:r>
    </w:p>
    <w:p>
      <w:pPr>
        <w:spacing w:after="160" w:line="276"/>
        <w:jc w:val="both"/>
      </w:pPr>
      <w:r>
        <w:rPr>
          <w:sz w:val="22"/>
          <w:szCs w:val="22"/>
        </w:rPr>
        <w:t xml:space="preserve">We use automated fraud-scoring to protect transactions. This does not produce legal or similarly significant effects without human review. You may request explanation of automated decisions affecting you by contacting privacy@acmedigital.in.</w:t>
      </w:r>
    </w:p>
    <w:p>
      <w:pPr>
        <w:pBdr>
          <w:bottom w:val="single" w:color="2E5090" w:sz="1" w:space="4"/>
        </w:pBdr>
        <w:spacing w:after="160" w:before="320"/>
      </w:pPr>
      <w:r>
        <w:rPr>
          <w:b/>
          <w:bCs/>
          <w:color w:val="1B2A4A"/>
          <w:sz w:val="26"/>
          <w:szCs w:val="26"/>
        </w:rPr>
        <w:t xml:space="preserve">15. Changes to this policy</w:t>
      </w:r>
    </w:p>
    <w:p>
      <w:pPr>
        <w:spacing w:after="160" w:line="276"/>
        <w:jc w:val="both"/>
      </w:pPr>
      <w:r>
        <w:rPr>
          <w:sz w:val="22"/>
          <w:szCs w:val="22"/>
        </w:rPr>
        <w:t xml:space="preserve">We may update this policy to reflect legal, technical or business changes. Material changes will be notified by email or prominent Platform notice at least fifteen (15) days before taking effect. The "Last updated" date indicates the current version.</w:t>
      </w:r>
    </w:p>
    <w:p>
      <w:pPr>
        <w:pBdr>
          <w:bottom w:val="single" w:color="2E5090" w:sz="1" w:space="4"/>
        </w:pBdr>
        <w:spacing w:after="160" w:before="320"/>
      </w:pPr>
      <w:r>
        <w:rPr>
          <w:b/>
          <w:bCs/>
          <w:color w:val="1B2A4A"/>
          <w:sz w:val="26"/>
          <w:szCs w:val="26"/>
        </w:rPr>
        <w:t xml:space="preserve">16. Governing law</w:t>
      </w:r>
    </w:p>
    <w:p>
      <w:pPr>
        <w:spacing w:after="160" w:line="276"/>
        <w:jc w:val="both"/>
      </w:pPr>
      <w:r>
        <w:rPr>
          <w:sz w:val="22"/>
          <w:szCs w:val="22"/>
        </w:rPr>
        <w:t xml:space="preserve">This policy is governed by the laws of India. Courts at Mumbai, Maharashtra shall have exclusive jurisdiction subject to your right to approach the Data Protection Board.</w:t>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Name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Prepared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 Team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Reviewed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Priya Sharma, Grievance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Approved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 Chief Compliance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2026-07-05T20:39:54.751Z</dcterms:created>
  <dcterms:modified xsi:type="dcterms:W3CDTF">2026-07-05T20:39:54.751Z</dcterms:modified>
</cp:coreProperties>
</file>

<file path=docProps/custom.xml><?xml version="1.0" encoding="utf-8"?>
<Properties xmlns="http://schemas.openxmlformats.org/officeDocument/2006/custom-properties" xmlns:vt="http://schemas.openxmlformats.org/officeDocument/2006/docPropsVTypes"/>
</file>